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C12DD4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C12DD4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F2D287B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STUDY GROUP 21 Question 6</w:t>
            </w:r>
          </w:p>
          <w:p w14:paraId="5276C223" w14:textId="77777777" w:rsidR="00C12DD4" w:rsidRPr="00C12DD4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Video Coding Experts Group (VCEG)</w:t>
            </w:r>
          </w:p>
          <w:p w14:paraId="31028F2F" w14:textId="00081073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7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8</w:t>
            </w:r>
            <w:r w:rsidRPr="00C12DD4">
              <w:rPr>
                <w:rFonts w:ascii="Times New Roman" w:eastAsia="Arial Unicode MS" w:hAnsi="Times New Roman" w:cs="Times New Roman"/>
                <w:kern w:val="2"/>
                <w:vertAlign w:val="superscript"/>
                <w:lang w:val="en-US" w:eastAsia="zh-CN"/>
              </w:rPr>
              <w:t>th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Meeting: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</w:t>
            </w:r>
            <w:r w:rsidR="00C474EE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–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y 202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, </w:t>
            </w:r>
            <w:r w:rsidR="008F5C7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by teleconference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51568A64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ja-JP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Document VCEG-B</w:t>
            </w:r>
            <w:r w:rsidR="0005418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Z</w:t>
            </w:r>
            <w:r w:rsidR="002E5B7B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15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-v1</w:t>
            </w:r>
          </w:p>
        </w:tc>
      </w:tr>
    </w:tbl>
    <w:p w14:paraId="2C58EF40" w14:textId="77777777" w:rsidR="00C12DD4" w:rsidRPr="00C12DD4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900"/>
        <w:gridCol w:w="3070"/>
      </w:tblGrid>
      <w:tr w:rsidR="00C12DD4" w:rsidRPr="00C12DD4" w14:paraId="238D5B34" w14:textId="77777777" w:rsidTr="00C12DD4">
        <w:tc>
          <w:tcPr>
            <w:tcW w:w="1242" w:type="dxa"/>
            <w:hideMark/>
          </w:tcPr>
          <w:p w14:paraId="6ADF3B18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Question:</w:t>
            </w:r>
          </w:p>
        </w:tc>
        <w:tc>
          <w:tcPr>
            <w:tcW w:w="8505" w:type="dxa"/>
            <w:gridSpan w:val="3"/>
            <w:hideMark/>
          </w:tcPr>
          <w:p w14:paraId="10EB078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6/21 (VCEG)</w:t>
            </w:r>
          </w:p>
        </w:tc>
      </w:tr>
      <w:tr w:rsidR="00C12DD4" w:rsidRPr="008F5C7C" w14:paraId="24C1957C" w14:textId="77777777" w:rsidTr="00C12DD4">
        <w:tc>
          <w:tcPr>
            <w:tcW w:w="1242" w:type="dxa"/>
            <w:hideMark/>
          </w:tcPr>
          <w:p w14:paraId="00F0AF77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Source: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37504314" w:rsidR="00C12DD4" w:rsidRPr="00C12DD4" w:rsidRDefault="00120616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</w:pPr>
            <w:bookmarkStart w:id="0" w:name="_Hlk218786545"/>
            <w:r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Tung Nguyen, </w:t>
            </w:r>
            <w:r w:rsidR="00C12DD4"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Sophie Pientka, </w:t>
            </w:r>
            <w:r w:rsid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Jonathan Pfaff, </w:t>
            </w:r>
            <w:r w:rsidR="00C12DD4"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Heiko Schwarz, Detlev Marpe, Thomas Wiegand</w:t>
            </w:r>
            <w:bookmarkEnd w:id="0"/>
          </w:p>
        </w:tc>
        <w:tc>
          <w:tcPr>
            <w:tcW w:w="900" w:type="dxa"/>
            <w:hideMark/>
          </w:tcPr>
          <w:p w14:paraId="126E0633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SimSun" w:hAnsi="Times New Roman" w:cs="Times New Roman"/>
                <w:kern w:val="2"/>
                <w:lang w:val="en-US" w:eastAsia="zh-CN"/>
              </w:rPr>
              <w:t>Email:</w:t>
            </w:r>
          </w:p>
        </w:tc>
        <w:tc>
          <w:tcPr>
            <w:tcW w:w="3069" w:type="dxa"/>
            <w:hideMark/>
          </w:tcPr>
          <w:p w14:paraId="21F08F99" w14:textId="77777777" w:rsidR="00C12DD4" w:rsidRPr="00C12DD4" w:rsidRDefault="00C12DD4" w:rsidP="00C12DD4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</w:pPr>
            <w:r w:rsidRPr="00C12DD4"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  <w:t>firstname.lastname@hhi.fraunhofer.de</w:t>
            </w:r>
          </w:p>
        </w:tc>
      </w:tr>
      <w:tr w:rsidR="00C12DD4" w:rsidRPr="00C12DD4" w14:paraId="44A7CBBF" w14:textId="77777777" w:rsidTr="00C12DD4">
        <w:tc>
          <w:tcPr>
            <w:tcW w:w="1242" w:type="dxa"/>
            <w:hideMark/>
          </w:tcPr>
          <w:p w14:paraId="319072AA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740BE9EE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Report of CE-</w:t>
            </w:r>
            <w:r w:rsidR="00120616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5</w:t>
            </w:r>
          </w:p>
        </w:tc>
      </w:tr>
      <w:tr w:rsidR="00C12DD4" w:rsidRPr="00C12DD4" w14:paraId="0D5BF0B9" w14:textId="77777777" w:rsidTr="00C12DD4">
        <w:tc>
          <w:tcPr>
            <w:tcW w:w="1242" w:type="dxa"/>
            <w:hideMark/>
          </w:tcPr>
          <w:p w14:paraId="744033F4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Purpose:</w:t>
            </w:r>
          </w:p>
        </w:tc>
        <w:tc>
          <w:tcPr>
            <w:tcW w:w="8505" w:type="dxa"/>
            <w:gridSpan w:val="3"/>
            <w:hideMark/>
          </w:tcPr>
          <w:p w14:paraId="5E16021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Cs/>
                <w:lang w:val="en-US"/>
              </w:rPr>
              <w:t>Proposal</w:t>
            </w:r>
          </w:p>
        </w:tc>
      </w:tr>
    </w:tbl>
    <w:p w14:paraId="1B2EA90C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</w:pPr>
      <w:r w:rsidRPr="00C12DD4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  <w:t>_____________________________</w:t>
      </w:r>
    </w:p>
    <w:p w14:paraId="681801E8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lang w:val="en-US" w:eastAsia="ja-JP"/>
        </w:rPr>
      </w:pPr>
    </w:p>
    <w:p w14:paraId="7C0E053B" w14:textId="77777777" w:rsidR="00C12DD4" w:rsidRPr="00C12DD4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x-none" w:eastAsia="ko-KR"/>
        </w:rPr>
      </w:pPr>
      <w:r w:rsidRPr="00C12DD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US" w:eastAsia="x-none"/>
        </w:rPr>
        <w:t>Abstract</w:t>
      </w:r>
    </w:p>
    <w:p w14:paraId="40EBB47A" w14:textId="7AC96EB4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This document reports on the simulation results of Core Experiment </w:t>
      </w:r>
      <w:r w:rsidR="00120616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5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(CE</w:t>
      </w:r>
      <w:r w:rsidR="00120616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5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), which investigate </w:t>
      </w:r>
      <w:r w:rsidR="00120616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modifications of the coding of the last scan position on a DCT block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as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proposed in SG21-</w:t>
      </w:r>
      <w:r w:rsidR="00120616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C502R2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.</w:t>
      </w:r>
    </w:p>
    <w:p w14:paraId="2D777288" w14:textId="77777777" w:rsidR="00C12DD4" w:rsidRPr="008F5C7C" w:rsidRDefault="00C12DD4" w:rsidP="008F5C7C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8F5C7C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Software and configurations</w:t>
      </w:r>
    </w:p>
    <w:p w14:paraId="5A718673" w14:textId="40D2C31B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</w:t>
      </w:r>
      <w:r w:rsidR="0005418C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the BWC Common Test Conditions (CTC). Note that the CTC specifies an independent channel coding configuration, which is referred to as ICC in this document.</w:t>
      </w:r>
    </w:p>
    <w:p w14:paraId="503FC8B6" w14:textId="5DAC2D8A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software used for the experiments is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 with the bugfixes as of Dec 9, 2025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 with the proposed modifications implemented on top of this baseline. For the BD-rate calculation, the anchor is the unmodified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encoder configuration specified for each sub-category, while the test candidate is the 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same encoder configurations.</w:t>
      </w:r>
    </w:p>
    <w:p w14:paraId="3A03CD47" w14:textId="77777777" w:rsidR="00C12DD4" w:rsidRPr="008F5C7C" w:rsidRDefault="00C12DD4" w:rsidP="008F5C7C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8F5C7C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Experimental results</w:t>
      </w:r>
    </w:p>
    <w:p w14:paraId="4A99DBEA" w14:textId="77777777" w:rsidR="00C12DD4" w:rsidRDefault="00C12DD4" w:rsidP="00C12DD4">
      <w:pPr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CTC (Non-ICC Configuration)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31375E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1894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BEB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F0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5338FCB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4F4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3E0A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DF7283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0E7F21B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769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549F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3E99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523B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FA5B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92FB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8D50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3AF2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6E25AF" w:rsidRPr="00773500" w14:paraId="3B16FB4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3E48F8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2EDA" w14:textId="122F6D83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C5C73" w14:textId="62E4F408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A056" w14:textId="422F3BD0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AE71F" w14:textId="5DC721BA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716EF9" w14:textId="3B3E676E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BB10B6" w14:textId="3EB7A76E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37CF02F" w14:textId="3B64BBDD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E25AF" w:rsidRPr="00773500" w14:paraId="7FCE107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312E8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43FF" w14:textId="49331EE2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4EE6" w14:textId="040627EE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9AF69" w14:textId="78CB12DA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B3186" w14:textId="7437D72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37CE7A" w14:textId="51087BD3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F8EE46" w14:textId="3CC2709C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D99FA3" w14:textId="2656F6C2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103%</w:t>
            </w:r>
          </w:p>
        </w:tc>
      </w:tr>
      <w:tr w:rsidR="006E25AF" w:rsidRPr="00773500" w14:paraId="6937426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BCD1A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26C1" w14:textId="1014A7F0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7874" w14:textId="2BDA6038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40D8C7" w14:textId="5D04C8E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C90D94" w14:textId="47E3FE93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1AC4F4" w14:textId="092A03A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02847B" w14:textId="7B727362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A1333B" w14:textId="45B03459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E25AF" w:rsidRPr="00773500" w14:paraId="067731F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FAB5A5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4113" w14:textId="686BA151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5057" w14:textId="3E0B26DA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9EFCA8" w14:textId="0927064E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FBE55" w14:textId="0CA3150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457BC0" w14:textId="6DCD4C2D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A9496B" w14:textId="570310AE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727174" w14:textId="465B8D9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E25AF" w:rsidRPr="00773500" w14:paraId="47B19D1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51E8F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2C84" w14:textId="793AF5EA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29241" w14:textId="1CCF8F4D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9A56" w14:textId="1AA984C0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A9D18" w14:textId="355DDC93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49A958" w14:textId="351E26BC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F23FC0" w14:textId="60E1D106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849E17" w14:textId="3245DD8F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E25AF" w:rsidRPr="00773500" w14:paraId="2136C91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35E4F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BAF7" w14:textId="7ADB0E78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6D66" w14:textId="2C98B82C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BA976" w14:textId="5EC320D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0F1AD" w14:textId="7895828B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146392" w14:textId="78D6D8F9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CBD30" w14:textId="174FF15B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2E2E2" w14:textId="7F94E003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E25AF" w:rsidRPr="00773500" w14:paraId="0E54AF5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DAB7C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80FF" w14:textId="06864EF4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A562" w14:textId="44ADE75B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A65EA" w14:textId="0B1516B0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47628" w14:textId="7417FF3D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65C68E" w14:textId="25505EFA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7F103F" w14:textId="3255220D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F38DA" w14:textId="5ABA022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6E25AF" w:rsidRPr="00773500" w14:paraId="5477C9F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702D4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6CA4" w14:textId="570315B6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7917" w14:textId="31C3D7BC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A32F6" w14:textId="20E072F3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1C568" w14:textId="5C30C090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EF0FE8" w14:textId="46BAA406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0B20" w14:textId="2B7E1AB8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B1AE47" w14:textId="1CA5AD2D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6E25AF" w:rsidRPr="00773500" w14:paraId="57BC8F1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8BB910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545C" w14:textId="3645196E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1414" w14:textId="16A2A696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-0,38%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B281E" w14:textId="6608F252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EF39E" w14:textId="781C7DA2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34E3D2" w14:textId="35E3017C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14A6AA" w14:textId="44B19300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4A8427" w14:textId="0F90AC4B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6E25AF" w:rsidRPr="00773500" w14:paraId="3BBCEA55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9D3F8" w14:textId="77777777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D5CBE7" w14:textId="1ACD9D9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-0,14%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C2BAA" w14:textId="276E82E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-0,14%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4154A" w14:textId="006B6DF8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8D60" w14:textId="58DCDC5A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97F61" w14:textId="5EEDA5C5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88E78" w14:textId="5CD1171F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E7073" w14:textId="712F6052" w:rsidR="006E25AF" w:rsidRPr="00773500" w:rsidRDefault="006E25AF" w:rsidP="006E2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597690B3" w14:textId="77777777" w:rsidR="0005418C" w:rsidRDefault="0005418C" w:rsidP="0005418C">
      <w:pPr>
        <w:rPr>
          <w:rFonts w:ascii="Frutiger LT Com 45 Light" w:hAnsi="Frutiger LT Com 45 Light"/>
          <w:lang w:val="en-US"/>
        </w:rPr>
      </w:pPr>
    </w:p>
    <w:p w14:paraId="4E2F09A1" w14:textId="77777777" w:rsidR="00FD6126" w:rsidRDefault="00FD6126">
      <w:pPr>
        <w:rPr>
          <w:rFonts w:ascii="Times New Roman" w:eastAsia="MS Mincho" w:hAnsi="Times New Roman" w:cs="Times New Roman"/>
          <w:sz w:val="20"/>
          <w:szCs w:val="24"/>
          <w:lang w:val="en-US"/>
        </w:rPr>
      </w:pPr>
      <w:r>
        <w:rPr>
          <w:rFonts w:ascii="Times New Roman" w:eastAsia="MS Mincho" w:hAnsi="Times New Roman" w:cs="Times New Roman"/>
          <w:sz w:val="20"/>
          <w:szCs w:val="24"/>
          <w:lang w:val="en-US"/>
        </w:rPr>
        <w:br w:type="page"/>
      </w:r>
    </w:p>
    <w:p w14:paraId="78726F65" w14:textId="680CF42E" w:rsidR="0005418C" w:rsidRPr="008B7E8E" w:rsidRDefault="00C12DD4" w:rsidP="008B7E8E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/>
        </w:rPr>
        <w:lastRenderedPageBreak/>
        <w:t>CTC – Independent Channel Coding (ICC)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42601A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7A9D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BBD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7FD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2DC48D2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95DC6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F3811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6B46D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3783659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8C3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B40F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94BC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C122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BF9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4411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1821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8A6C9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120616" w:rsidRPr="00773500" w14:paraId="5C64EBD9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CC292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32C8" w14:textId="0CF06324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5F107" w14:textId="1FAF0589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9998" w14:textId="395C83A9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D4665" w14:textId="33F0DB02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C252EF" w14:textId="2BBC21C8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F43DD1" w14:textId="2BAB7251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F44E18" w14:textId="0E8EA648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20616" w:rsidRPr="00773500" w14:paraId="09750D2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8CAB6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6AA8" w14:textId="5EB1EBDE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6DE5" w14:textId="5E791F94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9D33F" w14:textId="6598DA52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9BE7A" w14:textId="76396772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1D16B4" w14:textId="09454675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FCBCB3" w14:textId="16E82088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DFF98A" w14:textId="1E02F1A2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</w:tr>
      <w:tr w:rsidR="00120616" w:rsidRPr="00773500" w14:paraId="2A026EF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69244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39A2" w14:textId="7775945A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CA27" w14:textId="66923779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410CE3" w14:textId="1372BDA5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4EAF" w14:textId="06AD7414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0F70E9" w14:textId="037E098C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6B4C3F" w14:textId="7A0E618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58F02A" w14:textId="373F15B8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20616" w:rsidRPr="00773500" w14:paraId="72D249E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72523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86C9" w14:textId="1B5C9CDF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830B" w14:textId="1680FDAF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DB1569" w14:textId="682B857F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D143DF" w14:textId="5AD0CCBA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259CFA" w14:textId="17681E6E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03E9EE" w14:textId="6B7A5124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321166" w14:textId="48BDE6CE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20616" w:rsidRPr="00773500" w14:paraId="5DE69AAC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9E037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4192" w14:textId="307C05B1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6297" w14:textId="2BB40F22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631EB" w14:textId="07C1BF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5CFF9" w14:textId="1DE7E392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0867DC" w14:textId="6370B34D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854C0C" w14:textId="6699DC84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C33C20" w14:textId="1C5E45CB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20616" w:rsidRPr="00773500" w14:paraId="75F5970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8ACD8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DE0C" w14:textId="22A9E021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2456" w14:textId="5208696B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8D700" w14:textId="331265A3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CFA15" w14:textId="056BADB3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2E4BA" w14:textId="3DBE64CE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1D7908" w14:textId="1E5592C3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B8E9FE" w14:textId="21746F26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20616" w:rsidRPr="00773500" w14:paraId="5E00183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0CF7F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2C0E" w14:textId="27A4008F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E4A9" w14:textId="3BCE1D0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BFD7D" w14:textId="42619616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872F0" w14:textId="66F995AC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E2274" w14:textId="37DA6B8D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C77A3" w14:textId="72CD21FB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C6643C" w14:textId="31D429C0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120616" w:rsidRPr="00773500" w14:paraId="14698EC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E5F62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052B" w14:textId="011F620C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4945" w14:textId="3E691986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C9F47" w14:textId="172CF50F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73E02" w14:textId="59F06C24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42BD0C" w14:textId="7CC7284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B6BE6" w14:textId="4E0705A0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4717D0" w14:textId="1F82421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120616" w:rsidRPr="00773500" w14:paraId="593A98A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77130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12CF" w14:textId="5AF4F378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56E8" w14:textId="1855183D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6D59A" w14:textId="08A564F1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D4E2F" w14:textId="3ADB7696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D47BA" w14:textId="7D7669CE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E57EB7" w14:textId="3EC725B6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3B0BA6" w14:textId="593136FE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120616" w:rsidRPr="00773500" w14:paraId="606F0D6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E0A3E" w14:textId="77777777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BB761" w14:textId="7C78912D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-0,13%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6C953" w14:textId="4B727AF8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63AC4" w14:textId="2E65B325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1ADE" w14:textId="3BB0CFBD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869D4" w14:textId="35376AE5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9FD1" w14:textId="3F7FC9CF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FD870" w14:textId="253FB76A" w:rsidR="00120616" w:rsidRPr="00773500" w:rsidRDefault="00120616" w:rsidP="00120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3A3BCDE4" w14:textId="77777777" w:rsidR="00FD6126" w:rsidRPr="008F5C7C" w:rsidRDefault="00FD6126" w:rsidP="008F5C7C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8F5C7C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t>Observation and Summary</w:t>
      </w:r>
    </w:p>
    <w:p w14:paraId="23567C19" w14:textId="58C2BB84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experimental results show that the modifications </w:t>
      </w:r>
      <w:r w:rsidR="00F871D0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of the coding of the last scan position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proposed in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8B7E8E"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SG21-C</w:t>
      </w:r>
      <w:r w:rsidR="00F871D0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502R2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provide 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coding efficiency improvements for the standard CTC configurations. Based on these findings, the proposed modifications should be incorporated into the next version of the BWC software.</w:t>
      </w:r>
    </w:p>
    <w:p w14:paraId="47E37D82" w14:textId="77777777" w:rsidR="00FD6126" w:rsidRPr="008F5C7C" w:rsidRDefault="00FD6126" w:rsidP="008F5C7C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8F5C7C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>Patent rights declaration(s)</w:t>
      </w:r>
    </w:p>
    <w:p w14:paraId="7D52C76E" w14:textId="77777777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CA"/>
        </w:rPr>
      </w:pP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>Fraunhofer HHI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0EAC864D" w14:textId="77777777" w:rsidR="00A91EAF" w:rsidRDefault="00A91EAF" w:rsidP="00A91EAF">
      <w:pPr>
        <w:jc w:val="center"/>
      </w:pPr>
      <w:bookmarkStart w:id="1" w:name="_Hlk171296110"/>
      <w:r>
        <w:t>________________________</w:t>
      </w:r>
      <w:bookmarkEnd w:id="1"/>
    </w:p>
    <w:p w14:paraId="11A371E8" w14:textId="77777777" w:rsidR="00FD6126" w:rsidRPr="00FD6126" w:rsidRDefault="00FD6126" w:rsidP="0005418C">
      <w:pPr>
        <w:rPr>
          <w:rFonts w:ascii="Frutiger LT Com 45 Light" w:hAnsi="Frutiger LT Com 45 Light"/>
          <w:lang w:val="en-CA"/>
        </w:rPr>
      </w:pPr>
    </w:p>
    <w:sectPr w:rsidR="00FD6126" w:rsidRPr="00FD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9D3"/>
    <w:multiLevelType w:val="hybridMultilevel"/>
    <w:tmpl w:val="A32AF2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1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5418C"/>
    <w:rsid w:val="000D705B"/>
    <w:rsid w:val="001110B8"/>
    <w:rsid w:val="00120616"/>
    <w:rsid w:val="0020678B"/>
    <w:rsid w:val="002E5B7B"/>
    <w:rsid w:val="003B5F5E"/>
    <w:rsid w:val="0040624A"/>
    <w:rsid w:val="006E25AF"/>
    <w:rsid w:val="008B7E8E"/>
    <w:rsid w:val="008F5C7C"/>
    <w:rsid w:val="00A91EAF"/>
    <w:rsid w:val="00C12DD4"/>
    <w:rsid w:val="00C4603D"/>
    <w:rsid w:val="00C474EE"/>
    <w:rsid w:val="00CB7BB9"/>
    <w:rsid w:val="00E86FA8"/>
    <w:rsid w:val="00F871D0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uiPriority w:val="9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Heinrich-Hertz-Institut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15</cp:revision>
  <dcterms:created xsi:type="dcterms:W3CDTF">2025-12-18T12:16:00Z</dcterms:created>
  <dcterms:modified xsi:type="dcterms:W3CDTF">2026-01-09T01:43:00Z</dcterms:modified>
</cp:coreProperties>
</file>