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602706" w:rsidRPr="00602706" w14:paraId="61AB415D" w14:textId="77777777" w:rsidTr="00602706">
        <w:tc>
          <w:tcPr>
            <w:tcW w:w="6406" w:type="dxa"/>
            <w:tcBorders>
              <w:top w:val="single" w:sz="4" w:space="0" w:color="auto"/>
              <w:left w:val="single" w:sz="4" w:space="0" w:color="auto"/>
              <w:bottom w:val="single" w:sz="4" w:space="0" w:color="auto"/>
              <w:right w:val="single" w:sz="4" w:space="0" w:color="auto"/>
            </w:tcBorders>
            <w:hideMark/>
          </w:tcPr>
          <w:bookmarkStart w:id="0" w:name="_Hlk98768222"/>
          <w:p w14:paraId="07B0480A" w14:textId="77777777" w:rsidR="00602706" w:rsidRPr="00602706" w:rsidRDefault="00602706" w:rsidP="00686709">
            <w:pPr>
              <w:spacing w:before="0"/>
              <w:rPr>
                <w:b/>
                <w:lang w:val="en-US"/>
              </w:rPr>
            </w:pPr>
            <w:r w:rsidRPr="00602706">
              <w:rPr>
                <w:b/>
                <w:lang w:val="en-US"/>
              </w:rPr>
              <w:fldChar w:fldCharType="begin"/>
            </w:r>
            <w:r w:rsidRPr="00602706">
              <w:rPr>
                <w:b/>
                <w:lang w:val="en-US"/>
              </w:rPr>
              <w:instrText xml:space="preserve"> MACROBUTTON MTEditEquationSection2 </w:instrText>
            </w:r>
            <w:r w:rsidRPr="00602706">
              <w:rPr>
                <w:b/>
                <w:vanish/>
                <w:lang w:val="en-US"/>
              </w:rPr>
              <w:instrText>Equation Chapter 1 Section 1</w:instrText>
            </w:r>
            <w:r w:rsidRPr="00602706">
              <w:rPr>
                <w:b/>
                <w:lang w:val="en-US"/>
              </w:rPr>
              <w:fldChar w:fldCharType="begin"/>
            </w:r>
            <w:r w:rsidRPr="00602706">
              <w:rPr>
                <w:b/>
                <w:lang w:val="en-US"/>
              </w:rPr>
              <w:instrText xml:space="preserve"> SEQ MTEqn \r \h \* MERGEFORMAT </w:instrText>
            </w:r>
            <w:r w:rsidRPr="00602706">
              <w:rPr>
                <w:lang w:val="de-DE"/>
              </w:rPr>
              <w:fldChar w:fldCharType="end"/>
            </w:r>
            <w:r w:rsidRPr="00602706">
              <w:rPr>
                <w:b/>
                <w:lang w:val="en-US"/>
              </w:rPr>
              <w:fldChar w:fldCharType="begin"/>
            </w:r>
            <w:r w:rsidRPr="00602706">
              <w:rPr>
                <w:b/>
                <w:lang w:val="en-US"/>
              </w:rPr>
              <w:instrText xml:space="preserve"> SEQ MTSec \r 1 \h \* MERGEFORMAT </w:instrText>
            </w:r>
            <w:r w:rsidRPr="00602706">
              <w:rPr>
                <w:lang w:val="de-DE"/>
              </w:rPr>
              <w:fldChar w:fldCharType="end"/>
            </w:r>
            <w:r w:rsidRPr="00602706">
              <w:rPr>
                <w:b/>
                <w:lang w:val="en-US"/>
              </w:rPr>
              <w:fldChar w:fldCharType="begin"/>
            </w:r>
            <w:r w:rsidRPr="00602706">
              <w:rPr>
                <w:b/>
                <w:lang w:val="en-US"/>
              </w:rPr>
              <w:instrText xml:space="preserve"> SEQ MTChap \r 1 \h \* MERGEFORMAT </w:instrText>
            </w:r>
            <w:r w:rsidRPr="00602706">
              <w:rPr>
                <w:lang w:val="de-DE"/>
              </w:rPr>
              <w:fldChar w:fldCharType="end"/>
            </w:r>
            <w:r w:rsidRPr="00602706">
              <w:rPr>
                <w:lang w:val="de-DE"/>
              </w:rPr>
              <w:fldChar w:fldCharType="end"/>
            </w:r>
            <w:r w:rsidRPr="00602706">
              <w:rPr>
                <w:b/>
                <w:lang w:val="en-US"/>
              </w:rPr>
              <w:t>ITU – Telecommunications Standardization Sector</w:t>
            </w:r>
          </w:p>
          <w:p w14:paraId="10C84C47" w14:textId="130EE25B" w:rsidR="00602706" w:rsidRPr="00602706" w:rsidRDefault="00602706" w:rsidP="00686709">
            <w:pPr>
              <w:spacing w:before="0"/>
              <w:rPr>
                <w:lang w:val="en-US"/>
              </w:rPr>
            </w:pPr>
            <w:r w:rsidRPr="00602706">
              <w:rPr>
                <w:lang w:val="en-US"/>
              </w:rPr>
              <w:t xml:space="preserve">STUDY GROUP 21 Question </w:t>
            </w:r>
            <w:r w:rsidR="00686709">
              <w:rPr>
                <w:lang w:val="en-US"/>
              </w:rPr>
              <w:t>6/21</w:t>
            </w:r>
          </w:p>
          <w:p w14:paraId="6F22EC73" w14:textId="77777777" w:rsidR="00602706" w:rsidRPr="00602706" w:rsidRDefault="00602706" w:rsidP="00686709">
            <w:pPr>
              <w:spacing w:before="0"/>
              <w:rPr>
                <w:b/>
                <w:lang w:val="en-US"/>
              </w:rPr>
            </w:pPr>
            <w:r w:rsidRPr="00602706">
              <w:rPr>
                <w:b/>
                <w:lang w:val="en-US"/>
              </w:rPr>
              <w:t>Video Coding Experts Group (VCEG)</w:t>
            </w:r>
          </w:p>
          <w:p w14:paraId="29D5DB82" w14:textId="169E5CD1" w:rsidR="00602706" w:rsidRPr="00602706" w:rsidRDefault="00602706" w:rsidP="00686709">
            <w:pPr>
              <w:spacing w:before="0"/>
              <w:rPr>
                <w:b/>
                <w:lang w:val="en-US"/>
              </w:rPr>
            </w:pPr>
            <w:r w:rsidRPr="00602706">
              <w:rPr>
                <w:lang w:val="en-US"/>
              </w:rPr>
              <w:t>7</w:t>
            </w:r>
            <w:r w:rsidR="00686709">
              <w:rPr>
                <w:lang w:val="en-US"/>
              </w:rPr>
              <w:t>6</w:t>
            </w:r>
            <w:r w:rsidRPr="00602706">
              <w:rPr>
                <w:vertAlign w:val="superscript"/>
                <w:lang w:val="en-US"/>
              </w:rPr>
              <w:t>th</w:t>
            </w:r>
            <w:r w:rsidRPr="00602706">
              <w:rPr>
                <w:lang w:val="en-US"/>
              </w:rPr>
              <w:t xml:space="preserve"> Meeting: </w:t>
            </w:r>
            <w:r>
              <w:t>2</w:t>
            </w:r>
            <w:r w:rsidR="00686709">
              <w:t>7</w:t>
            </w:r>
            <w:r w:rsidRPr="00A56432">
              <w:t xml:space="preserve"> </w:t>
            </w:r>
            <w:r>
              <w:t xml:space="preserve">March </w:t>
            </w:r>
            <w:r w:rsidR="00360CB1">
              <w:t>–</w:t>
            </w:r>
            <w:r>
              <w:t xml:space="preserve"> 4</w:t>
            </w:r>
            <w:r w:rsidR="00360CB1">
              <w:t xml:space="preserve"> </w:t>
            </w:r>
            <w:r>
              <w:t>April</w:t>
            </w:r>
            <w:r w:rsidRPr="00A56432">
              <w:t xml:space="preserve"> 2025</w:t>
            </w:r>
            <w:r>
              <w:t>, Virtual</w:t>
            </w:r>
          </w:p>
        </w:tc>
        <w:tc>
          <w:tcPr>
            <w:tcW w:w="3329" w:type="dxa"/>
            <w:tcBorders>
              <w:top w:val="single" w:sz="4" w:space="0" w:color="auto"/>
              <w:left w:val="single" w:sz="4" w:space="0" w:color="auto"/>
              <w:bottom w:val="single" w:sz="4" w:space="0" w:color="auto"/>
              <w:right w:val="single" w:sz="4" w:space="0" w:color="auto"/>
            </w:tcBorders>
            <w:hideMark/>
          </w:tcPr>
          <w:p w14:paraId="0C52DB14" w14:textId="77CE74E8" w:rsidR="00602706" w:rsidRPr="00602706" w:rsidRDefault="00602706" w:rsidP="00686709">
            <w:pPr>
              <w:spacing w:before="0"/>
              <w:rPr>
                <w:lang w:val="en-US"/>
              </w:rPr>
            </w:pPr>
            <w:r w:rsidRPr="00602706">
              <w:rPr>
                <w:lang w:val="en-US"/>
              </w:rPr>
              <w:t>Document VCEG-B</w:t>
            </w:r>
            <w:r w:rsidR="00686709">
              <w:rPr>
                <w:lang w:val="en-US"/>
              </w:rPr>
              <w:t>X18</w:t>
            </w:r>
            <w:r w:rsidRPr="00602706">
              <w:rPr>
                <w:lang w:val="en-US"/>
              </w:rPr>
              <w:t>-v1</w:t>
            </w:r>
          </w:p>
        </w:tc>
      </w:tr>
    </w:tbl>
    <w:p w14:paraId="01F78859" w14:textId="77777777" w:rsidR="00602706" w:rsidRPr="00602706" w:rsidRDefault="00602706" w:rsidP="00602706">
      <w:pPr>
        <w:rPr>
          <w:lang w:val="en-US"/>
        </w:rPr>
      </w:pPr>
    </w:p>
    <w:tbl>
      <w:tblPr>
        <w:tblW w:w="9750" w:type="dxa"/>
        <w:tblLayout w:type="fixed"/>
        <w:tblLook w:val="04A0" w:firstRow="1" w:lastRow="0" w:firstColumn="1" w:lastColumn="0" w:noHBand="0" w:noVBand="1"/>
      </w:tblPr>
      <w:tblGrid>
        <w:gridCol w:w="1243"/>
        <w:gridCol w:w="4537"/>
        <w:gridCol w:w="900"/>
        <w:gridCol w:w="3070"/>
      </w:tblGrid>
      <w:tr w:rsidR="00602706" w:rsidRPr="00602706" w14:paraId="0A344EFA" w14:textId="77777777" w:rsidTr="00602706">
        <w:tc>
          <w:tcPr>
            <w:tcW w:w="1242" w:type="dxa"/>
            <w:hideMark/>
          </w:tcPr>
          <w:p w14:paraId="10365F9A" w14:textId="77777777" w:rsidR="00602706" w:rsidRPr="00602706" w:rsidRDefault="00602706" w:rsidP="00602706">
            <w:pPr>
              <w:rPr>
                <w:lang w:val="en-US"/>
              </w:rPr>
            </w:pPr>
            <w:r w:rsidRPr="00602706">
              <w:rPr>
                <w:lang w:val="en-US"/>
              </w:rPr>
              <w:t>Question:</w:t>
            </w:r>
          </w:p>
        </w:tc>
        <w:tc>
          <w:tcPr>
            <w:tcW w:w="8505" w:type="dxa"/>
            <w:gridSpan w:val="3"/>
            <w:hideMark/>
          </w:tcPr>
          <w:p w14:paraId="10FE634E" w14:textId="33EF434F" w:rsidR="00602706" w:rsidRPr="00602706" w:rsidRDefault="00602706" w:rsidP="00602706">
            <w:pPr>
              <w:rPr>
                <w:lang w:val="en-US"/>
              </w:rPr>
            </w:pPr>
            <w:r w:rsidRPr="00602706">
              <w:rPr>
                <w:lang w:val="en-US"/>
              </w:rPr>
              <w:t>Q</w:t>
            </w:r>
            <w:r w:rsidR="00686709">
              <w:rPr>
                <w:lang w:val="en-US"/>
              </w:rPr>
              <w:t>6/</w:t>
            </w:r>
            <w:r w:rsidRPr="00602706">
              <w:rPr>
                <w:lang w:val="en-US"/>
              </w:rPr>
              <w:t>21 (VCEG)</w:t>
            </w:r>
          </w:p>
        </w:tc>
      </w:tr>
      <w:tr w:rsidR="00602706" w:rsidRPr="00602706" w14:paraId="5DCA0B65" w14:textId="77777777" w:rsidTr="00602706">
        <w:tc>
          <w:tcPr>
            <w:tcW w:w="1242" w:type="dxa"/>
            <w:hideMark/>
          </w:tcPr>
          <w:p w14:paraId="13C683AC" w14:textId="77777777" w:rsidR="00602706" w:rsidRPr="00602706" w:rsidRDefault="00602706" w:rsidP="00602706">
            <w:pPr>
              <w:rPr>
                <w:lang w:val="en-US"/>
              </w:rPr>
            </w:pPr>
            <w:r w:rsidRPr="00602706">
              <w:rPr>
                <w:lang w:val="en-US"/>
              </w:rPr>
              <w:t>Source:</w:t>
            </w:r>
          </w:p>
        </w:tc>
        <w:tc>
          <w:tcPr>
            <w:tcW w:w="4536" w:type="dxa"/>
            <w:tcMar>
              <w:top w:w="0" w:type="dxa"/>
              <w:left w:w="108" w:type="dxa"/>
              <w:bottom w:w="0" w:type="dxa"/>
              <w:right w:w="57" w:type="dxa"/>
            </w:tcMar>
          </w:tcPr>
          <w:p w14:paraId="41B60F76" w14:textId="62713034" w:rsidR="00602706" w:rsidRPr="00602706" w:rsidRDefault="00602706" w:rsidP="00602706">
            <w:pPr>
              <w:rPr>
                <w:b/>
                <w:lang w:val="en-US"/>
              </w:rPr>
            </w:pPr>
            <w:r w:rsidRPr="00602706">
              <w:rPr>
                <w:b/>
                <w:lang w:val="en-US"/>
              </w:rPr>
              <w:t>Christof Fersch</w:t>
            </w:r>
            <w:r>
              <w:rPr>
                <w:b/>
                <w:lang w:val="en-US"/>
              </w:rPr>
              <w:t>,</w:t>
            </w:r>
            <w:r w:rsidRPr="00602706">
              <w:rPr>
                <w:b/>
                <w:lang w:val="en-US"/>
              </w:rPr>
              <w:t xml:space="preserve"> Kristofer Kjörling, Janusz Klejsa, Heidi-Maria Lehtonen, Harald Mundt (Dolby Laboratories)</w:t>
            </w:r>
          </w:p>
          <w:p w14:paraId="007C01A1" w14:textId="77777777" w:rsidR="00602706" w:rsidRPr="00602706" w:rsidRDefault="00602706" w:rsidP="00602706">
            <w:pPr>
              <w:rPr>
                <w:b/>
                <w:lang w:val="en-US"/>
              </w:rPr>
            </w:pPr>
          </w:p>
        </w:tc>
        <w:tc>
          <w:tcPr>
            <w:tcW w:w="900" w:type="dxa"/>
            <w:hideMark/>
          </w:tcPr>
          <w:p w14:paraId="30573636" w14:textId="77777777" w:rsidR="00602706" w:rsidRPr="00602706" w:rsidRDefault="00602706" w:rsidP="00602706">
            <w:pPr>
              <w:rPr>
                <w:lang w:val="en-US"/>
              </w:rPr>
            </w:pPr>
            <w:r w:rsidRPr="00602706">
              <w:rPr>
                <w:lang w:val="en-US"/>
              </w:rPr>
              <w:t>Email:</w:t>
            </w:r>
          </w:p>
        </w:tc>
        <w:tc>
          <w:tcPr>
            <w:tcW w:w="3069" w:type="dxa"/>
          </w:tcPr>
          <w:p w14:paraId="1CC77C5A" w14:textId="77777777" w:rsidR="00602706" w:rsidRPr="00602706" w:rsidRDefault="00602706" w:rsidP="00602706">
            <w:pPr>
              <w:rPr>
                <w:lang w:val="en-US"/>
              </w:rPr>
            </w:pPr>
            <w:hyperlink r:id="rId11" w:history="1">
              <w:r w:rsidRPr="00602706">
                <w:rPr>
                  <w:rStyle w:val="Hyperlink"/>
                  <w:lang w:val="en-US"/>
                </w:rPr>
                <w:t>christof.fersch@dolby.com</w:t>
              </w:r>
            </w:hyperlink>
          </w:p>
          <w:p w14:paraId="2BFA59A8" w14:textId="1F8232AB" w:rsidR="00602706" w:rsidRPr="00602706" w:rsidRDefault="00602706" w:rsidP="00602706">
            <w:pPr>
              <w:rPr>
                <w:lang w:val="en-US"/>
              </w:rPr>
            </w:pPr>
            <w:hyperlink r:id="rId12" w:history="1">
              <w:r w:rsidRPr="006D7D59">
                <w:rPr>
                  <w:rStyle w:val="Hyperlink"/>
                  <w:lang w:val="de-DE"/>
                </w:rPr>
                <w:t>heidi-maria.lehtonen@dolby.com</w:t>
              </w:r>
            </w:hyperlink>
            <w:r w:rsidRPr="00602706">
              <w:rPr>
                <w:lang w:val="en-US"/>
              </w:rPr>
              <w:t xml:space="preserve"> </w:t>
            </w:r>
          </w:p>
          <w:p w14:paraId="3E4E52C4" w14:textId="77777777" w:rsidR="00602706" w:rsidRPr="00602706" w:rsidRDefault="00602706" w:rsidP="00602706">
            <w:pPr>
              <w:rPr>
                <w:lang w:val="en-US"/>
              </w:rPr>
            </w:pPr>
          </w:p>
        </w:tc>
      </w:tr>
      <w:tr w:rsidR="00602706" w:rsidRPr="00602706" w14:paraId="6A71065E" w14:textId="77777777" w:rsidTr="00602706">
        <w:tc>
          <w:tcPr>
            <w:tcW w:w="1242" w:type="dxa"/>
            <w:hideMark/>
          </w:tcPr>
          <w:p w14:paraId="2B24104A" w14:textId="77777777" w:rsidR="00602706" w:rsidRPr="00602706" w:rsidRDefault="00602706" w:rsidP="00602706">
            <w:pPr>
              <w:rPr>
                <w:lang w:val="en-US"/>
              </w:rPr>
            </w:pPr>
            <w:r w:rsidRPr="00602706">
              <w:rPr>
                <w:lang w:val="en-US"/>
              </w:rPr>
              <w:t>Title:</w:t>
            </w:r>
          </w:p>
        </w:tc>
        <w:tc>
          <w:tcPr>
            <w:tcW w:w="8505" w:type="dxa"/>
            <w:gridSpan w:val="3"/>
            <w:tcMar>
              <w:top w:w="0" w:type="dxa"/>
              <w:left w:w="108" w:type="dxa"/>
              <w:bottom w:w="0" w:type="dxa"/>
              <w:right w:w="57" w:type="dxa"/>
            </w:tcMar>
            <w:hideMark/>
          </w:tcPr>
          <w:p w14:paraId="21919E42" w14:textId="2410AD58" w:rsidR="00602706" w:rsidRPr="00602706" w:rsidRDefault="00602706" w:rsidP="00602706">
            <w:pPr>
              <w:rPr>
                <w:b/>
                <w:lang w:val="en-US"/>
              </w:rPr>
            </w:pPr>
            <w:bookmarkStart w:id="1" w:name="_Hlk193720022"/>
            <w:r w:rsidRPr="00602706">
              <w:rPr>
                <w:b/>
              </w:rPr>
              <w:t xml:space="preserve">H.BWC </w:t>
            </w:r>
            <w:r w:rsidR="00203AFA">
              <w:rPr>
                <w:b/>
              </w:rPr>
              <w:t xml:space="preserve">Predictor Coding </w:t>
            </w:r>
            <w:r w:rsidRPr="00602706">
              <w:rPr>
                <w:b/>
              </w:rPr>
              <w:t>Tool Assessment</w:t>
            </w:r>
            <w:bookmarkEnd w:id="1"/>
          </w:p>
        </w:tc>
      </w:tr>
      <w:tr w:rsidR="00602706" w:rsidRPr="00602706" w14:paraId="0F7A1700" w14:textId="77777777" w:rsidTr="00602706">
        <w:tc>
          <w:tcPr>
            <w:tcW w:w="1242" w:type="dxa"/>
            <w:hideMark/>
          </w:tcPr>
          <w:p w14:paraId="0D0E2D6D" w14:textId="77777777" w:rsidR="00602706" w:rsidRPr="00602706" w:rsidRDefault="00602706" w:rsidP="00602706">
            <w:pPr>
              <w:rPr>
                <w:lang w:val="en-US"/>
              </w:rPr>
            </w:pPr>
            <w:r w:rsidRPr="00602706">
              <w:rPr>
                <w:lang w:val="en-US"/>
              </w:rPr>
              <w:t>Purpose:</w:t>
            </w:r>
          </w:p>
        </w:tc>
        <w:tc>
          <w:tcPr>
            <w:tcW w:w="8505" w:type="dxa"/>
            <w:gridSpan w:val="3"/>
            <w:hideMark/>
          </w:tcPr>
          <w:p w14:paraId="73F169F0" w14:textId="77B14FE7" w:rsidR="00602706" w:rsidRPr="00602706" w:rsidRDefault="00E93C50" w:rsidP="00602706">
            <w:pPr>
              <w:rPr>
                <w:lang w:val="en-US"/>
              </w:rPr>
            </w:pPr>
            <w:r>
              <w:rPr>
                <w:lang w:val="en-US"/>
              </w:rPr>
              <w:t>Information</w:t>
            </w:r>
          </w:p>
        </w:tc>
      </w:tr>
    </w:tbl>
    <w:p w14:paraId="1DEA9F74" w14:textId="77777777" w:rsidR="00602706" w:rsidRDefault="00602706" w:rsidP="0089088E">
      <w:pPr>
        <w:rPr>
          <w:lang w:val="de-DE"/>
        </w:rPr>
      </w:pPr>
    </w:p>
    <w:p w14:paraId="39D0F803" w14:textId="77777777" w:rsidR="00602706" w:rsidRPr="00A4407F" w:rsidRDefault="00602706" w:rsidP="0089088E">
      <w:pPr>
        <w:rPr>
          <w:lang w:val="de-DE"/>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136DDD" w14:paraId="101F633C" w14:textId="77777777" w:rsidTr="004646F1">
        <w:trPr>
          <w:cantSplit/>
        </w:trPr>
        <w:tc>
          <w:tcPr>
            <w:tcW w:w="1588" w:type="dxa"/>
          </w:tcPr>
          <w:p w14:paraId="65C41448" w14:textId="77777777" w:rsidR="0089088E" w:rsidRPr="00136DDD" w:rsidRDefault="0089088E" w:rsidP="005976A1">
            <w:pPr>
              <w:rPr>
                <w:b/>
                <w:bCs/>
              </w:rPr>
            </w:pPr>
            <w:r w:rsidRPr="00136DDD">
              <w:rPr>
                <w:b/>
                <w:bCs/>
              </w:rPr>
              <w:t>Abstract:</w:t>
            </w:r>
          </w:p>
        </w:tc>
        <w:tc>
          <w:tcPr>
            <w:tcW w:w="8051" w:type="dxa"/>
          </w:tcPr>
          <w:p w14:paraId="2E4B0C30" w14:textId="58725DEF" w:rsidR="0089088E" w:rsidRPr="008249A7" w:rsidRDefault="00973287" w:rsidP="00973287">
            <w:pPr>
              <w:pStyle w:val="TSBHeaderSummary"/>
              <w:rPr>
                <w:highlight w:val="yellow"/>
              </w:rPr>
            </w:pPr>
            <w:r w:rsidRPr="00900E3B">
              <w:t>This</w:t>
            </w:r>
            <w:r>
              <w:t xml:space="preserve"> document </w:t>
            </w:r>
            <w:r w:rsidR="006F4180">
              <w:t>presents</w:t>
            </w:r>
            <w:r>
              <w:t xml:space="preserve"> H.BWC</w:t>
            </w:r>
            <w:r w:rsidRPr="00900E3B">
              <w:t xml:space="preserve"> </w:t>
            </w:r>
            <w:r w:rsidR="006F4180">
              <w:t>predictor coding tool assessment carried out by Dolby Laboratories.</w:t>
            </w:r>
          </w:p>
        </w:tc>
      </w:tr>
    </w:tbl>
    <w:p w14:paraId="3439447D" w14:textId="243092B8" w:rsidR="00973287" w:rsidRDefault="0028132C" w:rsidP="00973287">
      <w:pPr>
        <w:pStyle w:val="Heading5"/>
      </w:pPr>
      <w:bookmarkStart w:id="2" w:name="_Hlk98415917"/>
      <w:bookmarkEnd w:id="0"/>
      <w:r>
        <w:t xml:space="preserve">H.BWC </w:t>
      </w:r>
      <w:r w:rsidR="006F4180">
        <w:t xml:space="preserve">Predictor </w:t>
      </w:r>
      <w:r>
        <w:t>Coding Tool Assessment</w:t>
      </w:r>
    </w:p>
    <w:p w14:paraId="0D6A0CDA" w14:textId="7D11F9F8" w:rsidR="00EB646C" w:rsidRDefault="00C15BCB" w:rsidP="00C15BCB">
      <w:r>
        <w:rPr>
          <w:lang w:eastAsia="en-US"/>
        </w:rPr>
        <w:t xml:space="preserve">The </w:t>
      </w:r>
      <w:r w:rsidR="00682D52">
        <w:rPr>
          <w:lang w:eastAsia="en-US"/>
        </w:rPr>
        <w:t xml:space="preserve">H.BWC reference </w:t>
      </w:r>
      <w:r>
        <w:rPr>
          <w:lang w:eastAsia="en-US"/>
        </w:rPr>
        <w:t xml:space="preserve">software available </w:t>
      </w:r>
      <w:r w:rsidR="00682D52">
        <w:rPr>
          <w:lang w:eastAsia="en-US"/>
        </w:rPr>
        <w:t>at</w:t>
      </w:r>
      <w:r>
        <w:rPr>
          <w:lang w:eastAsia="en-US"/>
        </w:rPr>
        <w:t xml:space="preserve"> </w:t>
      </w:r>
      <w:hyperlink r:id="rId13" w:history="1">
        <w:r w:rsidRPr="007E775B">
          <w:rPr>
            <w:rStyle w:val="Hyperlink"/>
          </w:rPr>
          <w:t>https://vcgit.hhi.fraunhofer.de/vceg-sw/bwc</w:t>
        </w:r>
      </w:hyperlink>
      <w:r>
        <w:t xml:space="preserve"> provides multiple </w:t>
      </w:r>
      <w:r w:rsidR="009C1833">
        <w:t xml:space="preserve">prediction </w:t>
      </w:r>
      <w:r>
        <w:t xml:space="preserve">tools which contribute to the </w:t>
      </w:r>
      <w:r w:rsidR="00EB646C">
        <w:t>R</w:t>
      </w:r>
      <w:r>
        <w:t xml:space="preserve">ate / </w:t>
      </w:r>
      <w:r w:rsidR="00EB646C">
        <w:t>D</w:t>
      </w:r>
      <w:r>
        <w:t xml:space="preserve">istortion (R/D) efficiency. </w:t>
      </w:r>
      <w:r w:rsidR="004B27E2">
        <w:t>Coding tools are configured globally based on the configuration file</w:t>
      </w:r>
      <w:r w:rsidR="00EB646C">
        <w:t xml:space="preserve"> that is </w:t>
      </w:r>
      <w:r w:rsidR="009C1833">
        <w:t xml:space="preserve">dependent on </w:t>
      </w:r>
      <w:r w:rsidR="00EB646C">
        <w:t xml:space="preserve">the </w:t>
      </w:r>
      <w:r w:rsidR="009C1833">
        <w:t xml:space="preserve">signal category </w:t>
      </w:r>
      <w:r w:rsidR="004B27E2">
        <w:t xml:space="preserve">and potentially additional command line switches. </w:t>
      </w:r>
      <w:r>
        <w:t xml:space="preserve">Internally, </w:t>
      </w:r>
      <w:r w:rsidR="004B27E2">
        <w:t xml:space="preserve">preconfigured </w:t>
      </w:r>
      <w:r>
        <w:t>tools are adaptively selected based on the optim</w:t>
      </w:r>
      <w:r w:rsidR="00EB646C">
        <w:t>al</w:t>
      </w:r>
      <w:r>
        <w:t xml:space="preserve"> R/D performance. In this study</w:t>
      </w:r>
      <w:r w:rsidR="004B27E2">
        <w:t>,</w:t>
      </w:r>
      <w:r>
        <w:t xml:space="preserve"> </w:t>
      </w:r>
      <w:r w:rsidR="00EB646C">
        <w:t xml:space="preserve">the </w:t>
      </w:r>
      <w:r>
        <w:t xml:space="preserve">usage statistics </w:t>
      </w:r>
      <w:r w:rsidR="004B27E2">
        <w:t xml:space="preserve">for a selection of </w:t>
      </w:r>
      <w:r w:rsidR="009C1833">
        <w:t xml:space="preserve">prediction </w:t>
      </w:r>
      <w:r>
        <w:t xml:space="preserve">coding tools are shown </w:t>
      </w:r>
      <w:r w:rsidR="00EB646C">
        <w:t>as a function of</w:t>
      </w:r>
      <w:r>
        <w:t xml:space="preserve"> the </w:t>
      </w:r>
      <w:r w:rsidR="004B27E2">
        <w:t xml:space="preserve">bitrates </w:t>
      </w:r>
      <w:r w:rsidR="00EB646C">
        <w:t xml:space="preserve">resulting from </w:t>
      </w:r>
      <w:r w:rsidR="004B27E2">
        <w:t xml:space="preserve">the </w:t>
      </w:r>
      <w:r>
        <w:t>step sizes as defined in the C</w:t>
      </w:r>
      <w:r w:rsidR="006F4180">
        <w:t>ommon Test Conditions</w:t>
      </w:r>
      <w:r>
        <w:t xml:space="preserve"> document</w:t>
      </w:r>
      <w:r w:rsidR="00EB646C">
        <w:t xml:space="preserve"> [1]</w:t>
      </w:r>
      <w:r>
        <w:t xml:space="preserve">. </w:t>
      </w:r>
      <w:r w:rsidR="009C1833">
        <w:t>To measure those statistics, the decoder has been instrumented.</w:t>
      </w:r>
      <w:r w:rsidR="00EB646C">
        <w:t xml:space="preserve"> </w:t>
      </w:r>
      <w:r w:rsidR="00EB646C">
        <w:fldChar w:fldCharType="begin"/>
      </w:r>
      <w:r w:rsidR="00EB646C">
        <w:instrText xml:space="preserve"> REF _Ref193388453 \h </w:instrText>
      </w:r>
      <w:r w:rsidR="00EB646C">
        <w:fldChar w:fldCharType="separate"/>
      </w:r>
      <w:r w:rsidR="00EB646C">
        <w:t xml:space="preserve">Table </w:t>
      </w:r>
      <w:r w:rsidR="00EB646C">
        <w:rPr>
          <w:noProof/>
        </w:rPr>
        <w:t>1</w:t>
      </w:r>
      <w:r w:rsidR="00EB646C">
        <w:fldChar w:fldCharType="end"/>
      </w:r>
      <w:r w:rsidR="006F4180">
        <w:t xml:space="preserve"> </w:t>
      </w:r>
      <w:r w:rsidR="00EB646C">
        <w:t>lists the</w:t>
      </w:r>
      <w:r w:rsidR="009C1833">
        <w:t xml:space="preserve"> </w:t>
      </w:r>
      <w:r w:rsidR="00AC6A1C">
        <w:t xml:space="preserve">prediction tools </w:t>
      </w:r>
      <w:r w:rsidR="00EB646C">
        <w:t xml:space="preserve">that </w:t>
      </w:r>
      <w:r w:rsidR="00AC6A1C">
        <w:t>are considered</w:t>
      </w:r>
      <w:r w:rsidR="00EB646C">
        <w:t xml:space="preserve"> in this analysis.</w:t>
      </w:r>
    </w:p>
    <w:p w14:paraId="695A5701" w14:textId="373BD513" w:rsidR="00C15BCB" w:rsidRDefault="009C1833" w:rsidP="00C15BCB">
      <w:r>
        <w:t xml:space="preserve"> </w:t>
      </w:r>
    </w:p>
    <w:tbl>
      <w:tblPr>
        <w:tblStyle w:val="TableGrid"/>
        <w:tblW w:w="0" w:type="auto"/>
        <w:tblLook w:val="04A0" w:firstRow="1" w:lastRow="0" w:firstColumn="1" w:lastColumn="0" w:noHBand="0" w:noVBand="1"/>
      </w:tblPr>
      <w:tblGrid>
        <w:gridCol w:w="1097"/>
        <w:gridCol w:w="1778"/>
        <w:gridCol w:w="2340"/>
        <w:gridCol w:w="4414"/>
      </w:tblGrid>
      <w:tr w:rsidR="008C1DA1" w14:paraId="69A9E784" w14:textId="77777777" w:rsidTr="009E04E7">
        <w:tc>
          <w:tcPr>
            <w:tcW w:w="1097" w:type="dxa"/>
          </w:tcPr>
          <w:p w14:paraId="461664E7" w14:textId="27C88D17" w:rsidR="008E402B" w:rsidRDefault="008E402B" w:rsidP="00C15BCB">
            <w:r>
              <w:t>Category</w:t>
            </w:r>
          </w:p>
        </w:tc>
        <w:tc>
          <w:tcPr>
            <w:tcW w:w="1778" w:type="dxa"/>
          </w:tcPr>
          <w:p w14:paraId="4E624743" w14:textId="0D1DAA2E" w:rsidR="008E402B" w:rsidRDefault="008E402B" w:rsidP="00C15BCB">
            <w:r>
              <w:t>Short Name</w:t>
            </w:r>
          </w:p>
        </w:tc>
        <w:tc>
          <w:tcPr>
            <w:tcW w:w="2340" w:type="dxa"/>
          </w:tcPr>
          <w:p w14:paraId="2B54C56F" w14:textId="5FA5821E" w:rsidR="008E402B" w:rsidRDefault="008C1DA1" w:rsidP="00C15BCB">
            <w:r>
              <w:t xml:space="preserve">enum </w:t>
            </w:r>
            <w:r w:rsidR="008E402B" w:rsidRPr="00970224">
              <w:t>BlockBasedIntraType</w:t>
            </w:r>
          </w:p>
        </w:tc>
        <w:tc>
          <w:tcPr>
            <w:tcW w:w="4414" w:type="dxa"/>
          </w:tcPr>
          <w:p w14:paraId="6E2702F8" w14:textId="7A168289" w:rsidR="008E402B" w:rsidRDefault="008E402B" w:rsidP="00C15BCB">
            <w:r>
              <w:t>Comment</w:t>
            </w:r>
          </w:p>
        </w:tc>
      </w:tr>
      <w:tr w:rsidR="008C1DA1" w14:paraId="6675B772" w14:textId="77777777" w:rsidTr="009E04E7">
        <w:tc>
          <w:tcPr>
            <w:tcW w:w="1097" w:type="dxa"/>
          </w:tcPr>
          <w:p w14:paraId="311BF2ED" w14:textId="53D9650D" w:rsidR="008E402B" w:rsidRDefault="008E402B" w:rsidP="00C15BCB">
            <w:r>
              <w:t>1</w:t>
            </w:r>
          </w:p>
        </w:tc>
        <w:tc>
          <w:tcPr>
            <w:tcW w:w="1778" w:type="dxa"/>
          </w:tcPr>
          <w:p w14:paraId="483DB883" w14:textId="6429C29D" w:rsidR="008E402B" w:rsidRDefault="008E402B" w:rsidP="00C15BCB">
            <w:r>
              <w:t>Mean</w:t>
            </w:r>
          </w:p>
        </w:tc>
        <w:tc>
          <w:tcPr>
            <w:tcW w:w="2340" w:type="dxa"/>
          </w:tcPr>
          <w:p w14:paraId="02DC529C" w14:textId="0E8C2D50" w:rsidR="008E402B" w:rsidRDefault="008E402B" w:rsidP="00C15BCB">
            <w:r w:rsidRPr="00230F4F">
              <w:t>BLOCK_PRED_DC</w:t>
            </w:r>
          </w:p>
        </w:tc>
        <w:tc>
          <w:tcPr>
            <w:tcW w:w="4414" w:type="dxa"/>
          </w:tcPr>
          <w:p w14:paraId="5959D60E" w14:textId="77777777" w:rsidR="008E402B" w:rsidRDefault="008E402B" w:rsidP="00C15BCB"/>
        </w:tc>
      </w:tr>
      <w:tr w:rsidR="008C1DA1" w14:paraId="3006459F" w14:textId="77777777" w:rsidTr="009E04E7">
        <w:tc>
          <w:tcPr>
            <w:tcW w:w="1097" w:type="dxa"/>
          </w:tcPr>
          <w:p w14:paraId="68B58DA6" w14:textId="56067851" w:rsidR="008E402B" w:rsidRDefault="008E402B" w:rsidP="00C15BCB">
            <w:r>
              <w:t>1</w:t>
            </w:r>
          </w:p>
        </w:tc>
        <w:tc>
          <w:tcPr>
            <w:tcW w:w="1778" w:type="dxa"/>
          </w:tcPr>
          <w:p w14:paraId="332DED23" w14:textId="18434B89" w:rsidR="008E402B" w:rsidRDefault="008E402B" w:rsidP="00C15BCB">
            <w:r>
              <w:t>Line Fit</w:t>
            </w:r>
          </w:p>
        </w:tc>
        <w:tc>
          <w:tcPr>
            <w:tcW w:w="2340" w:type="dxa"/>
          </w:tcPr>
          <w:p w14:paraId="03EF1B74" w14:textId="3BDC2FB3" w:rsidR="008E402B" w:rsidRDefault="008E402B" w:rsidP="00C15BCB">
            <w:r w:rsidRPr="00230F4F">
              <w:t>BLOCK_PRED_LF</w:t>
            </w:r>
          </w:p>
        </w:tc>
        <w:tc>
          <w:tcPr>
            <w:tcW w:w="4414" w:type="dxa"/>
          </w:tcPr>
          <w:p w14:paraId="06FCEC6A" w14:textId="77777777" w:rsidR="008E402B" w:rsidRDefault="008E402B" w:rsidP="00C15BCB"/>
        </w:tc>
      </w:tr>
      <w:tr w:rsidR="008C1DA1" w14:paraId="7FB71C0E" w14:textId="77777777" w:rsidTr="009E04E7">
        <w:tc>
          <w:tcPr>
            <w:tcW w:w="1097" w:type="dxa"/>
          </w:tcPr>
          <w:p w14:paraId="08D02D06" w14:textId="51429809" w:rsidR="008E402B" w:rsidRDefault="008E402B" w:rsidP="00C15BCB">
            <w:r>
              <w:t>1</w:t>
            </w:r>
          </w:p>
        </w:tc>
        <w:tc>
          <w:tcPr>
            <w:tcW w:w="1778" w:type="dxa"/>
          </w:tcPr>
          <w:p w14:paraId="2DC9F74E" w14:textId="18081311" w:rsidR="008E402B" w:rsidRDefault="008E402B" w:rsidP="00C15BCB">
            <w:r>
              <w:t>Block Match</w:t>
            </w:r>
          </w:p>
        </w:tc>
        <w:tc>
          <w:tcPr>
            <w:tcW w:w="2340" w:type="dxa"/>
          </w:tcPr>
          <w:p w14:paraId="38213A50" w14:textId="5D118477" w:rsidR="008E402B" w:rsidRDefault="008E402B" w:rsidP="00C15BCB">
            <w:r w:rsidRPr="00230F4F">
              <w:t>BLOCK_PRED_BM</w:t>
            </w:r>
          </w:p>
        </w:tc>
        <w:tc>
          <w:tcPr>
            <w:tcW w:w="4414" w:type="dxa"/>
          </w:tcPr>
          <w:p w14:paraId="6DC6D3C5" w14:textId="77777777" w:rsidR="008E402B" w:rsidRDefault="008E402B" w:rsidP="00C15BCB"/>
        </w:tc>
      </w:tr>
      <w:tr w:rsidR="008C1DA1" w14:paraId="4945A6DD" w14:textId="77777777" w:rsidTr="009E04E7">
        <w:tc>
          <w:tcPr>
            <w:tcW w:w="1097" w:type="dxa"/>
          </w:tcPr>
          <w:p w14:paraId="24C659B4" w14:textId="02CF7E98" w:rsidR="008E402B" w:rsidRDefault="008E402B" w:rsidP="00C15BCB">
            <w:r>
              <w:t>1</w:t>
            </w:r>
          </w:p>
        </w:tc>
        <w:tc>
          <w:tcPr>
            <w:tcW w:w="1778" w:type="dxa"/>
          </w:tcPr>
          <w:p w14:paraId="66162DA7" w14:textId="355BFB59" w:rsidR="008E402B" w:rsidRDefault="008E402B" w:rsidP="00C15BCB">
            <w:r>
              <w:t>Cross Channel</w:t>
            </w:r>
          </w:p>
        </w:tc>
        <w:tc>
          <w:tcPr>
            <w:tcW w:w="2340" w:type="dxa"/>
          </w:tcPr>
          <w:p w14:paraId="7BE25707" w14:textId="53F83871" w:rsidR="008E402B" w:rsidRDefault="008E402B" w:rsidP="00C15BCB">
            <w:r w:rsidRPr="00230F4F">
              <w:t>BLOCK_PRED_LM</w:t>
            </w:r>
          </w:p>
        </w:tc>
        <w:tc>
          <w:tcPr>
            <w:tcW w:w="4414" w:type="dxa"/>
          </w:tcPr>
          <w:p w14:paraId="35318EF2" w14:textId="77777777" w:rsidR="008E402B" w:rsidRDefault="008E402B" w:rsidP="00C15BCB"/>
        </w:tc>
      </w:tr>
      <w:tr w:rsidR="008C1DA1" w14:paraId="69B177F7" w14:textId="77777777" w:rsidTr="009E04E7">
        <w:tc>
          <w:tcPr>
            <w:tcW w:w="1097" w:type="dxa"/>
          </w:tcPr>
          <w:p w14:paraId="15989068" w14:textId="6D384137" w:rsidR="008E402B" w:rsidRDefault="008E402B" w:rsidP="00C15BCB">
            <w:r>
              <w:t>2</w:t>
            </w:r>
          </w:p>
        </w:tc>
        <w:tc>
          <w:tcPr>
            <w:tcW w:w="1778" w:type="dxa"/>
          </w:tcPr>
          <w:p w14:paraId="5F15DF43" w14:textId="257C3525" w:rsidR="008E402B" w:rsidRDefault="009F7959" w:rsidP="00C15BCB">
            <w:r>
              <w:t>Adaptive</w:t>
            </w:r>
          </w:p>
        </w:tc>
        <w:tc>
          <w:tcPr>
            <w:tcW w:w="2340" w:type="dxa"/>
          </w:tcPr>
          <w:p w14:paraId="6522F903" w14:textId="05D9C6A5" w:rsidR="008E402B" w:rsidRPr="00230F4F" w:rsidRDefault="008E402B" w:rsidP="00C15BCB">
            <w:r>
              <w:t>N/A</w:t>
            </w:r>
          </w:p>
        </w:tc>
        <w:tc>
          <w:tcPr>
            <w:tcW w:w="4414" w:type="dxa"/>
          </w:tcPr>
          <w:p w14:paraId="09B7C29B" w14:textId="038BCB32" w:rsidR="008E402B" w:rsidRDefault="009F7959" w:rsidP="00C15BCB">
            <w:r>
              <w:t>DCT Domain j</w:t>
            </w:r>
            <w:r w:rsidR="008E402B">
              <w:t xml:space="preserve">oint </w:t>
            </w:r>
            <w:r>
              <w:t>i</w:t>
            </w:r>
            <w:r w:rsidR="008E402B">
              <w:t>nter-</w:t>
            </w:r>
            <w:r>
              <w:t>c</w:t>
            </w:r>
            <w:r w:rsidR="008E402B">
              <w:t xml:space="preserve">hannel / </w:t>
            </w:r>
            <w:r>
              <w:t>f</w:t>
            </w:r>
            <w:r w:rsidR="008E402B">
              <w:t xml:space="preserve">requency prediction for ECG and EMG signals, </w:t>
            </w:r>
            <w:r>
              <w:t>i</w:t>
            </w:r>
            <w:r w:rsidR="008E402B">
              <w:t>nter-</w:t>
            </w:r>
            <w:r>
              <w:t>c</w:t>
            </w:r>
            <w:r w:rsidR="008E402B">
              <w:t>hannel Prediction for EEG signals</w:t>
            </w:r>
          </w:p>
        </w:tc>
      </w:tr>
    </w:tbl>
    <w:p w14:paraId="2C07CE91" w14:textId="1980C96A" w:rsidR="00973287" w:rsidRDefault="008E402B" w:rsidP="008E402B">
      <w:pPr>
        <w:pStyle w:val="Caption"/>
      </w:pPr>
      <w:bookmarkStart w:id="3" w:name="_Ref193388453"/>
      <w:r>
        <w:t xml:space="preserve">Table </w:t>
      </w:r>
      <w:r>
        <w:fldChar w:fldCharType="begin"/>
      </w:r>
      <w:r>
        <w:instrText xml:space="preserve"> SEQ Table \* ARABIC </w:instrText>
      </w:r>
      <w:r>
        <w:fldChar w:fldCharType="separate"/>
      </w:r>
      <w:r w:rsidR="00777F6B">
        <w:rPr>
          <w:noProof/>
        </w:rPr>
        <w:t>1</w:t>
      </w:r>
      <w:r>
        <w:fldChar w:fldCharType="end"/>
      </w:r>
      <w:bookmarkEnd w:id="3"/>
      <w:r>
        <w:t>- Evaluated Prediction Tools</w:t>
      </w:r>
      <w:r w:rsidR="00EB646C">
        <w:t>.</w:t>
      </w:r>
    </w:p>
    <w:p w14:paraId="617DBEDE" w14:textId="2A74A491" w:rsidR="008E402B" w:rsidRDefault="008E402B" w:rsidP="008E402B">
      <w:r>
        <w:t xml:space="preserve">Note that, for a particular block, either </w:t>
      </w:r>
      <w:r w:rsidR="00AC6A1C">
        <w:t xml:space="preserve">a </w:t>
      </w:r>
      <w:r>
        <w:t xml:space="preserve">prediction </w:t>
      </w:r>
      <w:r w:rsidR="00AC6A1C">
        <w:t xml:space="preserve">tool </w:t>
      </w:r>
      <w:r>
        <w:t xml:space="preserve">of the category 1 or </w:t>
      </w:r>
      <w:r w:rsidR="009E04E7">
        <w:t xml:space="preserve">category </w:t>
      </w:r>
      <w:r>
        <w:t xml:space="preserve">2 may be used </w:t>
      </w:r>
      <w:r w:rsidR="009E04E7">
        <w:t>b</w:t>
      </w:r>
      <w:r>
        <w:t>ut not both.</w:t>
      </w:r>
      <w:r w:rsidR="00333623">
        <w:t xml:space="preserve"> For </w:t>
      </w:r>
      <w:r w:rsidR="00AC6A1C">
        <w:t xml:space="preserve">all </w:t>
      </w:r>
      <w:r w:rsidR="00333623">
        <w:t>decoded block</w:t>
      </w:r>
      <w:r w:rsidR="00AC6A1C">
        <w:t>s,</w:t>
      </w:r>
      <w:r w:rsidR="00333623">
        <w:t xml:space="preserve"> </w:t>
      </w:r>
      <w:r w:rsidR="00AC6A1C">
        <w:t>occurrences of the considered prediction tools weighted by the</w:t>
      </w:r>
      <w:r w:rsidR="00EB646C">
        <w:t xml:space="preserve"> respective</w:t>
      </w:r>
      <w:r w:rsidR="00AC6A1C">
        <w:t xml:space="preserve"> block size have been summed up and finally expressed as a percentage with respect to the total sum of weighted occurrences.</w:t>
      </w:r>
      <w:r w:rsidR="00EB7CB7">
        <w:t xml:space="preserve"> The percentage results for every evaluated file per data base have been averaged for the final visualization.</w:t>
      </w:r>
      <w:r w:rsidR="00AC6A1C">
        <w:t xml:space="preserve"> </w:t>
      </w:r>
    </w:p>
    <w:p w14:paraId="26D14E2D" w14:textId="7DE269B2" w:rsidR="00D778F2" w:rsidRDefault="00D778F2" w:rsidP="008E402B">
      <w:r>
        <w:lastRenderedPageBreak/>
        <w:t>Along with the prediction coding tool usage, relative percentages of the selected block sizes are shown. T</w:t>
      </w:r>
      <w:r w:rsidRPr="00D778F2">
        <w:t xml:space="preserve">his is informative in understanding the use of the different prediction tools and is also informative for </w:t>
      </w:r>
      <w:r>
        <w:t xml:space="preserve">future </w:t>
      </w:r>
      <w:r w:rsidRPr="00D778F2">
        <w:t>associated complexity analysis.</w:t>
      </w:r>
      <w:r>
        <w:t xml:space="preserve"> </w:t>
      </w:r>
    </w:p>
    <w:p w14:paraId="545F06D6" w14:textId="4D415187" w:rsidR="00242EC1" w:rsidRDefault="00242EC1" w:rsidP="008E402B">
      <w:r w:rsidRPr="00242EC1">
        <w:t>For ECG we further show data</w:t>
      </w:r>
      <w:r>
        <w:t xml:space="preserve"> in Fig. 3</w:t>
      </w:r>
      <w:r w:rsidRPr="00242EC1">
        <w:t xml:space="preserve"> for an exemplary </w:t>
      </w:r>
      <w:r>
        <w:t xml:space="preserve">intraPeriod value, i.e., </w:t>
      </w:r>
      <w:r w:rsidRPr="00242EC1">
        <w:t xml:space="preserve">random access point, where 512 </w:t>
      </w:r>
      <w:r>
        <w:t xml:space="preserve">samples </w:t>
      </w:r>
      <w:r w:rsidRPr="00242EC1">
        <w:t>correspond to approx</w:t>
      </w:r>
      <w:r>
        <w:t>imately</w:t>
      </w:r>
      <w:r w:rsidRPr="00242EC1">
        <w:t xml:space="preserve"> 1</w:t>
      </w:r>
      <w:r w:rsidR="00A41AFB">
        <w:t>.4</w:t>
      </w:r>
      <w:r w:rsidRPr="00242EC1">
        <w:t xml:space="preserve"> sec, to illustrate the effect of such</w:t>
      </w:r>
      <w:r>
        <w:t xml:space="preserve"> constraints</w:t>
      </w:r>
      <w:r w:rsidRPr="00242EC1">
        <w:t>.</w:t>
      </w:r>
      <w:r>
        <w:t xml:space="preserve"> Data in the other figures correspond to results that were obtained with an intraPeriod value of </w:t>
      </w:r>
      <w:r w:rsidRPr="00242EC1">
        <w:t>98304</w:t>
      </w:r>
      <w:r>
        <w:t xml:space="preserve"> samples. The </w:t>
      </w:r>
      <w:proofErr w:type="gramStart"/>
      <w:r w:rsidR="00A41AFB">
        <w:t>random access</w:t>
      </w:r>
      <w:proofErr w:type="gramEnd"/>
      <w:r w:rsidR="00A41AFB">
        <w:t xml:space="preserve"> point in seconds depends on the sampling rate, and for the ECG dataset this corresponds to approximately 4.5 minutes. </w:t>
      </w:r>
    </w:p>
    <w:p w14:paraId="05D4FBD3" w14:textId="6D951C30" w:rsidR="00973287" w:rsidRDefault="0028132C" w:rsidP="00973287">
      <w:pPr>
        <w:pStyle w:val="Heading5"/>
      </w:pPr>
      <w:r>
        <w:t>Results</w:t>
      </w:r>
    </w:p>
    <w:p w14:paraId="7919CF7F" w14:textId="58D2F43B" w:rsidR="0028132C" w:rsidRDefault="00F24AB2" w:rsidP="00682D52">
      <w:pPr>
        <w:pStyle w:val="Heading4"/>
        <w:jc w:val="center"/>
        <w:rPr>
          <w:lang w:val="en-US"/>
        </w:rPr>
      </w:pPr>
      <w:r w:rsidRPr="00F24AB2">
        <w:rPr>
          <w:noProof/>
          <w:lang w:val="en-US"/>
        </w:rPr>
        <w:drawing>
          <wp:inline distT="0" distB="0" distL="0" distR="0" wp14:anchorId="21CDA26D" wp14:editId="11ACD7F3">
            <wp:extent cx="5259313" cy="3936611"/>
            <wp:effectExtent l="0" t="0" r="0" b="0"/>
            <wp:docPr id="750099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99997"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3141" cy="3939476"/>
                    </a:xfrm>
                    <a:prstGeom prst="rect">
                      <a:avLst/>
                    </a:prstGeom>
                    <a:noFill/>
                    <a:ln>
                      <a:noFill/>
                    </a:ln>
                  </pic:spPr>
                </pic:pic>
              </a:graphicData>
            </a:graphic>
          </wp:inline>
        </w:drawing>
      </w:r>
    </w:p>
    <w:p w14:paraId="33D6285C" w14:textId="44783D21" w:rsidR="00F24AB2" w:rsidRDefault="00F24AB2" w:rsidP="00682D52">
      <w:pPr>
        <w:pStyle w:val="Caption"/>
        <w:jc w:val="center"/>
      </w:pPr>
      <w:r>
        <w:t xml:space="preserve">Fig. </w:t>
      </w:r>
      <w:r>
        <w:fldChar w:fldCharType="begin"/>
      </w:r>
      <w:r>
        <w:instrText xml:space="preserve"> SEQ Fig. \* ARABIC </w:instrText>
      </w:r>
      <w:r>
        <w:fldChar w:fldCharType="separate"/>
      </w:r>
      <w:r w:rsidR="00C85B03">
        <w:rPr>
          <w:noProof/>
        </w:rPr>
        <w:t>1</w:t>
      </w:r>
      <w:r>
        <w:fldChar w:fldCharType="end"/>
      </w:r>
      <w:r w:rsidR="003911DB">
        <w:t xml:space="preserve"> - </w:t>
      </w:r>
      <w:r>
        <w:t>Block Size Statistics for the MIT - ECG data base</w:t>
      </w:r>
    </w:p>
    <w:p w14:paraId="580683D6" w14:textId="3ADEB4B3" w:rsidR="00F24AB2" w:rsidRPr="00F24AB2" w:rsidRDefault="009054A1" w:rsidP="00682D52">
      <w:pPr>
        <w:jc w:val="center"/>
        <w:rPr>
          <w:lang w:val="en-US" w:eastAsia="en-US"/>
        </w:rPr>
      </w:pPr>
      <w:r w:rsidRPr="009054A1">
        <w:rPr>
          <w:noProof/>
          <w:lang w:val="en-US" w:eastAsia="en-US"/>
        </w:rPr>
        <w:lastRenderedPageBreak/>
        <w:drawing>
          <wp:inline distT="0" distB="0" distL="0" distR="0" wp14:anchorId="1973A900" wp14:editId="5D9AADFE">
            <wp:extent cx="5133309" cy="3842297"/>
            <wp:effectExtent l="0" t="0" r="0" b="0"/>
            <wp:docPr id="404825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5299" cy="3858756"/>
                    </a:xfrm>
                    <a:prstGeom prst="rect">
                      <a:avLst/>
                    </a:prstGeom>
                    <a:noFill/>
                    <a:ln>
                      <a:noFill/>
                    </a:ln>
                  </pic:spPr>
                </pic:pic>
              </a:graphicData>
            </a:graphic>
          </wp:inline>
        </w:drawing>
      </w:r>
    </w:p>
    <w:p w14:paraId="49451F95" w14:textId="114FB323" w:rsidR="00F24AB2" w:rsidRDefault="003911DB" w:rsidP="00682D52">
      <w:pPr>
        <w:pStyle w:val="Caption"/>
        <w:jc w:val="center"/>
      </w:pPr>
      <w:r>
        <w:t xml:space="preserve">Fig. </w:t>
      </w:r>
      <w:r>
        <w:fldChar w:fldCharType="begin"/>
      </w:r>
      <w:r>
        <w:instrText xml:space="preserve"> SEQ Fig. \* ARABIC </w:instrText>
      </w:r>
      <w:r>
        <w:fldChar w:fldCharType="separate"/>
      </w:r>
      <w:r w:rsidR="00C85B03">
        <w:rPr>
          <w:noProof/>
        </w:rPr>
        <w:t>2</w:t>
      </w:r>
      <w:r>
        <w:fldChar w:fldCharType="end"/>
      </w:r>
      <w:r>
        <w:t xml:space="preserve"> - Prediction Tool </w:t>
      </w:r>
      <w:r w:rsidRPr="006B03D3">
        <w:t>Statistics for the MIT - ECG data base</w:t>
      </w:r>
    </w:p>
    <w:p w14:paraId="44D4AFA2" w14:textId="3FF586A3" w:rsidR="00136CF7" w:rsidRDefault="00136CF7" w:rsidP="00EB646C">
      <w:pPr>
        <w:jc w:val="center"/>
      </w:pPr>
      <w:r w:rsidRPr="00136CF7">
        <w:rPr>
          <w:noProof/>
        </w:rPr>
        <w:drawing>
          <wp:inline distT="0" distB="0" distL="0" distR="0" wp14:anchorId="15C8B17A" wp14:editId="2ACCE741">
            <wp:extent cx="5612280" cy="4200808"/>
            <wp:effectExtent l="0" t="0" r="0" b="9525"/>
            <wp:docPr id="1864447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5082" cy="4217875"/>
                    </a:xfrm>
                    <a:prstGeom prst="rect">
                      <a:avLst/>
                    </a:prstGeom>
                    <a:noFill/>
                    <a:ln>
                      <a:noFill/>
                    </a:ln>
                  </pic:spPr>
                </pic:pic>
              </a:graphicData>
            </a:graphic>
          </wp:inline>
        </w:drawing>
      </w:r>
    </w:p>
    <w:p w14:paraId="26724B32" w14:textId="148A5116" w:rsidR="00136CF7" w:rsidRPr="00136CF7" w:rsidRDefault="00136CF7" w:rsidP="00EB646C">
      <w:pPr>
        <w:pStyle w:val="Caption"/>
        <w:jc w:val="center"/>
      </w:pPr>
      <w:r>
        <w:t xml:space="preserve">Fig. </w:t>
      </w:r>
      <w:r>
        <w:fldChar w:fldCharType="begin"/>
      </w:r>
      <w:r>
        <w:instrText xml:space="preserve"> SEQ Fig. \* ARABIC </w:instrText>
      </w:r>
      <w:r>
        <w:fldChar w:fldCharType="separate"/>
      </w:r>
      <w:r w:rsidR="00C85B03">
        <w:rPr>
          <w:noProof/>
        </w:rPr>
        <w:t>3</w:t>
      </w:r>
      <w:r>
        <w:fldChar w:fldCharType="end"/>
      </w:r>
      <w:r>
        <w:t xml:space="preserve"> - </w:t>
      </w:r>
      <w:r w:rsidRPr="007915C7">
        <w:t>Prediction Tool Statistics for the MIT - ECG data base</w:t>
      </w:r>
      <w:r>
        <w:t xml:space="preserve"> with –IntraPeriod=512 (random access configuration)</w:t>
      </w:r>
      <w:r w:rsidR="00EB646C">
        <w:t>.</w:t>
      </w:r>
    </w:p>
    <w:p w14:paraId="153B8E39" w14:textId="1FBCE508" w:rsidR="003911DB" w:rsidRDefault="000E7DD6" w:rsidP="00EB646C">
      <w:pPr>
        <w:jc w:val="center"/>
        <w:rPr>
          <w:lang w:eastAsia="en-US"/>
        </w:rPr>
      </w:pPr>
      <w:r w:rsidRPr="000E7DD6">
        <w:rPr>
          <w:noProof/>
          <w:lang w:eastAsia="en-US"/>
        </w:rPr>
        <w:lastRenderedPageBreak/>
        <w:drawing>
          <wp:inline distT="0" distB="0" distL="0" distR="0" wp14:anchorId="666DD0D7" wp14:editId="1521B966">
            <wp:extent cx="5515517" cy="4128380"/>
            <wp:effectExtent l="0" t="0" r="0" b="5715"/>
            <wp:docPr id="453565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9336" cy="4146209"/>
                    </a:xfrm>
                    <a:prstGeom prst="rect">
                      <a:avLst/>
                    </a:prstGeom>
                    <a:noFill/>
                    <a:ln>
                      <a:noFill/>
                    </a:ln>
                  </pic:spPr>
                </pic:pic>
              </a:graphicData>
            </a:graphic>
          </wp:inline>
        </w:drawing>
      </w:r>
    </w:p>
    <w:p w14:paraId="096B1684" w14:textId="0D2C9C0A" w:rsidR="000E7DD6" w:rsidRDefault="000E7DD6" w:rsidP="00EB646C">
      <w:pPr>
        <w:pStyle w:val="Caption"/>
        <w:jc w:val="center"/>
      </w:pPr>
      <w:r>
        <w:t xml:space="preserve">Fig. </w:t>
      </w:r>
      <w:r>
        <w:fldChar w:fldCharType="begin"/>
      </w:r>
      <w:r>
        <w:instrText xml:space="preserve"> SEQ Fig. \* ARABIC </w:instrText>
      </w:r>
      <w:r>
        <w:fldChar w:fldCharType="separate"/>
      </w:r>
      <w:r w:rsidR="00C85B03">
        <w:rPr>
          <w:noProof/>
        </w:rPr>
        <w:t>4</w:t>
      </w:r>
      <w:r>
        <w:fldChar w:fldCharType="end"/>
      </w:r>
      <w:r>
        <w:t xml:space="preserve"> - Block Size Statistics for the </w:t>
      </w:r>
      <w:r w:rsidRPr="00984CD6">
        <w:t>Ozdemir</w:t>
      </w:r>
      <w:r>
        <w:t xml:space="preserve"> – EMG data base</w:t>
      </w:r>
      <w:r w:rsidR="00EB646C">
        <w:t>.</w:t>
      </w:r>
    </w:p>
    <w:p w14:paraId="53834DFB" w14:textId="14994367" w:rsidR="00504CCD" w:rsidRPr="00504CCD" w:rsidRDefault="0078606E" w:rsidP="00EB646C">
      <w:pPr>
        <w:jc w:val="center"/>
        <w:rPr>
          <w:lang w:eastAsia="en-US"/>
        </w:rPr>
      </w:pPr>
      <w:r w:rsidRPr="0078606E">
        <w:rPr>
          <w:noProof/>
          <w:lang w:eastAsia="en-US"/>
        </w:rPr>
        <w:drawing>
          <wp:inline distT="0" distB="0" distL="0" distR="0" wp14:anchorId="42C3799F" wp14:editId="5DE0CC31">
            <wp:extent cx="5088048" cy="3808419"/>
            <wp:effectExtent l="0" t="0" r="0" b="0"/>
            <wp:docPr id="8876650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2575" cy="3811807"/>
                    </a:xfrm>
                    <a:prstGeom prst="rect">
                      <a:avLst/>
                    </a:prstGeom>
                    <a:noFill/>
                    <a:ln>
                      <a:noFill/>
                    </a:ln>
                  </pic:spPr>
                </pic:pic>
              </a:graphicData>
            </a:graphic>
          </wp:inline>
        </w:drawing>
      </w:r>
    </w:p>
    <w:p w14:paraId="7D830FF2" w14:textId="57C49C77" w:rsidR="00F24AB2" w:rsidRDefault="00504CCD" w:rsidP="00EB646C">
      <w:pPr>
        <w:pStyle w:val="Caption"/>
        <w:jc w:val="center"/>
      </w:pPr>
      <w:r>
        <w:t xml:space="preserve">Fig. </w:t>
      </w:r>
      <w:r>
        <w:fldChar w:fldCharType="begin"/>
      </w:r>
      <w:r>
        <w:instrText xml:space="preserve"> SEQ Fig. \* ARABIC </w:instrText>
      </w:r>
      <w:r>
        <w:fldChar w:fldCharType="separate"/>
      </w:r>
      <w:r w:rsidR="00C85B03">
        <w:rPr>
          <w:noProof/>
        </w:rPr>
        <w:t>5</w:t>
      </w:r>
      <w:r>
        <w:fldChar w:fldCharType="end"/>
      </w:r>
      <w:r>
        <w:t xml:space="preserve"> - Prediction Tool</w:t>
      </w:r>
      <w:r w:rsidRPr="00A00FCD">
        <w:t xml:space="preserve"> Statistics for the Ozdemir – EMG data base</w:t>
      </w:r>
    </w:p>
    <w:p w14:paraId="4CBD9969" w14:textId="1F8C71F7" w:rsidR="00792410" w:rsidRDefault="008177F5" w:rsidP="00EB646C">
      <w:pPr>
        <w:pStyle w:val="Caption"/>
        <w:jc w:val="center"/>
        <w:rPr>
          <w:lang w:val="en-US" w:eastAsia="en-US"/>
        </w:rPr>
      </w:pPr>
      <w:r w:rsidRPr="008177F5">
        <w:rPr>
          <w:noProof/>
          <w:lang w:val="en-US" w:eastAsia="en-US"/>
        </w:rPr>
        <w:lastRenderedPageBreak/>
        <w:drawing>
          <wp:inline distT="0" distB="0" distL="0" distR="0" wp14:anchorId="146112CF" wp14:editId="7E3D2A56">
            <wp:extent cx="5020147" cy="3757594"/>
            <wp:effectExtent l="0" t="0" r="0" b="0"/>
            <wp:docPr id="11145655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4469" cy="3768314"/>
                    </a:xfrm>
                    <a:prstGeom prst="rect">
                      <a:avLst/>
                    </a:prstGeom>
                    <a:noFill/>
                    <a:ln>
                      <a:noFill/>
                    </a:ln>
                  </pic:spPr>
                </pic:pic>
              </a:graphicData>
            </a:graphic>
          </wp:inline>
        </w:drawing>
      </w:r>
    </w:p>
    <w:p w14:paraId="2DDCC007" w14:textId="44AD92DE" w:rsidR="008177F5" w:rsidRDefault="008177F5" w:rsidP="00EB646C">
      <w:pPr>
        <w:pStyle w:val="Caption"/>
        <w:jc w:val="center"/>
      </w:pPr>
      <w:r>
        <w:t xml:space="preserve">Fig. </w:t>
      </w:r>
      <w:r>
        <w:fldChar w:fldCharType="begin"/>
      </w:r>
      <w:r>
        <w:instrText xml:space="preserve"> SEQ Fig. \* ARABIC </w:instrText>
      </w:r>
      <w:r>
        <w:fldChar w:fldCharType="separate"/>
      </w:r>
      <w:r w:rsidR="00C85B03">
        <w:rPr>
          <w:noProof/>
        </w:rPr>
        <w:t>6</w:t>
      </w:r>
      <w:r>
        <w:fldChar w:fldCharType="end"/>
      </w:r>
      <w:r>
        <w:t xml:space="preserve"> - </w:t>
      </w:r>
      <w:r w:rsidRPr="00AE250D">
        <w:t xml:space="preserve">Block Size Statistics for </w:t>
      </w:r>
      <w:r>
        <w:t xml:space="preserve">40 randomly selected Files of </w:t>
      </w:r>
      <w:r w:rsidRPr="00AE250D">
        <w:t xml:space="preserve">the </w:t>
      </w:r>
      <w:r>
        <w:t>NMR55 – EEG d</w:t>
      </w:r>
      <w:r w:rsidRPr="00AE250D">
        <w:t>ata base</w:t>
      </w:r>
      <w:r w:rsidR="008D66AE">
        <w:t>. Note that the lossless operation point resulted in a bitrate which was smaller than the bitrate for a system with the smallest step size greater than 1.0</w:t>
      </w:r>
    </w:p>
    <w:p w14:paraId="78FDE9A1" w14:textId="20B76BA1" w:rsidR="00D27904" w:rsidRDefault="00D27904" w:rsidP="00EB646C">
      <w:pPr>
        <w:jc w:val="center"/>
        <w:rPr>
          <w:lang w:val="en-US" w:eastAsia="en-US"/>
        </w:rPr>
      </w:pPr>
      <w:r w:rsidRPr="00D27904">
        <w:rPr>
          <w:noProof/>
          <w:lang w:val="en-US" w:eastAsia="en-US"/>
        </w:rPr>
        <w:drawing>
          <wp:inline distT="0" distB="0" distL="0" distR="0" wp14:anchorId="431E4907" wp14:editId="3390422F">
            <wp:extent cx="5430849" cy="4065006"/>
            <wp:effectExtent l="0" t="0" r="0" b="0"/>
            <wp:docPr id="12739601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2883" cy="4074014"/>
                    </a:xfrm>
                    <a:prstGeom prst="rect">
                      <a:avLst/>
                    </a:prstGeom>
                    <a:noFill/>
                    <a:ln>
                      <a:noFill/>
                    </a:ln>
                  </pic:spPr>
                </pic:pic>
              </a:graphicData>
            </a:graphic>
          </wp:inline>
        </w:drawing>
      </w:r>
    </w:p>
    <w:p w14:paraId="35E21B13" w14:textId="08A25833" w:rsidR="00D27904" w:rsidRDefault="00D27904" w:rsidP="00EB646C">
      <w:pPr>
        <w:pStyle w:val="Caption"/>
        <w:jc w:val="center"/>
      </w:pPr>
      <w:r>
        <w:t xml:space="preserve">Fig. </w:t>
      </w:r>
      <w:r>
        <w:fldChar w:fldCharType="begin"/>
      </w:r>
      <w:r>
        <w:instrText xml:space="preserve"> SEQ Fig. \* ARABIC </w:instrText>
      </w:r>
      <w:r>
        <w:fldChar w:fldCharType="separate"/>
      </w:r>
      <w:r w:rsidR="00C85B03">
        <w:rPr>
          <w:noProof/>
        </w:rPr>
        <w:t>7</w:t>
      </w:r>
      <w:r>
        <w:fldChar w:fldCharType="end"/>
      </w:r>
      <w:r>
        <w:t xml:space="preserve"> – Prediction Tool</w:t>
      </w:r>
      <w:r w:rsidRPr="00AE250D">
        <w:t xml:space="preserve"> Statistics for </w:t>
      </w:r>
      <w:r>
        <w:t xml:space="preserve">40 randomly selected Files of </w:t>
      </w:r>
      <w:r w:rsidRPr="00AE250D">
        <w:t xml:space="preserve">the </w:t>
      </w:r>
      <w:r>
        <w:t>NMR55 – EEG d</w:t>
      </w:r>
      <w:r w:rsidRPr="00AE250D">
        <w:t>ata base</w:t>
      </w:r>
    </w:p>
    <w:p w14:paraId="07D52BDF" w14:textId="40C94AA6" w:rsidR="000C1529" w:rsidRDefault="00F474EF" w:rsidP="00EB646C">
      <w:pPr>
        <w:jc w:val="center"/>
        <w:rPr>
          <w:lang w:val="en-US" w:eastAsia="en-US"/>
        </w:rPr>
      </w:pPr>
      <w:r w:rsidRPr="00F474EF">
        <w:rPr>
          <w:noProof/>
          <w:lang w:val="en-US" w:eastAsia="en-US"/>
        </w:rPr>
        <w:lastRenderedPageBreak/>
        <w:drawing>
          <wp:inline distT="0" distB="0" distL="0" distR="0" wp14:anchorId="3AC576D5" wp14:editId="139EF909">
            <wp:extent cx="4846103" cy="3627322"/>
            <wp:effectExtent l="0" t="0" r="0" b="0"/>
            <wp:docPr id="2686339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4735" cy="3633783"/>
                    </a:xfrm>
                    <a:prstGeom prst="rect">
                      <a:avLst/>
                    </a:prstGeom>
                    <a:noFill/>
                    <a:ln>
                      <a:noFill/>
                    </a:ln>
                  </pic:spPr>
                </pic:pic>
              </a:graphicData>
            </a:graphic>
          </wp:inline>
        </w:drawing>
      </w:r>
    </w:p>
    <w:p w14:paraId="4FCE5939" w14:textId="344D230D" w:rsidR="00F474EF" w:rsidRDefault="00F474EF" w:rsidP="00EB646C">
      <w:pPr>
        <w:pStyle w:val="Caption"/>
        <w:jc w:val="center"/>
      </w:pPr>
      <w:r>
        <w:t xml:space="preserve">Fig. </w:t>
      </w:r>
      <w:r>
        <w:fldChar w:fldCharType="begin"/>
      </w:r>
      <w:r>
        <w:instrText xml:space="preserve"> SEQ Fig. \* ARABIC </w:instrText>
      </w:r>
      <w:r>
        <w:fldChar w:fldCharType="separate"/>
      </w:r>
      <w:r w:rsidR="00C85B03">
        <w:rPr>
          <w:noProof/>
        </w:rPr>
        <w:t>8</w:t>
      </w:r>
      <w:r>
        <w:fldChar w:fldCharType="end"/>
      </w:r>
      <w:r>
        <w:t xml:space="preserve"> - </w:t>
      </w:r>
      <w:r w:rsidRPr="00934BBC">
        <w:t xml:space="preserve">Block Size Statistics for the </w:t>
      </w:r>
      <w:r>
        <w:t xml:space="preserve">CHBMIT - EEG </w:t>
      </w:r>
      <w:r w:rsidRPr="00934BBC">
        <w:t>data base</w:t>
      </w:r>
    </w:p>
    <w:p w14:paraId="3156EB9C" w14:textId="4E25B6AB" w:rsidR="00F474EF" w:rsidRDefault="00C50905" w:rsidP="00EB646C">
      <w:pPr>
        <w:jc w:val="center"/>
      </w:pPr>
      <w:r w:rsidRPr="00C50905">
        <w:rPr>
          <w:noProof/>
        </w:rPr>
        <w:drawing>
          <wp:inline distT="0" distB="0" distL="0" distR="0" wp14:anchorId="559D75D8" wp14:editId="6E6BD058">
            <wp:extent cx="4595301" cy="3439597"/>
            <wp:effectExtent l="0" t="0" r="0" b="0"/>
            <wp:docPr id="3489185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05771" cy="3447434"/>
                    </a:xfrm>
                    <a:prstGeom prst="rect">
                      <a:avLst/>
                    </a:prstGeom>
                    <a:noFill/>
                    <a:ln>
                      <a:noFill/>
                    </a:ln>
                  </pic:spPr>
                </pic:pic>
              </a:graphicData>
            </a:graphic>
          </wp:inline>
        </w:drawing>
      </w:r>
    </w:p>
    <w:p w14:paraId="235FCE4F" w14:textId="761ABF91" w:rsidR="00C50905" w:rsidRPr="00F474EF" w:rsidRDefault="00C50905" w:rsidP="00EB646C">
      <w:pPr>
        <w:pStyle w:val="Caption"/>
        <w:jc w:val="center"/>
      </w:pPr>
      <w:r>
        <w:t xml:space="preserve">Fig. </w:t>
      </w:r>
      <w:r>
        <w:fldChar w:fldCharType="begin"/>
      </w:r>
      <w:r>
        <w:instrText xml:space="preserve"> SEQ Fig. \* ARABIC </w:instrText>
      </w:r>
      <w:r>
        <w:fldChar w:fldCharType="separate"/>
      </w:r>
      <w:r w:rsidR="00C85B03">
        <w:rPr>
          <w:noProof/>
        </w:rPr>
        <w:t>9</w:t>
      </w:r>
      <w:r>
        <w:fldChar w:fldCharType="end"/>
      </w:r>
      <w:r>
        <w:t xml:space="preserve"> – Prediction Tool</w:t>
      </w:r>
      <w:r w:rsidRPr="00934BBC">
        <w:t xml:space="preserve"> Statistics for the </w:t>
      </w:r>
      <w:r>
        <w:t xml:space="preserve">CHBMIT - EEG </w:t>
      </w:r>
      <w:r w:rsidRPr="00934BBC">
        <w:t>data base</w:t>
      </w:r>
    </w:p>
    <w:p w14:paraId="3B3D8CEB" w14:textId="77777777" w:rsidR="000F70F9" w:rsidRDefault="000F70F9" w:rsidP="006F4180">
      <w:pPr>
        <w:pStyle w:val="Heading5"/>
      </w:pPr>
      <w:bookmarkStart w:id="4" w:name="_Hlk193391420"/>
    </w:p>
    <w:p w14:paraId="0475712A" w14:textId="77777777" w:rsidR="000F70F9" w:rsidRDefault="000F70F9" w:rsidP="006F4180">
      <w:pPr>
        <w:pStyle w:val="Heading5"/>
      </w:pPr>
    </w:p>
    <w:p w14:paraId="51632FF0" w14:textId="4353E498" w:rsidR="00D12F26" w:rsidRDefault="00D12F26" w:rsidP="006F4180">
      <w:pPr>
        <w:pStyle w:val="Heading5"/>
      </w:pPr>
      <w:r>
        <w:t>Conclusion</w:t>
      </w:r>
    </w:p>
    <w:p w14:paraId="1743F00E" w14:textId="40AA6C6D" w:rsidR="00D12F26" w:rsidRDefault="00D12F26" w:rsidP="00D12F26">
      <w:pPr>
        <w:rPr>
          <w:lang w:eastAsia="en-US"/>
        </w:rPr>
      </w:pPr>
      <w:r w:rsidRPr="00D12F26">
        <w:rPr>
          <w:lang w:eastAsia="en-US"/>
        </w:rPr>
        <w:t>We presented data in response to the ad-hoc mandate on tool assessment, and conclude that the data justifies the included tools in the standard, and is informative for further study in the context of encoder complexity performance trade-off</w:t>
      </w:r>
      <w:r>
        <w:rPr>
          <w:lang w:eastAsia="en-US"/>
        </w:rPr>
        <w:t>s</w:t>
      </w:r>
      <w:r w:rsidRPr="00D12F26">
        <w:rPr>
          <w:lang w:eastAsia="en-US"/>
        </w:rPr>
        <w:t>.</w:t>
      </w:r>
    </w:p>
    <w:p w14:paraId="185743AD" w14:textId="77777777" w:rsidR="000F70F9" w:rsidRDefault="000F70F9" w:rsidP="00D12F26">
      <w:pPr>
        <w:rPr>
          <w:lang w:eastAsia="en-US"/>
        </w:rPr>
      </w:pPr>
    </w:p>
    <w:p w14:paraId="261FFB1D" w14:textId="77777777" w:rsidR="000F70F9" w:rsidRPr="000F70F9" w:rsidRDefault="000F70F9" w:rsidP="000F70F9">
      <w:pPr>
        <w:rPr>
          <w:b/>
          <w:bCs/>
          <w:lang w:eastAsia="en-US"/>
        </w:rPr>
      </w:pPr>
      <w:r w:rsidRPr="000F70F9">
        <w:rPr>
          <w:b/>
          <w:bCs/>
          <w:lang w:eastAsia="en-US"/>
        </w:rPr>
        <w:lastRenderedPageBreak/>
        <w:t>Patent rights declarations(s) </w:t>
      </w:r>
    </w:p>
    <w:p w14:paraId="303FE8C5" w14:textId="6DF623E2" w:rsidR="000F70F9" w:rsidRPr="00D12F26" w:rsidRDefault="000F70F9" w:rsidP="00D12F26">
      <w:pPr>
        <w:rPr>
          <w:lang w:eastAsia="en-US"/>
        </w:rPr>
      </w:pPr>
      <w:r w:rsidRPr="000F70F9">
        <w:rPr>
          <w:lang w:eastAsia="en-US"/>
        </w:rPr>
        <w:t>Dolby Laboratories may have current or pending patent rights relating to the technology described in this contribution and, conditioned on reciprocity, is prepared to grant licenses under reasonable and non-discriminatory terms as necessary for implementation of the resulting ITU-T Recommendation (per box 2 of the ITU-T/ITU-R/ISO/IEC patent statement and licensing declaration form). </w:t>
      </w:r>
    </w:p>
    <w:p w14:paraId="3F9CDA5A" w14:textId="3924BC93" w:rsidR="006F4180" w:rsidRDefault="006F4180" w:rsidP="006F4180">
      <w:pPr>
        <w:pStyle w:val="Heading5"/>
      </w:pPr>
      <w:r>
        <w:t>References</w:t>
      </w:r>
    </w:p>
    <w:p w14:paraId="1EBAD850" w14:textId="38AA9811" w:rsidR="00F474EF" w:rsidRPr="006F4180" w:rsidRDefault="006F4180" w:rsidP="000C1529">
      <w:pPr>
        <w:rPr>
          <w:lang w:eastAsia="en-US"/>
        </w:rPr>
      </w:pPr>
      <w:r>
        <w:rPr>
          <w:kern w:val="2"/>
          <w:szCs w:val="22"/>
        </w:rPr>
        <w:t>[1]</w:t>
      </w:r>
      <w:r>
        <w:rPr>
          <w:kern w:val="2"/>
          <w:szCs w:val="22"/>
        </w:rPr>
        <w:tab/>
        <w:t>ITU-T SG21/Q6,</w:t>
      </w:r>
      <w:r w:rsidRPr="00515BCD">
        <w:rPr>
          <w:kern w:val="2"/>
          <w:szCs w:val="22"/>
          <w:vertAlign w:val="superscript"/>
        </w:rPr>
        <w:t xml:space="preserve"> </w:t>
      </w:r>
      <w:r>
        <w:rPr>
          <w:kern w:val="2"/>
          <w:szCs w:val="22"/>
        </w:rPr>
        <w:t>“</w:t>
      </w:r>
      <w:r w:rsidRPr="006F4180">
        <w:rPr>
          <w:lang w:eastAsia="en-US"/>
        </w:rPr>
        <w:t>Common test conditions and evaluation procedures for H.BWC technical</w:t>
      </w:r>
      <w:r>
        <w:rPr>
          <w:lang w:eastAsia="en-US"/>
        </w:rPr>
        <w:t xml:space="preserve"> </w:t>
      </w:r>
      <w:r w:rsidRPr="006F4180">
        <w:rPr>
          <w:lang w:eastAsia="en-US"/>
        </w:rPr>
        <w:t>experiments</w:t>
      </w:r>
      <w:r>
        <w:rPr>
          <w:kern w:val="2"/>
          <w:szCs w:val="22"/>
        </w:rPr>
        <w:t xml:space="preserve">,” Jan. 2025. </w:t>
      </w:r>
      <w:bookmarkEnd w:id="2"/>
      <w:bookmarkEnd w:id="4"/>
    </w:p>
    <w:sectPr w:rsidR="00F474EF" w:rsidRPr="006F4180" w:rsidSect="00A56432">
      <w:headerReference w:type="default" r:id="rId23"/>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52C9" w14:textId="77777777" w:rsidR="007E4321" w:rsidRDefault="007E4321" w:rsidP="00C42125">
      <w:pPr>
        <w:spacing w:before="0"/>
      </w:pPr>
      <w:r>
        <w:separator/>
      </w:r>
    </w:p>
  </w:endnote>
  <w:endnote w:type="continuationSeparator" w:id="0">
    <w:p w14:paraId="016BAA75" w14:textId="77777777" w:rsidR="007E4321" w:rsidRDefault="007E4321"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CFCD" w14:textId="77777777" w:rsidR="007E4321" w:rsidRDefault="007E4321" w:rsidP="00C42125">
      <w:pPr>
        <w:spacing w:before="0"/>
      </w:pPr>
      <w:r>
        <w:separator/>
      </w:r>
    </w:p>
  </w:footnote>
  <w:footnote w:type="continuationSeparator" w:id="0">
    <w:p w14:paraId="7207C951" w14:textId="77777777" w:rsidR="007E4321" w:rsidRDefault="007E4321"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9FD5" w14:textId="1A113D14" w:rsidR="005976A1" w:rsidRPr="00A56432" w:rsidRDefault="00A56432" w:rsidP="00A56432">
    <w:pPr>
      <w:pStyle w:val="Header"/>
    </w:pPr>
    <w:r w:rsidRPr="00A56432">
      <w:t xml:space="preserve">- </w:t>
    </w:r>
    <w:r w:rsidRPr="00A56432">
      <w:fldChar w:fldCharType="begin"/>
    </w:r>
    <w:r w:rsidRPr="00A56432">
      <w:instrText xml:space="preserve"> PAGE  \* MERGEFORMAT </w:instrText>
    </w:r>
    <w:r w:rsidRPr="00A56432">
      <w:fldChar w:fldCharType="separate"/>
    </w:r>
    <w:r w:rsidR="00EF21AD">
      <w:rPr>
        <w:noProof/>
      </w:rPr>
      <w:t>4</w:t>
    </w:r>
    <w:r w:rsidRPr="00A56432">
      <w:fldChar w:fldCharType="end"/>
    </w:r>
    <w:r w:rsidRPr="00A5643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661FBC"/>
    <w:multiLevelType w:val="hybridMultilevel"/>
    <w:tmpl w:val="EFEE2D94"/>
    <w:lvl w:ilvl="0" w:tplc="FEF0C274">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E94920"/>
    <w:multiLevelType w:val="hybridMultilevel"/>
    <w:tmpl w:val="EDC2A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884896"/>
    <w:multiLevelType w:val="hybridMultilevel"/>
    <w:tmpl w:val="C41E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6215B"/>
    <w:multiLevelType w:val="hybridMultilevel"/>
    <w:tmpl w:val="90A0C1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5670B79"/>
    <w:multiLevelType w:val="hybridMultilevel"/>
    <w:tmpl w:val="7B96B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EA07B6"/>
    <w:multiLevelType w:val="multilevel"/>
    <w:tmpl w:val="E2C6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082895"/>
    <w:multiLevelType w:val="hybridMultilevel"/>
    <w:tmpl w:val="3B18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134CD4"/>
    <w:multiLevelType w:val="hybridMultilevel"/>
    <w:tmpl w:val="586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686267">
    <w:abstractNumId w:val="9"/>
  </w:num>
  <w:num w:numId="2" w16cid:durableId="304235248">
    <w:abstractNumId w:val="7"/>
  </w:num>
  <w:num w:numId="3" w16cid:durableId="1258252709">
    <w:abstractNumId w:val="6"/>
  </w:num>
  <w:num w:numId="4" w16cid:durableId="1928807376">
    <w:abstractNumId w:val="5"/>
  </w:num>
  <w:num w:numId="5" w16cid:durableId="531962936">
    <w:abstractNumId w:val="4"/>
  </w:num>
  <w:num w:numId="6" w16cid:durableId="140583729">
    <w:abstractNumId w:val="8"/>
  </w:num>
  <w:num w:numId="7" w16cid:durableId="10769306">
    <w:abstractNumId w:val="3"/>
  </w:num>
  <w:num w:numId="8" w16cid:durableId="2000226300">
    <w:abstractNumId w:val="2"/>
  </w:num>
  <w:num w:numId="9" w16cid:durableId="366370709">
    <w:abstractNumId w:val="1"/>
  </w:num>
  <w:num w:numId="10" w16cid:durableId="1251155398">
    <w:abstractNumId w:val="0"/>
  </w:num>
  <w:num w:numId="11" w16cid:durableId="1386679394">
    <w:abstractNumId w:val="16"/>
  </w:num>
  <w:num w:numId="12" w16cid:durableId="1786734076">
    <w:abstractNumId w:val="17"/>
  </w:num>
  <w:num w:numId="13" w16cid:durableId="1267349667">
    <w:abstractNumId w:val="10"/>
  </w:num>
  <w:num w:numId="14" w16cid:durableId="1740132401">
    <w:abstractNumId w:val="13"/>
  </w:num>
  <w:num w:numId="15" w16cid:durableId="1548100025">
    <w:abstractNumId w:val="11"/>
  </w:num>
  <w:num w:numId="16" w16cid:durableId="2059279751">
    <w:abstractNumId w:val="14"/>
  </w:num>
  <w:num w:numId="17" w16cid:durableId="655916229">
    <w:abstractNumId w:val="12"/>
  </w:num>
  <w:num w:numId="18" w16cid:durableId="1964340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0088"/>
    <w:rsid w:val="00002637"/>
    <w:rsid w:val="00014F69"/>
    <w:rsid w:val="000171DB"/>
    <w:rsid w:val="000201D2"/>
    <w:rsid w:val="00023D9A"/>
    <w:rsid w:val="000264C4"/>
    <w:rsid w:val="000277C2"/>
    <w:rsid w:val="0003037C"/>
    <w:rsid w:val="0003582E"/>
    <w:rsid w:val="00043D75"/>
    <w:rsid w:val="00044054"/>
    <w:rsid w:val="00052178"/>
    <w:rsid w:val="00057000"/>
    <w:rsid w:val="000640E0"/>
    <w:rsid w:val="00075F08"/>
    <w:rsid w:val="00084F69"/>
    <w:rsid w:val="00086D80"/>
    <w:rsid w:val="000966A8"/>
    <w:rsid w:val="000A0A5C"/>
    <w:rsid w:val="000A5CA2"/>
    <w:rsid w:val="000B7396"/>
    <w:rsid w:val="000C1529"/>
    <w:rsid w:val="000D60C2"/>
    <w:rsid w:val="000E3C61"/>
    <w:rsid w:val="000E3E55"/>
    <w:rsid w:val="000E6083"/>
    <w:rsid w:val="000E6125"/>
    <w:rsid w:val="000E7DD6"/>
    <w:rsid w:val="000F70F9"/>
    <w:rsid w:val="00100BAF"/>
    <w:rsid w:val="001045B2"/>
    <w:rsid w:val="00113DBE"/>
    <w:rsid w:val="001200A6"/>
    <w:rsid w:val="001251DA"/>
    <w:rsid w:val="00125432"/>
    <w:rsid w:val="00136CF7"/>
    <w:rsid w:val="00136DDD"/>
    <w:rsid w:val="00137F40"/>
    <w:rsid w:val="00144B30"/>
    <w:rsid w:val="00144BDF"/>
    <w:rsid w:val="00155DDC"/>
    <w:rsid w:val="00160CB6"/>
    <w:rsid w:val="00165C39"/>
    <w:rsid w:val="0017020F"/>
    <w:rsid w:val="001775A9"/>
    <w:rsid w:val="00183EA3"/>
    <w:rsid w:val="001871EC"/>
    <w:rsid w:val="0019770D"/>
    <w:rsid w:val="001A20C3"/>
    <w:rsid w:val="001A670F"/>
    <w:rsid w:val="001B6A45"/>
    <w:rsid w:val="001C1003"/>
    <w:rsid w:val="001C15D9"/>
    <w:rsid w:val="001C4B91"/>
    <w:rsid w:val="001C62B8"/>
    <w:rsid w:val="001D033C"/>
    <w:rsid w:val="001D08A7"/>
    <w:rsid w:val="001D22D8"/>
    <w:rsid w:val="001D3727"/>
    <w:rsid w:val="001D4296"/>
    <w:rsid w:val="001E7B0E"/>
    <w:rsid w:val="001F141D"/>
    <w:rsid w:val="001F2B31"/>
    <w:rsid w:val="001F7B50"/>
    <w:rsid w:val="00200A06"/>
    <w:rsid w:val="00200A98"/>
    <w:rsid w:val="00201AFA"/>
    <w:rsid w:val="00203AFA"/>
    <w:rsid w:val="00204537"/>
    <w:rsid w:val="00204C9C"/>
    <w:rsid w:val="002229F1"/>
    <w:rsid w:val="00225600"/>
    <w:rsid w:val="00225E13"/>
    <w:rsid w:val="0023068B"/>
    <w:rsid w:val="00230B96"/>
    <w:rsid w:val="00230F4F"/>
    <w:rsid w:val="00233F75"/>
    <w:rsid w:val="00242EC1"/>
    <w:rsid w:val="0025233B"/>
    <w:rsid w:val="002528F9"/>
    <w:rsid w:val="00253DBE"/>
    <w:rsid w:val="00253DC6"/>
    <w:rsid w:val="0025489C"/>
    <w:rsid w:val="002622FA"/>
    <w:rsid w:val="00263518"/>
    <w:rsid w:val="002759E7"/>
    <w:rsid w:val="00277326"/>
    <w:rsid w:val="0028132C"/>
    <w:rsid w:val="00295FFA"/>
    <w:rsid w:val="002A027A"/>
    <w:rsid w:val="002A11C4"/>
    <w:rsid w:val="002A399B"/>
    <w:rsid w:val="002A52E8"/>
    <w:rsid w:val="002C26C0"/>
    <w:rsid w:val="002C2BC5"/>
    <w:rsid w:val="002E0407"/>
    <w:rsid w:val="002E79CB"/>
    <w:rsid w:val="002F0471"/>
    <w:rsid w:val="002F1714"/>
    <w:rsid w:val="002F23F3"/>
    <w:rsid w:val="002F5CA7"/>
    <w:rsid w:val="002F654C"/>
    <w:rsid w:val="002F7F55"/>
    <w:rsid w:val="0030745F"/>
    <w:rsid w:val="00314630"/>
    <w:rsid w:val="0032090A"/>
    <w:rsid w:val="00321CDE"/>
    <w:rsid w:val="00333623"/>
    <w:rsid w:val="00333E15"/>
    <w:rsid w:val="003416D3"/>
    <w:rsid w:val="00342690"/>
    <w:rsid w:val="00353D31"/>
    <w:rsid w:val="003571BC"/>
    <w:rsid w:val="0036090C"/>
    <w:rsid w:val="00360CB1"/>
    <w:rsid w:val="00364979"/>
    <w:rsid w:val="00371144"/>
    <w:rsid w:val="00385B9C"/>
    <w:rsid w:val="00385FB5"/>
    <w:rsid w:val="0038715D"/>
    <w:rsid w:val="003911DB"/>
    <w:rsid w:val="00392E84"/>
    <w:rsid w:val="00394DBF"/>
    <w:rsid w:val="003957A6"/>
    <w:rsid w:val="00397713"/>
    <w:rsid w:val="003A43EF"/>
    <w:rsid w:val="003A458D"/>
    <w:rsid w:val="003B60A2"/>
    <w:rsid w:val="003C7445"/>
    <w:rsid w:val="003D79AF"/>
    <w:rsid w:val="003E39A2"/>
    <w:rsid w:val="003E57AB"/>
    <w:rsid w:val="003E612A"/>
    <w:rsid w:val="003F2BED"/>
    <w:rsid w:val="00400B49"/>
    <w:rsid w:val="0040415B"/>
    <w:rsid w:val="0041005A"/>
    <w:rsid w:val="004139E4"/>
    <w:rsid w:val="00415999"/>
    <w:rsid w:val="00422D85"/>
    <w:rsid w:val="00443878"/>
    <w:rsid w:val="004477D8"/>
    <w:rsid w:val="004539A8"/>
    <w:rsid w:val="004646F1"/>
    <w:rsid w:val="004712CA"/>
    <w:rsid w:val="0047422E"/>
    <w:rsid w:val="0049674B"/>
    <w:rsid w:val="004B27E2"/>
    <w:rsid w:val="004C0673"/>
    <w:rsid w:val="004C4E4E"/>
    <w:rsid w:val="004D6EC4"/>
    <w:rsid w:val="004E08F2"/>
    <w:rsid w:val="004E3267"/>
    <w:rsid w:val="004E5D87"/>
    <w:rsid w:val="004F0606"/>
    <w:rsid w:val="004F3816"/>
    <w:rsid w:val="004F500A"/>
    <w:rsid w:val="00504CCD"/>
    <w:rsid w:val="005126A0"/>
    <w:rsid w:val="00543D41"/>
    <w:rsid w:val="00545472"/>
    <w:rsid w:val="005571A4"/>
    <w:rsid w:val="005604FC"/>
    <w:rsid w:val="00566EDA"/>
    <w:rsid w:val="0057081A"/>
    <w:rsid w:val="00572654"/>
    <w:rsid w:val="00596627"/>
    <w:rsid w:val="005976A1"/>
    <w:rsid w:val="005A34E7"/>
    <w:rsid w:val="005A380E"/>
    <w:rsid w:val="005A69A3"/>
    <w:rsid w:val="005B5629"/>
    <w:rsid w:val="005C0300"/>
    <w:rsid w:val="005C27A2"/>
    <w:rsid w:val="005C7D28"/>
    <w:rsid w:val="005D4FEB"/>
    <w:rsid w:val="005D5712"/>
    <w:rsid w:val="005D65ED"/>
    <w:rsid w:val="005E0E6C"/>
    <w:rsid w:val="005E11CB"/>
    <w:rsid w:val="005E2120"/>
    <w:rsid w:val="005F4B6A"/>
    <w:rsid w:val="006010F3"/>
    <w:rsid w:val="00602706"/>
    <w:rsid w:val="00615A0A"/>
    <w:rsid w:val="0062397B"/>
    <w:rsid w:val="0062492D"/>
    <w:rsid w:val="006333D4"/>
    <w:rsid w:val="006369B2"/>
    <w:rsid w:val="0063718D"/>
    <w:rsid w:val="006406EA"/>
    <w:rsid w:val="00647525"/>
    <w:rsid w:val="00647A71"/>
    <w:rsid w:val="006530A8"/>
    <w:rsid w:val="00653A2A"/>
    <w:rsid w:val="006570B0"/>
    <w:rsid w:val="0066022F"/>
    <w:rsid w:val="00661600"/>
    <w:rsid w:val="006823F3"/>
    <w:rsid w:val="00682D52"/>
    <w:rsid w:val="00686709"/>
    <w:rsid w:val="0069210B"/>
    <w:rsid w:val="00693139"/>
    <w:rsid w:val="00695DD7"/>
    <w:rsid w:val="006A0F3F"/>
    <w:rsid w:val="006A1852"/>
    <w:rsid w:val="006A2A02"/>
    <w:rsid w:val="006A4055"/>
    <w:rsid w:val="006A7C27"/>
    <w:rsid w:val="006B2FE4"/>
    <w:rsid w:val="006B37B0"/>
    <w:rsid w:val="006B6BA2"/>
    <w:rsid w:val="006C4B1F"/>
    <w:rsid w:val="006C5641"/>
    <w:rsid w:val="006D1089"/>
    <w:rsid w:val="006D13CF"/>
    <w:rsid w:val="006D1B86"/>
    <w:rsid w:val="006D7355"/>
    <w:rsid w:val="006E7F56"/>
    <w:rsid w:val="006F0797"/>
    <w:rsid w:val="006F4180"/>
    <w:rsid w:val="006F7DEE"/>
    <w:rsid w:val="00707B1C"/>
    <w:rsid w:val="007104FB"/>
    <w:rsid w:val="00715CA6"/>
    <w:rsid w:val="00731135"/>
    <w:rsid w:val="007324AF"/>
    <w:rsid w:val="007409B4"/>
    <w:rsid w:val="00741974"/>
    <w:rsid w:val="00743266"/>
    <w:rsid w:val="007454B6"/>
    <w:rsid w:val="00754435"/>
    <w:rsid w:val="0075525E"/>
    <w:rsid w:val="00756D3D"/>
    <w:rsid w:val="0077624F"/>
    <w:rsid w:val="00777F6B"/>
    <w:rsid w:val="007806C2"/>
    <w:rsid w:val="00781FEE"/>
    <w:rsid w:val="0078606E"/>
    <w:rsid w:val="00786194"/>
    <w:rsid w:val="00787688"/>
    <w:rsid w:val="007903F8"/>
    <w:rsid w:val="00792410"/>
    <w:rsid w:val="00794F4F"/>
    <w:rsid w:val="0079733D"/>
    <w:rsid w:val="007974BE"/>
    <w:rsid w:val="007A0916"/>
    <w:rsid w:val="007A0DFD"/>
    <w:rsid w:val="007C5ED4"/>
    <w:rsid w:val="007C7122"/>
    <w:rsid w:val="007D3F11"/>
    <w:rsid w:val="007E2C69"/>
    <w:rsid w:val="007E4321"/>
    <w:rsid w:val="007E53E4"/>
    <w:rsid w:val="007E656A"/>
    <w:rsid w:val="007E775B"/>
    <w:rsid w:val="007F3CAA"/>
    <w:rsid w:val="007F6150"/>
    <w:rsid w:val="007F664D"/>
    <w:rsid w:val="00801B42"/>
    <w:rsid w:val="00812163"/>
    <w:rsid w:val="008177F5"/>
    <w:rsid w:val="0082319D"/>
    <w:rsid w:val="008249A7"/>
    <w:rsid w:val="00825A3F"/>
    <w:rsid w:val="00836D45"/>
    <w:rsid w:val="00837203"/>
    <w:rsid w:val="00842137"/>
    <w:rsid w:val="00851E6C"/>
    <w:rsid w:val="00853F5F"/>
    <w:rsid w:val="00856415"/>
    <w:rsid w:val="00856C7A"/>
    <w:rsid w:val="008623ED"/>
    <w:rsid w:val="00875AA6"/>
    <w:rsid w:val="00880944"/>
    <w:rsid w:val="0089088E"/>
    <w:rsid w:val="00892297"/>
    <w:rsid w:val="00894E93"/>
    <w:rsid w:val="008964D6"/>
    <w:rsid w:val="008A1EDC"/>
    <w:rsid w:val="008B5123"/>
    <w:rsid w:val="008C1DA1"/>
    <w:rsid w:val="008C1FDD"/>
    <w:rsid w:val="008C5A9A"/>
    <w:rsid w:val="008D1E1E"/>
    <w:rsid w:val="008D66AE"/>
    <w:rsid w:val="008E0172"/>
    <w:rsid w:val="008E402B"/>
    <w:rsid w:val="008F4B57"/>
    <w:rsid w:val="00900E3B"/>
    <w:rsid w:val="00903F49"/>
    <w:rsid w:val="009054A1"/>
    <w:rsid w:val="009332C3"/>
    <w:rsid w:val="00936852"/>
    <w:rsid w:val="0094045D"/>
    <w:rsid w:val="009404C2"/>
    <w:rsid w:val="009406B5"/>
    <w:rsid w:val="00946166"/>
    <w:rsid w:val="00956D70"/>
    <w:rsid w:val="00963DDB"/>
    <w:rsid w:val="00966B5C"/>
    <w:rsid w:val="00970224"/>
    <w:rsid w:val="00972FB8"/>
    <w:rsid w:val="00973287"/>
    <w:rsid w:val="00976117"/>
    <w:rsid w:val="00983164"/>
    <w:rsid w:val="00984252"/>
    <w:rsid w:val="00984CD6"/>
    <w:rsid w:val="009972EF"/>
    <w:rsid w:val="009B14D9"/>
    <w:rsid w:val="009B5035"/>
    <w:rsid w:val="009C1833"/>
    <w:rsid w:val="009C1884"/>
    <w:rsid w:val="009C3160"/>
    <w:rsid w:val="009D399E"/>
    <w:rsid w:val="009D644B"/>
    <w:rsid w:val="009E04E7"/>
    <w:rsid w:val="009E4B6B"/>
    <w:rsid w:val="009E766E"/>
    <w:rsid w:val="009F1960"/>
    <w:rsid w:val="009F4B1A"/>
    <w:rsid w:val="009F715E"/>
    <w:rsid w:val="009F78FE"/>
    <w:rsid w:val="009F7959"/>
    <w:rsid w:val="00A04274"/>
    <w:rsid w:val="00A10DBB"/>
    <w:rsid w:val="00A11720"/>
    <w:rsid w:val="00A21247"/>
    <w:rsid w:val="00A311F0"/>
    <w:rsid w:val="00A31D47"/>
    <w:rsid w:val="00A37AB2"/>
    <w:rsid w:val="00A4013E"/>
    <w:rsid w:val="00A4045F"/>
    <w:rsid w:val="00A41AFB"/>
    <w:rsid w:val="00A427CD"/>
    <w:rsid w:val="00A4407F"/>
    <w:rsid w:val="00A45FEE"/>
    <w:rsid w:val="00A4600B"/>
    <w:rsid w:val="00A50506"/>
    <w:rsid w:val="00A505FB"/>
    <w:rsid w:val="00A51EF0"/>
    <w:rsid w:val="00A56432"/>
    <w:rsid w:val="00A575D8"/>
    <w:rsid w:val="00A600CD"/>
    <w:rsid w:val="00A65C6E"/>
    <w:rsid w:val="00A67A81"/>
    <w:rsid w:val="00A730A6"/>
    <w:rsid w:val="00A825D1"/>
    <w:rsid w:val="00A827B0"/>
    <w:rsid w:val="00A96899"/>
    <w:rsid w:val="00A971A0"/>
    <w:rsid w:val="00AA06E0"/>
    <w:rsid w:val="00AA1186"/>
    <w:rsid w:val="00AA1F22"/>
    <w:rsid w:val="00AB37FB"/>
    <w:rsid w:val="00AB6244"/>
    <w:rsid w:val="00AC3E73"/>
    <w:rsid w:val="00AC63B0"/>
    <w:rsid w:val="00AC6A1C"/>
    <w:rsid w:val="00AE2112"/>
    <w:rsid w:val="00B00DDA"/>
    <w:rsid w:val="00B05821"/>
    <w:rsid w:val="00B100D6"/>
    <w:rsid w:val="00B164C9"/>
    <w:rsid w:val="00B2519B"/>
    <w:rsid w:val="00B26C28"/>
    <w:rsid w:val="00B3142A"/>
    <w:rsid w:val="00B4174C"/>
    <w:rsid w:val="00B453F5"/>
    <w:rsid w:val="00B5162E"/>
    <w:rsid w:val="00B61624"/>
    <w:rsid w:val="00B66481"/>
    <w:rsid w:val="00B7189C"/>
    <w:rsid w:val="00B718A5"/>
    <w:rsid w:val="00B76A3C"/>
    <w:rsid w:val="00B83055"/>
    <w:rsid w:val="00B86602"/>
    <w:rsid w:val="00B9433E"/>
    <w:rsid w:val="00BA7411"/>
    <w:rsid w:val="00BA788A"/>
    <w:rsid w:val="00BB4120"/>
    <w:rsid w:val="00BB4983"/>
    <w:rsid w:val="00BB7597"/>
    <w:rsid w:val="00BB77FD"/>
    <w:rsid w:val="00BC1F04"/>
    <w:rsid w:val="00BC62E2"/>
    <w:rsid w:val="00BC6D9A"/>
    <w:rsid w:val="00BD31A3"/>
    <w:rsid w:val="00BE4AC3"/>
    <w:rsid w:val="00C13CF2"/>
    <w:rsid w:val="00C15BCB"/>
    <w:rsid w:val="00C42125"/>
    <w:rsid w:val="00C47120"/>
    <w:rsid w:val="00C50905"/>
    <w:rsid w:val="00C557CE"/>
    <w:rsid w:val="00C62814"/>
    <w:rsid w:val="00C638E8"/>
    <w:rsid w:val="00C67B25"/>
    <w:rsid w:val="00C70E9A"/>
    <w:rsid w:val="00C748F7"/>
    <w:rsid w:val="00C74937"/>
    <w:rsid w:val="00C85B03"/>
    <w:rsid w:val="00C96548"/>
    <w:rsid w:val="00CB2599"/>
    <w:rsid w:val="00CB3E34"/>
    <w:rsid w:val="00CC386F"/>
    <w:rsid w:val="00CC71D1"/>
    <w:rsid w:val="00CC7BE1"/>
    <w:rsid w:val="00CD1037"/>
    <w:rsid w:val="00CD2139"/>
    <w:rsid w:val="00CE15F4"/>
    <w:rsid w:val="00CE42BC"/>
    <w:rsid w:val="00CE5986"/>
    <w:rsid w:val="00D10A47"/>
    <w:rsid w:val="00D12F26"/>
    <w:rsid w:val="00D26477"/>
    <w:rsid w:val="00D27904"/>
    <w:rsid w:val="00D31525"/>
    <w:rsid w:val="00D56CC3"/>
    <w:rsid w:val="00D647EF"/>
    <w:rsid w:val="00D73137"/>
    <w:rsid w:val="00D76398"/>
    <w:rsid w:val="00D778F2"/>
    <w:rsid w:val="00D977A2"/>
    <w:rsid w:val="00D97F03"/>
    <w:rsid w:val="00DA1D47"/>
    <w:rsid w:val="00DB0706"/>
    <w:rsid w:val="00DD50DE"/>
    <w:rsid w:val="00DE1204"/>
    <w:rsid w:val="00DE3062"/>
    <w:rsid w:val="00E0581D"/>
    <w:rsid w:val="00E1590B"/>
    <w:rsid w:val="00E204DD"/>
    <w:rsid w:val="00E228B7"/>
    <w:rsid w:val="00E23E46"/>
    <w:rsid w:val="00E334E1"/>
    <w:rsid w:val="00E33D33"/>
    <w:rsid w:val="00E353EC"/>
    <w:rsid w:val="00E51539"/>
    <w:rsid w:val="00E51F61"/>
    <w:rsid w:val="00E53C24"/>
    <w:rsid w:val="00E56E77"/>
    <w:rsid w:val="00E629CF"/>
    <w:rsid w:val="00E93C50"/>
    <w:rsid w:val="00EA0BE7"/>
    <w:rsid w:val="00EB444D"/>
    <w:rsid w:val="00EB454A"/>
    <w:rsid w:val="00EB5E92"/>
    <w:rsid w:val="00EB646C"/>
    <w:rsid w:val="00EB7CB7"/>
    <w:rsid w:val="00ED1B45"/>
    <w:rsid w:val="00EE1A06"/>
    <w:rsid w:val="00EE5C0D"/>
    <w:rsid w:val="00EF16D6"/>
    <w:rsid w:val="00EF21AD"/>
    <w:rsid w:val="00EF2719"/>
    <w:rsid w:val="00EF4792"/>
    <w:rsid w:val="00EF76DC"/>
    <w:rsid w:val="00EF7EE2"/>
    <w:rsid w:val="00F02294"/>
    <w:rsid w:val="00F16E41"/>
    <w:rsid w:val="00F24AB2"/>
    <w:rsid w:val="00F30DE7"/>
    <w:rsid w:val="00F35F57"/>
    <w:rsid w:val="00F3687C"/>
    <w:rsid w:val="00F474EF"/>
    <w:rsid w:val="00F47B5E"/>
    <w:rsid w:val="00F50467"/>
    <w:rsid w:val="00F5384E"/>
    <w:rsid w:val="00F562A0"/>
    <w:rsid w:val="00F57FA4"/>
    <w:rsid w:val="00F9547A"/>
    <w:rsid w:val="00FA02CB"/>
    <w:rsid w:val="00FA2177"/>
    <w:rsid w:val="00FB0783"/>
    <w:rsid w:val="00FB7A8B"/>
    <w:rsid w:val="00FC2485"/>
    <w:rsid w:val="00FC61BC"/>
    <w:rsid w:val="00FD439E"/>
    <w:rsid w:val="00FD76CB"/>
    <w:rsid w:val="00FE152B"/>
    <w:rsid w:val="00FE239E"/>
    <w:rsid w:val="00FE2528"/>
    <w:rsid w:val="00FE399B"/>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033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
    <w:basedOn w:val="DefaultParagraphFon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2528F9"/>
    <w:rPr>
      <w:color w:val="605E5C"/>
      <w:shd w:val="clear" w:color="auto" w:fill="E1DFDD"/>
    </w:rPr>
  </w:style>
  <w:style w:type="character" w:customStyle="1" w:styleId="Mention1">
    <w:name w:val="Mention1"/>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customStyle="1" w:styleId="Hashtag1">
    <w:name w:val="Hashtag1"/>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1D033C"/>
    <w:rPr>
      <w:u w:val="dotted"/>
    </w:rPr>
  </w:style>
  <w:style w:type="character" w:customStyle="1" w:styleId="SmartLink1">
    <w:name w:val="SmartLink1"/>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table" w:styleId="TableGrid">
    <w:name w:val="Table Grid"/>
    <w:basedOn w:val="TableNormal"/>
    <w:uiPriority w:val="39"/>
    <w:rsid w:val="000D6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56432"/>
    <w:rPr>
      <w:color w:val="605E5C"/>
      <w:shd w:val="clear" w:color="auto" w:fill="E1DFDD"/>
    </w:rPr>
  </w:style>
  <w:style w:type="character" w:styleId="UnresolvedMention">
    <w:name w:val="Unresolved Mention"/>
    <w:basedOn w:val="DefaultParagraphFont"/>
    <w:uiPriority w:val="99"/>
    <w:semiHidden/>
    <w:unhideWhenUsed/>
    <w:rsid w:val="00B0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17971">
      <w:bodyDiv w:val="1"/>
      <w:marLeft w:val="0"/>
      <w:marRight w:val="0"/>
      <w:marTop w:val="0"/>
      <w:marBottom w:val="0"/>
      <w:divBdr>
        <w:top w:val="none" w:sz="0" w:space="0" w:color="auto"/>
        <w:left w:val="none" w:sz="0" w:space="0" w:color="auto"/>
        <w:bottom w:val="none" w:sz="0" w:space="0" w:color="auto"/>
        <w:right w:val="none" w:sz="0" w:space="0" w:color="auto"/>
      </w:divBdr>
    </w:div>
    <w:div w:id="629752685">
      <w:bodyDiv w:val="1"/>
      <w:marLeft w:val="0"/>
      <w:marRight w:val="0"/>
      <w:marTop w:val="0"/>
      <w:marBottom w:val="0"/>
      <w:divBdr>
        <w:top w:val="none" w:sz="0" w:space="0" w:color="auto"/>
        <w:left w:val="none" w:sz="0" w:space="0" w:color="auto"/>
        <w:bottom w:val="none" w:sz="0" w:space="0" w:color="auto"/>
        <w:right w:val="none" w:sz="0" w:space="0" w:color="auto"/>
      </w:divBdr>
    </w:div>
    <w:div w:id="767044720">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044061221">
      <w:bodyDiv w:val="1"/>
      <w:marLeft w:val="0"/>
      <w:marRight w:val="0"/>
      <w:marTop w:val="0"/>
      <w:marBottom w:val="0"/>
      <w:divBdr>
        <w:top w:val="none" w:sz="0" w:space="0" w:color="auto"/>
        <w:left w:val="none" w:sz="0" w:space="0" w:color="auto"/>
        <w:bottom w:val="none" w:sz="0" w:space="0" w:color="auto"/>
        <w:right w:val="none" w:sz="0" w:space="0" w:color="auto"/>
      </w:divBdr>
    </w:div>
    <w:div w:id="1106660401">
      <w:bodyDiv w:val="1"/>
      <w:marLeft w:val="0"/>
      <w:marRight w:val="0"/>
      <w:marTop w:val="0"/>
      <w:marBottom w:val="0"/>
      <w:divBdr>
        <w:top w:val="none" w:sz="0" w:space="0" w:color="auto"/>
        <w:left w:val="none" w:sz="0" w:space="0" w:color="auto"/>
        <w:bottom w:val="none" w:sz="0" w:space="0" w:color="auto"/>
        <w:right w:val="none" w:sz="0" w:space="0" w:color="auto"/>
      </w:divBdr>
    </w:div>
    <w:div w:id="169163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cgit.hhi.fraunhofer.de/vceg-sw/bwc"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hyperlink" Target="mailto:heidi-maria.lehtonen@dolby.com"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f.fersch@dolby.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24D85AF0-E342-4A9E-9BA5-69C4CD1A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64FE2-7E4B-4D4C-B97F-6563C75B22C4}">
  <ds:schemaRefs>
    <ds:schemaRef ds:uri="http://schemas.openxmlformats.org/officeDocument/2006/bibliography"/>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Basic_Document.dotx</Template>
  <TotalTime>147</TotalTime>
  <Pages>7</Pages>
  <Words>767</Words>
  <Characters>4372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Core experiments for H.BWC</vt:lpstr>
      <vt:lpstr>Core experiments for H.BWC</vt:lpstr>
    </vt:vector>
  </TitlesOfParts>
  <Manager>ITU-T</Manager>
  <Company>International Telecommunication Union (ITU)</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experiments for H.BWC</dc:title>
  <dc:subject/>
  <dc:creator>Rapporteur Q6/21</dc:creator>
  <cp:keywords/>
  <dc:description>SG21-TD71/WP3  For: Geneva, 13-24 January 2025_x000d_Document date: _x000d_Saved by ITU51017702 at 11:07:35 on 22.01.2025</dc:description>
  <cp:lastModifiedBy>-v2</cp:lastModifiedBy>
  <cp:revision>11</cp:revision>
  <cp:lastPrinted>2016-12-23T12:52:00Z</cp:lastPrinted>
  <dcterms:created xsi:type="dcterms:W3CDTF">2025-03-21T14:31:00Z</dcterms:created>
  <dcterms:modified xsi:type="dcterms:W3CDTF">2025-03-24T22:07:00Z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Docnum">
    <vt:lpwstr>SG21-TD71/WP3</vt:lpwstr>
  </property>
  <property fmtid="{D5CDD505-2E9C-101B-9397-08002B2CF9AE}" pid="4" name="Docdate">
    <vt:lpwstr/>
  </property>
  <property fmtid="{D5CDD505-2E9C-101B-9397-08002B2CF9AE}" pid="5" name="Docorlang">
    <vt:lpwstr/>
  </property>
  <property fmtid="{D5CDD505-2E9C-101B-9397-08002B2CF9AE}" pid="6" name="Docbluepink">
    <vt:lpwstr>6</vt:lpwstr>
  </property>
  <property fmtid="{D5CDD505-2E9C-101B-9397-08002B2CF9AE}" pid="7" name="Docdest">
    <vt:lpwstr>Geneva, 13-24 January 2025</vt:lpwstr>
  </property>
  <property fmtid="{D5CDD505-2E9C-101B-9397-08002B2CF9AE}" pid="8" name="Docauthor">
    <vt:lpwstr>Rapporteur Q6/21</vt:lpwstr>
  </property>
</Properties>
</file>