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408"/>
        <w:gridCol w:w="3060"/>
      </w:tblGrid>
      <w:tr w:rsidR="00CC5330" w:rsidRPr="00456D78" w14:paraId="3457814B" w14:textId="77777777" w:rsidTr="00853F36">
        <w:tc>
          <w:tcPr>
            <w:tcW w:w="6408" w:type="dxa"/>
          </w:tcPr>
          <w:p w14:paraId="1D253DCD" w14:textId="77777777" w:rsidR="00CC5330" w:rsidRPr="00456D78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MACROBUTTON MTEditEquationSection2 </w:instrText>
            </w:r>
            <w:r w:rsidRPr="00456D78">
              <w:rPr>
                <w:rFonts w:eastAsia="Arial Unicode MS"/>
                <w:b/>
                <w:vanish/>
                <w:color w:val="FF0000"/>
                <w:kern w:val="2"/>
                <w:lang w:eastAsia="zh-CN"/>
              </w:rPr>
              <w:instrText>Equation Chapter 1 Section 1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MTEqn \r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MTSec \r 1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MTChap \r 1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t>ITU - Telecommunications Standardization Sector</w:t>
            </w:r>
          </w:p>
          <w:p w14:paraId="38C091BA" w14:textId="77777777" w:rsidR="00CC5330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456D78">
              <w:rPr>
                <w:rFonts w:eastAsia="Arial Unicode MS"/>
                <w:kern w:val="2"/>
                <w:lang w:eastAsia="zh-CN"/>
              </w:rPr>
              <w:t>STUDY GROUP 16 Question 6</w:t>
            </w:r>
          </w:p>
          <w:p w14:paraId="4EA36582" w14:textId="77777777" w:rsidR="00CC5330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456D78">
              <w:rPr>
                <w:rFonts w:eastAsia="Arial Unicode MS"/>
                <w:b/>
                <w:kern w:val="2"/>
                <w:lang w:eastAsia="zh-CN"/>
              </w:rPr>
              <w:t>Video Coding Experts Group (VCEG)</w:t>
            </w:r>
          </w:p>
          <w:p w14:paraId="6D7A1D5E" w14:textId="05FB0421" w:rsidR="00CC5330" w:rsidRPr="00456D78" w:rsidRDefault="00CC5330" w:rsidP="00375AAB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>
              <w:rPr>
                <w:rFonts w:eastAsia="Arial Unicode MS"/>
                <w:kern w:val="2"/>
                <w:lang w:eastAsia="zh-CN"/>
              </w:rPr>
              <w:t>5</w:t>
            </w:r>
            <w:r w:rsidR="00375AAB">
              <w:rPr>
                <w:rFonts w:eastAsia="Arial Unicode MS"/>
                <w:kern w:val="2"/>
                <w:lang w:eastAsia="zh-CN"/>
              </w:rPr>
              <w:t>1</w:t>
            </w:r>
            <w:r w:rsidR="00375AAB">
              <w:rPr>
                <w:rFonts w:eastAsia="Arial Unicode MS"/>
                <w:kern w:val="2"/>
                <w:vertAlign w:val="superscript"/>
                <w:lang w:eastAsia="ja-JP"/>
              </w:rPr>
              <w:t>st</w:t>
            </w:r>
            <w:r w:rsidRPr="00456D78">
              <w:rPr>
                <w:rFonts w:eastAsia="Arial Unicode MS"/>
                <w:kern w:val="2"/>
                <w:lang w:eastAsia="zh-CN"/>
              </w:rPr>
              <w:t xml:space="preserve"> Meeting: </w:t>
            </w:r>
            <w:r w:rsidR="00375AAB">
              <w:rPr>
                <w:rFonts w:eastAsia="Arial Unicode MS"/>
                <w:kern w:val="2"/>
                <w:lang w:eastAsia="zh-CN"/>
              </w:rPr>
              <w:t>16</w:t>
            </w:r>
            <w:r w:rsidR="00D63737">
              <w:rPr>
                <w:rFonts w:eastAsia="Arial Unicode MS"/>
                <w:kern w:val="2"/>
                <w:lang w:eastAsia="zh-CN"/>
              </w:rPr>
              <w:t>–</w:t>
            </w:r>
            <w:r w:rsidR="00375AAB">
              <w:rPr>
                <w:rFonts w:eastAsia="Arial Unicode MS"/>
                <w:kern w:val="2"/>
                <w:lang w:eastAsia="zh-CN"/>
              </w:rPr>
              <w:t>24</w:t>
            </w:r>
            <w:r w:rsidR="00D63737" w:rsidRPr="00D63737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375AAB">
              <w:rPr>
                <w:rFonts w:eastAsia="Arial Unicode MS"/>
                <w:kern w:val="2"/>
                <w:lang w:eastAsia="zh-CN"/>
              </w:rPr>
              <w:t>October</w:t>
            </w:r>
            <w:r w:rsidR="00D63737" w:rsidRPr="00D63737">
              <w:rPr>
                <w:rFonts w:eastAsia="Arial Unicode MS"/>
                <w:kern w:val="2"/>
                <w:lang w:eastAsia="zh-CN"/>
              </w:rPr>
              <w:t xml:space="preserve"> 2014</w:t>
            </w:r>
            <w:r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375AAB">
              <w:rPr>
                <w:rFonts w:eastAsia="Arial Unicode MS"/>
                <w:kern w:val="2"/>
                <w:lang w:eastAsia="zh-CN"/>
              </w:rPr>
              <w:t>Strasbourg</w:t>
            </w:r>
            <w:r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375AAB">
              <w:rPr>
                <w:rFonts w:eastAsia="Arial Unicode MS"/>
                <w:kern w:val="2"/>
                <w:lang w:eastAsia="zh-CN"/>
              </w:rPr>
              <w:t>France</w:t>
            </w:r>
          </w:p>
        </w:tc>
        <w:tc>
          <w:tcPr>
            <w:tcW w:w="3060" w:type="dxa"/>
          </w:tcPr>
          <w:p w14:paraId="00C583A2" w14:textId="75BC1BEB" w:rsidR="00CC5330" w:rsidRPr="00456D78" w:rsidRDefault="00CC5330" w:rsidP="00375AAB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de-DE" w:eastAsia="ja-JP"/>
              </w:rPr>
            </w:pPr>
            <w:r w:rsidRPr="00456D78">
              <w:rPr>
                <w:rFonts w:eastAsia="Arial Unicode MS"/>
                <w:kern w:val="2"/>
                <w:lang w:val="de-DE" w:eastAsia="zh-CN"/>
              </w:rPr>
              <w:t xml:space="preserve">Document  </w:t>
            </w:r>
            <w:r w:rsidR="001F16A0">
              <w:rPr>
                <w:rFonts w:eastAsia="Arial Unicode MS"/>
                <w:kern w:val="2"/>
                <w:lang w:val="de-DE" w:eastAsia="zh-CN"/>
              </w:rPr>
              <w:t>VCEG-AY11</w:t>
            </w:r>
            <w:r w:rsidR="00562BE7">
              <w:rPr>
                <w:rFonts w:eastAsia="Arial Unicode MS"/>
                <w:kern w:val="2"/>
                <w:lang w:val="de-DE" w:eastAsia="zh-CN"/>
              </w:rPr>
              <w:t xml:space="preserve"> (r2</w:t>
            </w:r>
            <w:r w:rsidR="000D1805">
              <w:rPr>
                <w:rFonts w:eastAsia="Arial Unicode MS"/>
                <w:kern w:val="2"/>
                <w:lang w:val="de-DE" w:eastAsia="zh-CN"/>
              </w:rPr>
              <w:t>)</w:t>
            </w:r>
          </w:p>
        </w:tc>
      </w:tr>
    </w:tbl>
    <w:p w14:paraId="2804A6D6" w14:textId="77777777" w:rsidR="00CC5330" w:rsidRDefault="00CC5330" w:rsidP="00B90A7E">
      <w:pPr>
        <w:jc w:val="center"/>
        <w:rPr>
          <w:b/>
          <w:sz w:val="28"/>
          <w:szCs w:val="28"/>
        </w:rPr>
      </w:pPr>
    </w:p>
    <w:p w14:paraId="6B437BAC" w14:textId="77777777" w:rsidR="00B90A7E" w:rsidRPr="00C0188B" w:rsidRDefault="00B90A7E" w:rsidP="00B90A7E">
      <w:pPr>
        <w:spacing w:line="240" w:lineRule="exact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"/>
        <w:gridCol w:w="8491"/>
      </w:tblGrid>
      <w:tr w:rsidR="00B90A7E" w:rsidRPr="005305CF" w14:paraId="28D7E236" w14:textId="77777777" w:rsidTr="008335E8">
        <w:tc>
          <w:tcPr>
            <w:tcW w:w="1080" w:type="dxa"/>
          </w:tcPr>
          <w:p w14:paraId="16EC6EA5" w14:textId="77777777" w:rsidR="00B90A7E" w:rsidRPr="005305CF" w:rsidRDefault="00B90A7E" w:rsidP="008335E8">
            <w:pPr>
              <w:suppressAutoHyphens/>
              <w:rPr>
                <w:b/>
              </w:rPr>
            </w:pPr>
            <w:r w:rsidRPr="005305CF">
              <w:rPr>
                <w:b/>
              </w:rPr>
              <w:t>Source</w:t>
            </w:r>
          </w:p>
        </w:tc>
        <w:tc>
          <w:tcPr>
            <w:tcW w:w="8491" w:type="dxa"/>
          </w:tcPr>
          <w:p w14:paraId="73D95E3B" w14:textId="292556AF" w:rsidR="00B90A7E" w:rsidRDefault="00375AAB" w:rsidP="00375AAB">
            <w:pPr>
              <w:suppressAutoHyphens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/>
                <w:b/>
                <w:lang w:eastAsia="ko-KR"/>
              </w:rPr>
              <w:t>Q6/16 Rapporteur and</w:t>
            </w:r>
            <w:r w:rsidR="00CC5330">
              <w:rPr>
                <w:rFonts w:eastAsia="Malgun Gothic"/>
                <w:b/>
                <w:lang w:eastAsia="ko-KR"/>
              </w:rPr>
              <w:t xml:space="preserve"> </w:t>
            </w:r>
            <w:r>
              <w:rPr>
                <w:rFonts w:eastAsia="Malgun Gothic"/>
                <w:b/>
                <w:lang w:eastAsia="ko-KR"/>
              </w:rPr>
              <w:t xml:space="preserve">identified </w:t>
            </w:r>
            <w:r w:rsidR="00CC5330">
              <w:rPr>
                <w:rFonts w:eastAsia="Malgun Gothic"/>
                <w:b/>
                <w:lang w:eastAsia="ko-KR"/>
              </w:rPr>
              <w:t>MPEG</w:t>
            </w:r>
            <w:r>
              <w:rPr>
                <w:rFonts w:eastAsia="Malgun Gothic"/>
                <w:b/>
                <w:lang w:eastAsia="ko-KR"/>
              </w:rPr>
              <w:t xml:space="preserve"> coordinators.</w:t>
            </w:r>
          </w:p>
          <w:p w14:paraId="075D7ED8" w14:textId="68ED6BC2" w:rsidR="00375AAB" w:rsidRPr="00504B4F" w:rsidRDefault="00375AAB" w:rsidP="00175F89">
            <w:pPr>
              <w:suppressAutoHyphens/>
              <w:spacing w:before="120"/>
              <w:ind w:left="720" w:hanging="720"/>
              <w:jc w:val="left"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/>
                <w:b/>
                <w:lang w:eastAsia="ko-KR"/>
              </w:rPr>
              <w:t xml:space="preserve">Coordinators: </w:t>
            </w:r>
            <w:r w:rsidRPr="00375AAB">
              <w:rPr>
                <w:rFonts w:eastAsia="Malgun Gothic"/>
                <w:b/>
                <w:lang w:eastAsia="ko-KR"/>
              </w:rPr>
              <w:t xml:space="preserve">Gary Sullivan, Jens-Rainer Ohm, </w:t>
            </w:r>
            <w:proofErr w:type="spellStart"/>
            <w:r w:rsidRPr="00375AAB">
              <w:rPr>
                <w:rFonts w:eastAsia="Malgun Gothic"/>
                <w:b/>
                <w:lang w:eastAsia="ko-KR"/>
              </w:rPr>
              <w:t>Jörn</w:t>
            </w:r>
            <w:proofErr w:type="spellEnd"/>
            <w:r w:rsidRPr="00375AAB">
              <w:rPr>
                <w:rFonts w:eastAsia="Malgun Gothic"/>
                <w:b/>
                <w:lang w:eastAsia="ko-KR"/>
              </w:rPr>
              <w:t xml:space="preserve"> </w:t>
            </w:r>
            <w:proofErr w:type="spellStart"/>
            <w:r w:rsidRPr="00375AAB">
              <w:rPr>
                <w:rFonts w:eastAsia="Malgun Gothic"/>
                <w:b/>
                <w:lang w:eastAsia="ko-KR"/>
              </w:rPr>
              <w:t>Ostermann</w:t>
            </w:r>
            <w:proofErr w:type="spellEnd"/>
            <w:r w:rsidRPr="00375AAB">
              <w:rPr>
                <w:rFonts w:eastAsia="Malgun Gothic"/>
                <w:b/>
                <w:lang w:eastAsia="ko-KR"/>
              </w:rPr>
              <w:t xml:space="preserve"> and Youngkwon Lim</w:t>
            </w:r>
          </w:p>
        </w:tc>
      </w:tr>
      <w:tr w:rsidR="00B90A7E" w:rsidRPr="005305CF" w14:paraId="5B666F41" w14:textId="77777777" w:rsidTr="008335E8">
        <w:tc>
          <w:tcPr>
            <w:tcW w:w="1080" w:type="dxa"/>
          </w:tcPr>
          <w:p w14:paraId="7D0DFEDD" w14:textId="7500EF8C" w:rsidR="00B90A7E" w:rsidRPr="005305CF" w:rsidRDefault="00B90A7E" w:rsidP="008335E8">
            <w:pPr>
              <w:suppressAutoHyphens/>
              <w:rPr>
                <w:b/>
              </w:rPr>
            </w:pPr>
            <w:r w:rsidRPr="005305CF">
              <w:rPr>
                <w:b/>
              </w:rPr>
              <w:t>Title</w:t>
            </w:r>
          </w:p>
        </w:tc>
        <w:tc>
          <w:tcPr>
            <w:tcW w:w="8491" w:type="dxa"/>
          </w:tcPr>
          <w:p w14:paraId="1CF76EE8" w14:textId="6CD8FB90" w:rsidR="00B90A7E" w:rsidRPr="00504B4F" w:rsidRDefault="00375AAB" w:rsidP="00F82CF5">
            <w:pPr>
              <w:suppressAutoHyphens/>
              <w:rPr>
                <w:rFonts w:eastAsia="Malgun Gothic"/>
                <w:b/>
                <w:lang w:eastAsia="ko-KR"/>
              </w:rPr>
            </w:pPr>
            <w:r w:rsidRPr="00375AAB">
              <w:rPr>
                <w:b/>
                <w:bCs/>
              </w:rPr>
              <w:t>Brainstorming panel discussion session on future video coding</w:t>
            </w:r>
          </w:p>
        </w:tc>
      </w:tr>
      <w:tr w:rsidR="00CC5330" w:rsidRPr="005305CF" w14:paraId="267B1F67" w14:textId="77777777" w:rsidTr="008335E8">
        <w:tc>
          <w:tcPr>
            <w:tcW w:w="1080" w:type="dxa"/>
          </w:tcPr>
          <w:p w14:paraId="0768F7FF" w14:textId="5C708822" w:rsidR="00CC5330" w:rsidRPr="005305CF" w:rsidRDefault="00CC5330" w:rsidP="008335E8">
            <w:pPr>
              <w:suppressAutoHyphens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8491" w:type="dxa"/>
          </w:tcPr>
          <w:p w14:paraId="60FEB538" w14:textId="01078229" w:rsidR="00CC5330" w:rsidRPr="0082554C" w:rsidRDefault="00375AAB" w:rsidP="00F82CF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Call for participation</w:t>
            </w:r>
          </w:p>
        </w:tc>
      </w:tr>
      <w:tr w:rsidR="00D63737" w:rsidRPr="005305CF" w14:paraId="42D10B62" w14:textId="77777777" w:rsidTr="008335E8">
        <w:tc>
          <w:tcPr>
            <w:tcW w:w="1080" w:type="dxa"/>
          </w:tcPr>
          <w:p w14:paraId="6CE57D8F" w14:textId="68AE76D5" w:rsidR="00D63737" w:rsidRDefault="00D63737" w:rsidP="008335E8">
            <w:pPr>
              <w:suppressAutoHyphens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8491" w:type="dxa"/>
          </w:tcPr>
          <w:p w14:paraId="3B0ED368" w14:textId="21E16333" w:rsidR="00D63737" w:rsidRDefault="00375AAB" w:rsidP="00F82CF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Prepared by rapporteur </w:t>
            </w:r>
            <w:r>
              <w:rPr>
                <w:rFonts w:eastAsia="Malgun Gothic"/>
                <w:b/>
                <w:lang w:eastAsia="ko-KR"/>
              </w:rPr>
              <w:t>jointly with identified MPEG coordinators</w:t>
            </w:r>
          </w:p>
        </w:tc>
      </w:tr>
    </w:tbl>
    <w:p w14:paraId="01A53F35" w14:textId="77777777" w:rsidR="00747E13" w:rsidRDefault="00747E13" w:rsidP="00B90A7E">
      <w:pPr>
        <w:rPr>
          <w:rFonts w:eastAsia="Malgun Gothic"/>
          <w:lang w:eastAsia="ko-KR"/>
        </w:rPr>
      </w:pPr>
    </w:p>
    <w:p w14:paraId="26AEEFB1" w14:textId="77777777" w:rsidR="00375AAB" w:rsidRPr="00375AAB" w:rsidRDefault="00375AAB" w:rsidP="00375AAB">
      <w:pPr>
        <w:jc w:val="center"/>
        <w:rPr>
          <w:rFonts w:eastAsia="SimSun"/>
          <w:b/>
          <w:sz w:val="28"/>
          <w:lang w:val="en-GB" w:eastAsia="zh-CN"/>
        </w:rPr>
      </w:pPr>
      <w:r w:rsidRPr="00375AAB">
        <w:rPr>
          <w:rFonts w:eastAsia="SimSun"/>
          <w:b/>
          <w:sz w:val="28"/>
          <w:lang w:val="en-GB" w:eastAsia="zh-CN"/>
        </w:rPr>
        <w:t>Brainstorming panel discussion session on future video coding</w:t>
      </w:r>
    </w:p>
    <w:p w14:paraId="26BD65A4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4AF10CCF" w14:textId="1492C41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 xml:space="preserve">As planned at </w:t>
      </w:r>
      <w:r>
        <w:rPr>
          <w:rFonts w:eastAsia="SimSun"/>
          <w:lang w:val="en-GB" w:eastAsia="zh-CN"/>
        </w:rPr>
        <w:t>the July 2014 SG 16 meeting</w:t>
      </w:r>
      <w:r w:rsidRPr="00375AAB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 xml:space="preserve">in </w:t>
      </w:r>
      <w:r w:rsidRPr="00375AAB">
        <w:rPr>
          <w:rFonts w:eastAsia="SimSun"/>
          <w:lang w:val="en-GB" w:eastAsia="zh-CN"/>
        </w:rPr>
        <w:t xml:space="preserve">Sapporo, JP, a brainstorming panel discussion session hosted jointly by </w:t>
      </w:r>
      <w:r>
        <w:rPr>
          <w:rFonts w:eastAsia="SimSun"/>
          <w:lang w:val="en-GB" w:eastAsia="zh-CN"/>
        </w:rPr>
        <w:t xml:space="preserve">VCEG and </w:t>
      </w:r>
      <w:r w:rsidRPr="00375AAB">
        <w:rPr>
          <w:rFonts w:eastAsia="SimSun"/>
          <w:lang w:val="en-GB" w:eastAsia="zh-CN"/>
        </w:rPr>
        <w:t xml:space="preserve">MPEG </w:t>
      </w:r>
      <w:r>
        <w:rPr>
          <w:rFonts w:eastAsia="SimSun"/>
          <w:lang w:val="en-GB" w:eastAsia="zh-CN"/>
        </w:rPr>
        <w:t>w</w:t>
      </w:r>
      <w:r w:rsidRPr="00375AAB">
        <w:rPr>
          <w:rFonts w:eastAsia="SimSun"/>
          <w:lang w:val="en-GB" w:eastAsia="zh-CN"/>
        </w:rPr>
        <w:t>ill be held in conjunction with their upcoming meetings in Strasbourg, France. The event will be held on Tuesday 21 October at 2:00 p.m. (1400 hours) and will be open to interested parties.</w:t>
      </w:r>
    </w:p>
    <w:p w14:paraId="1C853EF0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3ECC3995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The session will begin with brief remarks by invited panel guests from some of the key members of the video industry community, followed by Q&amp;A and open discussion of the topics.</w:t>
      </w:r>
    </w:p>
    <w:p w14:paraId="3BC9CC0A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47A57D57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Specific questions requested to be addressed by the panel members include the following:</w:t>
      </w:r>
    </w:p>
    <w:p w14:paraId="32C6470D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How much additional compression (compared to HEVC) do you foresee to be needed for your market(s)? What are the desirable frame rates and resolutions?</w:t>
      </w:r>
    </w:p>
    <w:p w14:paraId="7BA08C65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should be "the bar" to surpass to make a new standard? (</w:t>
      </w:r>
      <w:proofErr w:type="gramStart"/>
      <w:r w:rsidRPr="00375AAB">
        <w:rPr>
          <w:rFonts w:eastAsia="SimSun"/>
          <w:lang w:val="en-GB" w:eastAsia="zh-CN"/>
        </w:rPr>
        <w:t>in</w:t>
      </w:r>
      <w:proofErr w:type="gramEnd"/>
      <w:r w:rsidRPr="00375AAB">
        <w:rPr>
          <w:rFonts w:eastAsia="SimSun"/>
          <w:lang w:val="en-GB" w:eastAsia="zh-CN"/>
        </w:rPr>
        <w:t xml:space="preserve"> terms of </w:t>
      </w:r>
      <w:proofErr w:type="spellStart"/>
      <w:r w:rsidRPr="00375AAB">
        <w:rPr>
          <w:rFonts w:eastAsia="SimSun"/>
          <w:lang w:val="en-GB" w:eastAsia="zh-CN"/>
        </w:rPr>
        <w:t>tradeoff</w:t>
      </w:r>
      <w:proofErr w:type="spellEnd"/>
      <w:r w:rsidRPr="00375AAB">
        <w:rPr>
          <w:rFonts w:eastAsia="SimSun"/>
          <w:lang w:val="en-GB" w:eastAsia="zh-CN"/>
        </w:rPr>
        <w:t xml:space="preserve"> of compression benefit versus complexity, compatibility with existing designs, etc.)</w:t>
      </w:r>
    </w:p>
    <w:p w14:paraId="5936F441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How would it affect your business (and in what time frame) if a new video codec would deliver 25% reduction in data rate for the same video quality compared to HEVC?</w:t>
      </w:r>
    </w:p>
    <w:p w14:paraId="2C453B4E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Do you see market segments where HEVC may not be successful due to lack of functionality?</w:t>
      </w:r>
    </w:p>
    <w:p w14:paraId="7700E311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will be the applications with highest amount of video data delivery 5-10 years from now?</w:t>
      </w:r>
    </w:p>
    <w:p w14:paraId="78140B2B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would change if the industry uses the new codec as (partly or totally) royalty-free?</w:t>
      </w:r>
    </w:p>
    <w:p w14:paraId="33FD6489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1B06B59C" w14:textId="6741E71B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The list of panel members is as follows.</w:t>
      </w:r>
    </w:p>
    <w:p w14:paraId="6B71F357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27"/>
        <w:gridCol w:w="1283"/>
        <w:gridCol w:w="6061"/>
      </w:tblGrid>
      <w:tr w:rsidR="00375AAB" w:rsidRPr="00375AAB" w14:paraId="4A3F1051" w14:textId="77777777" w:rsidTr="00F8500B">
        <w:tc>
          <w:tcPr>
            <w:tcW w:w="2227" w:type="dxa"/>
          </w:tcPr>
          <w:p w14:paraId="0D91505D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Name</w:t>
            </w:r>
          </w:p>
        </w:tc>
        <w:tc>
          <w:tcPr>
            <w:tcW w:w="1283" w:type="dxa"/>
          </w:tcPr>
          <w:p w14:paraId="1AC4A7B9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Affiliation</w:t>
            </w:r>
          </w:p>
        </w:tc>
        <w:tc>
          <w:tcPr>
            <w:tcW w:w="6061" w:type="dxa"/>
          </w:tcPr>
          <w:p w14:paraId="056336EF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Function</w:t>
            </w:r>
          </w:p>
        </w:tc>
      </w:tr>
      <w:tr w:rsidR="00562BE7" w:rsidRPr="00375AAB" w14:paraId="160541F3" w14:textId="77777777" w:rsidTr="00F8500B">
        <w:tc>
          <w:tcPr>
            <w:tcW w:w="2227" w:type="dxa"/>
          </w:tcPr>
          <w:p w14:paraId="7061D4AE" w14:textId="69D6569C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9468FD">
              <w:rPr>
                <w:rFonts w:eastAsia="SimSun"/>
                <w:lang w:val="en-GB" w:eastAsia="zh-CN"/>
              </w:rPr>
              <w:t>Roger Bolton</w:t>
            </w:r>
          </w:p>
        </w:tc>
        <w:tc>
          <w:tcPr>
            <w:tcW w:w="1283" w:type="dxa"/>
          </w:tcPr>
          <w:p w14:paraId="74290E92" w14:textId="5B36AE08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6061" w:type="dxa"/>
          </w:tcPr>
          <w:p w14:paraId="6620DE83" w14:textId="5786BBFC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9468FD">
              <w:rPr>
                <w:rFonts w:eastAsia="SimSun"/>
                <w:lang w:val="en-GB" w:eastAsia="zh-CN"/>
              </w:rPr>
              <w:t>Head of Special Projects</w:t>
            </w:r>
            <w:r w:rsidRPr="009468FD">
              <w:rPr>
                <w:rFonts w:eastAsia="SimSun"/>
                <w:lang w:val="en-GB" w:eastAsia="zh-CN"/>
              </w:rPr>
              <w:t xml:space="preserve">, Business </w:t>
            </w:r>
            <w:r w:rsidRPr="009468FD">
              <w:rPr>
                <w:rFonts w:eastAsia="SimSun"/>
                <w:lang w:val="en-GB" w:eastAsia="zh-CN"/>
              </w:rPr>
              <w:t>Line Compression</w:t>
            </w:r>
          </w:p>
        </w:tc>
      </w:tr>
      <w:tr w:rsidR="00562BE7" w:rsidRPr="00375AAB" w14:paraId="1C64F9A6" w14:textId="77777777" w:rsidTr="00F8500B">
        <w:tc>
          <w:tcPr>
            <w:tcW w:w="2227" w:type="dxa"/>
          </w:tcPr>
          <w:p w14:paraId="62BFD281" w14:textId="7A88DFF5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Harald </w:t>
            </w:r>
            <w:proofErr w:type="spellStart"/>
            <w:r w:rsidRPr="00562BE7">
              <w:rPr>
                <w:rFonts w:eastAsia="SimSun"/>
                <w:lang w:val="en-GB" w:eastAsia="zh-CN"/>
              </w:rPr>
              <w:t>Alvestrand</w:t>
            </w:r>
            <w:bookmarkStart w:id="0" w:name="_GoBack"/>
            <w:bookmarkEnd w:id="0"/>
            <w:proofErr w:type="spellEnd"/>
          </w:p>
        </w:tc>
        <w:tc>
          <w:tcPr>
            <w:tcW w:w="1283" w:type="dxa"/>
          </w:tcPr>
          <w:p w14:paraId="73FB86C9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Google</w:t>
            </w:r>
          </w:p>
        </w:tc>
        <w:tc>
          <w:tcPr>
            <w:tcW w:w="6061" w:type="dxa"/>
          </w:tcPr>
          <w:p w14:paraId="136ECAC1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Standards coordinator</w:t>
            </w:r>
          </w:p>
        </w:tc>
      </w:tr>
      <w:tr w:rsidR="00562BE7" w:rsidRPr="00375AAB" w14:paraId="5A352EDC" w14:textId="77777777" w:rsidTr="00F8500B">
        <w:tc>
          <w:tcPr>
            <w:tcW w:w="2227" w:type="dxa"/>
          </w:tcPr>
          <w:p w14:paraId="68CA1D3C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Zhong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Luo</w:t>
            </w:r>
          </w:p>
        </w:tc>
        <w:tc>
          <w:tcPr>
            <w:tcW w:w="1283" w:type="dxa"/>
          </w:tcPr>
          <w:p w14:paraId="2CD06F06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Huawei</w:t>
            </w:r>
          </w:p>
        </w:tc>
        <w:tc>
          <w:tcPr>
            <w:tcW w:w="6061" w:type="dxa"/>
          </w:tcPr>
          <w:p w14:paraId="5340060E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Director, Huawei West Europe Industry &amp; Standards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Dept</w:t>
            </w:r>
            <w:proofErr w:type="spellEnd"/>
          </w:p>
        </w:tc>
      </w:tr>
      <w:tr w:rsidR="00562BE7" w:rsidRPr="00375AAB" w14:paraId="42F005D2" w14:textId="77777777" w:rsidTr="00F8500B">
        <w:tc>
          <w:tcPr>
            <w:tcW w:w="2227" w:type="dxa"/>
          </w:tcPr>
          <w:p w14:paraId="45539DB7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Anne Aaron</w:t>
            </w:r>
          </w:p>
        </w:tc>
        <w:tc>
          <w:tcPr>
            <w:tcW w:w="1283" w:type="dxa"/>
          </w:tcPr>
          <w:p w14:paraId="33D64F9F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Netflix</w:t>
            </w:r>
          </w:p>
        </w:tc>
        <w:tc>
          <w:tcPr>
            <w:tcW w:w="6061" w:type="dxa"/>
          </w:tcPr>
          <w:p w14:paraId="3FB94DF2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Leader, Video Algorithm Team</w:t>
            </w:r>
          </w:p>
        </w:tc>
      </w:tr>
      <w:tr w:rsidR="00562BE7" w:rsidRPr="00375AAB" w14:paraId="562067DF" w14:textId="77777777" w:rsidTr="00F8500B">
        <w:tc>
          <w:tcPr>
            <w:tcW w:w="2227" w:type="dxa"/>
          </w:tcPr>
          <w:p w14:paraId="0D1C1904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Stéphane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Pateux</w:t>
            </w:r>
            <w:proofErr w:type="spellEnd"/>
          </w:p>
        </w:tc>
        <w:tc>
          <w:tcPr>
            <w:tcW w:w="1283" w:type="dxa"/>
          </w:tcPr>
          <w:p w14:paraId="09F86C1F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Orange</w:t>
            </w:r>
          </w:p>
        </w:tc>
        <w:tc>
          <w:tcPr>
            <w:tcW w:w="6061" w:type="dxa"/>
          </w:tcPr>
          <w:p w14:paraId="1A58A78C" w14:textId="77777777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Director of Research Domain “Customer Experience &amp; Devices”</w:t>
            </w:r>
          </w:p>
        </w:tc>
      </w:tr>
      <w:tr w:rsidR="00562BE7" w:rsidRPr="00375AAB" w14:paraId="60520D7E" w14:textId="77777777" w:rsidTr="00F8500B">
        <w:tc>
          <w:tcPr>
            <w:tcW w:w="2227" w:type="dxa"/>
          </w:tcPr>
          <w:p w14:paraId="343DB0D3" w14:textId="7A53A70A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E53D1B">
              <w:t>Paul Torres</w:t>
            </w:r>
          </w:p>
        </w:tc>
        <w:tc>
          <w:tcPr>
            <w:tcW w:w="1283" w:type="dxa"/>
          </w:tcPr>
          <w:p w14:paraId="3DB56E30" w14:textId="7AAF033B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C04AA7">
              <w:t>Qualcomm</w:t>
            </w:r>
          </w:p>
        </w:tc>
        <w:tc>
          <w:tcPr>
            <w:tcW w:w="6061" w:type="dxa"/>
          </w:tcPr>
          <w:p w14:paraId="7450F19D" w14:textId="45D122C9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>
              <w:t>Sr. Director of</w:t>
            </w:r>
            <w:r w:rsidRPr="00C04AA7">
              <w:t xml:space="preserve"> Product Management</w:t>
            </w:r>
          </w:p>
        </w:tc>
      </w:tr>
      <w:tr w:rsidR="00562BE7" w:rsidRPr="00375AAB" w14:paraId="565BF87E" w14:textId="77777777" w:rsidTr="00F8500B">
        <w:tc>
          <w:tcPr>
            <w:tcW w:w="2227" w:type="dxa"/>
          </w:tcPr>
          <w:p w14:paraId="46DC858C" w14:textId="624C3A1A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170D69">
              <w:t>JeongHoon</w:t>
            </w:r>
            <w:proofErr w:type="spellEnd"/>
            <w:r w:rsidRPr="00170D69">
              <w:t xml:space="preserve"> Park</w:t>
            </w:r>
          </w:p>
        </w:tc>
        <w:tc>
          <w:tcPr>
            <w:tcW w:w="1283" w:type="dxa"/>
          </w:tcPr>
          <w:p w14:paraId="14FC1F7B" w14:textId="291E3914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C04AA7">
              <w:t>Samsung</w:t>
            </w:r>
          </w:p>
        </w:tc>
        <w:tc>
          <w:tcPr>
            <w:tcW w:w="6061" w:type="dxa"/>
          </w:tcPr>
          <w:p w14:paraId="2750806F" w14:textId="67A7ECB2" w:rsidR="00562BE7" w:rsidRPr="00375AAB" w:rsidRDefault="00562BE7" w:rsidP="00562BE7">
            <w:pPr>
              <w:jc w:val="left"/>
              <w:rPr>
                <w:rFonts w:eastAsia="SimSun"/>
                <w:lang w:val="en-GB" w:eastAsia="zh-CN"/>
              </w:rPr>
            </w:pPr>
            <w:r w:rsidRPr="00C04AA7">
              <w:t xml:space="preserve">VP, </w:t>
            </w:r>
            <w:r w:rsidRPr="00170D69">
              <w:t>Advanced Media Lab</w:t>
            </w:r>
          </w:p>
        </w:tc>
      </w:tr>
    </w:tbl>
    <w:p w14:paraId="2158CF45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67144735" w14:textId="3B25FF29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Questions regarding arrangements for the discussion may be addressed to members of the organizing committee</w:t>
      </w:r>
      <w:r>
        <w:rPr>
          <w:rFonts w:eastAsia="SimSun"/>
          <w:lang w:val="en-GB" w:eastAsia="zh-CN"/>
        </w:rPr>
        <w:t>, as listed below.</w:t>
      </w:r>
    </w:p>
    <w:p w14:paraId="0FFC9E7D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6958D9E7" w14:textId="77777777" w:rsidR="00375AAB" w:rsidRPr="00375AAB" w:rsidRDefault="00375AAB" w:rsidP="00375AAB">
      <w:pPr>
        <w:keepNext/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lastRenderedPageBreak/>
        <w:t>Gary J. Sullivan (garysull@microsoft.com)</w:t>
      </w:r>
    </w:p>
    <w:p w14:paraId="10AC717A" w14:textId="77777777" w:rsidR="00375AAB" w:rsidRPr="00375AAB" w:rsidRDefault="00375AAB" w:rsidP="00375AAB">
      <w:pPr>
        <w:keepNext/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Jens-Rainer Ohm (ohm@ient.rwth-aachen.de)</w:t>
      </w:r>
    </w:p>
    <w:p w14:paraId="428A00C7" w14:textId="77777777" w:rsidR="00375AAB" w:rsidRPr="00375AAB" w:rsidRDefault="00375AAB" w:rsidP="00375AAB">
      <w:pPr>
        <w:keepNext/>
        <w:jc w:val="left"/>
        <w:rPr>
          <w:rFonts w:eastAsia="SimSun"/>
          <w:lang w:val="it-IT" w:eastAsia="zh-CN"/>
        </w:rPr>
      </w:pPr>
      <w:r w:rsidRPr="00375AAB">
        <w:rPr>
          <w:rFonts w:eastAsia="SimSun"/>
          <w:lang w:val="it-IT" w:eastAsia="zh-CN"/>
        </w:rPr>
        <w:t>Jörn Ostermann (ostermann@tnt.uni-hannover.de)</w:t>
      </w:r>
    </w:p>
    <w:p w14:paraId="434CB99F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Youngkwon Lim (young.l@samsung.com)</w:t>
      </w:r>
    </w:p>
    <w:p w14:paraId="116CF26F" w14:textId="77777777" w:rsidR="009119AC" w:rsidRDefault="009119AC" w:rsidP="009316BD">
      <w:pPr>
        <w:tabs>
          <w:tab w:val="left" w:pos="426"/>
        </w:tabs>
        <w:ind w:left="426" w:hanging="426"/>
        <w:rPr>
          <w:rFonts w:eastAsia="Times New Roman"/>
        </w:rPr>
      </w:pPr>
    </w:p>
    <w:p w14:paraId="747B9773" w14:textId="77777777" w:rsidR="00375AA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p w14:paraId="446E0F43" w14:textId="77777777" w:rsidR="00375AA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8"/>
  </w:num>
  <w:num w:numId="7">
    <w:abstractNumId w:val="21"/>
  </w:num>
  <w:num w:numId="8">
    <w:abstractNumId w:val="1"/>
  </w:num>
  <w:num w:numId="9">
    <w:abstractNumId w:val="17"/>
  </w:num>
  <w:num w:numId="10">
    <w:abstractNumId w:val="16"/>
  </w:num>
  <w:num w:numId="11">
    <w:abstractNumId w:val="3"/>
  </w:num>
  <w:num w:numId="12">
    <w:abstractNumId w:val="20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4"/>
  </w:num>
  <w:num w:numId="18">
    <w:abstractNumId w:val="24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9"/>
  </w:num>
  <w:num w:numId="27">
    <w:abstractNumId w:val="2"/>
  </w:num>
  <w:num w:numId="28">
    <w:abstractNumId w:val="23"/>
  </w:num>
  <w:num w:numId="29">
    <w:abstractNumId w:val="14"/>
  </w:num>
  <w:num w:numId="30">
    <w:abstractNumId w:val="25"/>
  </w:num>
  <w:num w:numId="31">
    <w:abstractNumId w:val="22"/>
  </w:num>
  <w:num w:numId="32">
    <w:abstractNumId w:val="13"/>
  </w:num>
  <w:num w:numId="33">
    <w:abstractNumId w:val="10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D1805"/>
    <w:rsid w:val="00105EB1"/>
    <w:rsid w:val="0016750D"/>
    <w:rsid w:val="00175F89"/>
    <w:rsid w:val="001E7775"/>
    <w:rsid w:val="001F16A0"/>
    <w:rsid w:val="00206A3D"/>
    <w:rsid w:val="002079A6"/>
    <w:rsid w:val="002205DC"/>
    <w:rsid w:val="002F6615"/>
    <w:rsid w:val="00365B73"/>
    <w:rsid w:val="00375AAB"/>
    <w:rsid w:val="003F282F"/>
    <w:rsid w:val="0041270F"/>
    <w:rsid w:val="00470E08"/>
    <w:rsid w:val="004D46A5"/>
    <w:rsid w:val="00504A2A"/>
    <w:rsid w:val="005211E9"/>
    <w:rsid w:val="00552120"/>
    <w:rsid w:val="00562BE7"/>
    <w:rsid w:val="005A5F50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A214D7"/>
    <w:rsid w:val="00A52F7A"/>
    <w:rsid w:val="00AD4601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F7426"/>
    <w:rsid w:val="00F44CD3"/>
    <w:rsid w:val="00F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BF06E"/>
  <w14:defaultImageDpi w14:val="300"/>
  <w15:docId w15:val="{009C9B9A-890E-4408-845D-32A0706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Audio Research Labs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27</cp:revision>
  <dcterms:created xsi:type="dcterms:W3CDTF">2014-04-30T14:09:00Z</dcterms:created>
  <dcterms:modified xsi:type="dcterms:W3CDTF">2014-10-21T02:24:00Z</dcterms:modified>
</cp:coreProperties>
</file>