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F39DD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14961A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983A53">
              <w:rPr>
                <w:rFonts w:hint="eastAsia"/>
                <w:lang w:val="en-CA" w:eastAsia="zh-CN"/>
              </w:rPr>
              <w:t>0</w:t>
            </w:r>
            <w:r w:rsidR="0048154C">
              <w:rPr>
                <w:rFonts w:hint="eastAsia"/>
                <w:lang w:val="en-CA" w:eastAsia="zh-CN"/>
              </w:rPr>
              <w:t>224</w:t>
            </w:r>
            <w:r w:rsidR="006A0E5C" w:rsidRPr="006A0E5C">
              <w:rPr>
                <w:lang w:val="en-CA"/>
              </w:rPr>
              <w:t>-v</w:t>
            </w:r>
            <w:r w:rsidR="00983A53">
              <w:rPr>
                <w:rFonts w:hint="eastAsia"/>
                <w:lang w:val="en-CA" w:eastAsia="zh-CN"/>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B54C49A" w:rsidR="00E61DAC" w:rsidRPr="005B217D" w:rsidRDefault="00E93709" w:rsidP="009D7CE6">
            <w:pPr>
              <w:spacing w:before="60" w:after="60"/>
              <w:rPr>
                <w:rFonts w:hint="eastAsia"/>
                <w:b/>
                <w:szCs w:val="22"/>
                <w:lang w:val="en-CA" w:eastAsia="zh-CN"/>
              </w:rPr>
            </w:pPr>
            <w:r>
              <w:rPr>
                <w:rFonts w:hint="eastAsia"/>
                <w:b/>
                <w:szCs w:val="22"/>
                <w:lang w:val="en-CA" w:eastAsia="zh-CN"/>
              </w:rPr>
              <w:t>EE2-related: Intra Merge Mode extension with BV improvement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C02F61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E93076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D651D8A" w:rsidR="00E61DAC" w:rsidRPr="005B217D" w:rsidRDefault="007148CB">
            <w:pPr>
              <w:spacing w:before="60" w:after="60"/>
              <w:rPr>
                <w:szCs w:val="22"/>
                <w:lang w:val="en-CA"/>
              </w:rPr>
            </w:pPr>
            <w:r w:rsidRPr="00A4668B">
              <w:rPr>
                <w:szCs w:val="22"/>
                <w:lang w:val="en-CA"/>
              </w:rPr>
              <w:t xml:space="preserve">Jiaye Fu, </w:t>
            </w:r>
            <w:r>
              <w:rPr>
                <w:rFonts w:hint="eastAsia"/>
                <w:szCs w:val="22"/>
                <w:lang w:val="en-CA" w:eastAsia="zh-CN"/>
              </w:rPr>
              <w:t xml:space="preserve">Zhaoyu Li, </w:t>
            </w:r>
            <w:r w:rsidRPr="00A4668B">
              <w:rPr>
                <w:szCs w:val="22"/>
                <w:lang w:val="en-CA"/>
              </w:rPr>
              <w:t xml:space="preserve">Jiaqi Zhang, Chuanmin Jia, Siwei Ma </w:t>
            </w:r>
            <w:r>
              <w:rPr>
                <w:szCs w:val="22"/>
                <w:lang w:eastAsia="zh-CN"/>
              </w:rPr>
              <w:t>(PKU)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46C8A9D"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7148CB" w:rsidRPr="000B46D2">
                <w:rPr>
                  <w:rStyle w:val="a6"/>
                </w:rPr>
                <w:t>j</w:t>
              </w:r>
              <w:r w:rsidR="007148CB" w:rsidRPr="000B46D2">
                <w:rPr>
                  <w:rStyle w:val="a6"/>
                  <w:szCs w:val="22"/>
                  <w:lang w:val="en-CA"/>
                </w:rPr>
                <w:t>iaye.fu@ucdconnect.ie</w:t>
              </w:r>
            </w:hyperlink>
            <w:r w:rsidR="007148CB">
              <w:rPr>
                <w:rStyle w:val="a6"/>
                <w:szCs w:val="22"/>
                <w:lang w:val="en-CA"/>
              </w:rPr>
              <w:br/>
            </w:r>
            <w:r w:rsidR="007148CB">
              <w:rPr>
                <w:rStyle w:val="a6"/>
                <w:rFonts w:hint="eastAsia"/>
                <w:lang w:eastAsia="zh-CN"/>
              </w:rPr>
              <w:t>jqzhang@pku.edu.cn</w:t>
            </w:r>
            <w:r w:rsidR="00E93709">
              <w:rPr>
                <w:rStyle w:val="a6"/>
                <w:szCs w:val="22"/>
                <w:lang w:val="en-CA"/>
              </w:rPr>
              <w:t xml:space="preserve"> </w:t>
            </w:r>
            <w:r w:rsidR="007148CB">
              <w:rPr>
                <w:rStyle w:val="a6"/>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5C7893D" w:rsidR="00E61DAC" w:rsidRPr="005B217D" w:rsidRDefault="007148CB">
            <w:pPr>
              <w:spacing w:before="60" w:after="60"/>
              <w:rPr>
                <w:szCs w:val="22"/>
                <w:lang w:val="en-CA" w:eastAsia="zh-CN"/>
              </w:rPr>
            </w:pPr>
            <w:r>
              <w:rPr>
                <w:rFonts w:hint="eastAsia"/>
                <w:szCs w:val="22"/>
                <w:lang w:val="en-CA" w:eastAsia="zh-CN"/>
              </w:rPr>
              <w:t>PKU</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38EFD0C" w14:textId="042CD7AF" w:rsidR="00336B4E" w:rsidRDefault="00C70EEC" w:rsidP="00336B4E">
      <w:pPr>
        <w:tabs>
          <w:tab w:val="clear" w:pos="1440"/>
        </w:tabs>
        <w:rPr>
          <w:rFonts w:hint="eastAsia"/>
          <w:lang w:val="en-CA" w:eastAsia="zh-CN"/>
        </w:rPr>
      </w:pPr>
      <w:r>
        <w:rPr>
          <w:lang w:val="en-CA"/>
        </w:rPr>
        <w:t xml:space="preserve">The block vector-based prediction is highly used for intra blocks in ECM. </w:t>
      </w:r>
      <w:r w:rsidR="00D54341">
        <w:rPr>
          <w:rFonts w:hint="eastAsia"/>
          <w:lang w:val="en-CA" w:eastAsia="zh-CN"/>
        </w:rPr>
        <w:t>Th</w:t>
      </w:r>
      <w:r>
        <w:rPr>
          <w:rFonts w:hint="eastAsia"/>
          <w:lang w:val="en-CA" w:eastAsia="zh-CN"/>
        </w:rPr>
        <w:t xml:space="preserve">e Intra merge mode is the method </w:t>
      </w:r>
      <w:r w:rsidRPr="758C32A9">
        <w:rPr>
          <w:lang w:val="en-CA"/>
        </w:rPr>
        <w:t>construct</w:t>
      </w:r>
      <w:r>
        <w:rPr>
          <w:rFonts w:hint="eastAsia"/>
          <w:lang w:val="en-CA" w:eastAsia="zh-CN"/>
        </w:rPr>
        <w:t>ing</w:t>
      </w:r>
      <w:r w:rsidRPr="758C32A9">
        <w:rPr>
          <w:lang w:val="en-CA"/>
        </w:rPr>
        <w:t xml:space="preserve"> an intra candidate list by the intra mode</w:t>
      </w:r>
      <w:r>
        <w:rPr>
          <w:lang w:val="en-CA"/>
        </w:rPr>
        <w:t>s</w:t>
      </w:r>
      <w:r w:rsidRPr="758C32A9">
        <w:rPr>
          <w:lang w:val="en-GB"/>
        </w:rPr>
        <w:t xml:space="preserve"> that </w:t>
      </w:r>
      <w:r>
        <w:rPr>
          <w:lang w:val="en-GB"/>
        </w:rPr>
        <w:t>are</w:t>
      </w:r>
      <w:r w:rsidRPr="758C32A9">
        <w:rPr>
          <w:lang w:val="en-GB"/>
        </w:rPr>
        <w:t xml:space="preserve"> used in intra-coded neighbouring block</w:t>
      </w:r>
      <w:r>
        <w:rPr>
          <w:lang w:val="en-GB"/>
        </w:rPr>
        <w:t>s</w:t>
      </w:r>
      <w:r w:rsidRPr="758C32A9">
        <w:rPr>
          <w:lang w:val="en-GB"/>
        </w:rPr>
        <w:t xml:space="preserve"> to predict a current coding block</w:t>
      </w:r>
      <w:r>
        <w:rPr>
          <w:rFonts w:hint="eastAsia"/>
          <w:lang w:val="en-GB" w:eastAsia="zh-CN"/>
        </w:rPr>
        <w:t>. This contribution further proposes using block vectors preidction to replace intra mode for Intra Merge Mode through template cost analysis.</w:t>
      </w:r>
    </w:p>
    <w:p w14:paraId="723883F2" w14:textId="5A251FB8" w:rsidR="00263398" w:rsidRDefault="00336B4E" w:rsidP="00336B4E">
      <w:pPr>
        <w:tabs>
          <w:tab w:val="clear" w:pos="1440"/>
        </w:tabs>
        <w:rPr>
          <w:rFonts w:hint="eastAsia"/>
          <w:szCs w:val="22"/>
          <w:lang w:val="en-CA" w:eastAsia="zh-CN"/>
        </w:rPr>
      </w:pPr>
      <w:r>
        <w:rPr>
          <w:rFonts w:hint="eastAsia"/>
          <w:lang w:val="en-CA" w:eastAsia="zh-CN"/>
        </w:rPr>
        <w:t>To be more specific,</w:t>
      </w:r>
      <w:r w:rsidR="0046597A">
        <w:rPr>
          <w:rFonts w:hint="eastAsia"/>
          <w:lang w:val="en-CA" w:eastAsia="zh-CN"/>
        </w:rPr>
        <w:t xml:space="preserve"> </w:t>
      </w:r>
      <w:r>
        <w:rPr>
          <w:rFonts w:hint="eastAsia"/>
          <w:lang w:val="en-CA" w:eastAsia="zh-CN"/>
        </w:rPr>
        <w:t>t</w:t>
      </w:r>
      <w:r>
        <w:rPr>
          <w:szCs w:val="22"/>
          <w:lang w:val="en-CA"/>
        </w:rPr>
        <w:t xml:space="preserve">he impact on coding efficiency and runtimes of </w:t>
      </w:r>
      <w:r w:rsidR="0046597A">
        <w:rPr>
          <w:rFonts w:hint="eastAsia"/>
          <w:szCs w:val="22"/>
          <w:lang w:val="en-CA" w:eastAsia="zh-CN"/>
        </w:rPr>
        <w:t xml:space="preserve">1 </w:t>
      </w:r>
      <w:r>
        <w:rPr>
          <w:szCs w:val="22"/>
          <w:lang w:val="en-CA"/>
        </w:rPr>
        <w:t>test over ECM-1</w:t>
      </w:r>
      <w:r>
        <w:rPr>
          <w:rFonts w:hint="eastAsia"/>
          <w:szCs w:val="22"/>
          <w:lang w:val="en-CA" w:eastAsia="zh-CN"/>
        </w:rPr>
        <w:t>3</w:t>
      </w:r>
      <w:r>
        <w:rPr>
          <w:szCs w:val="22"/>
          <w:lang w:val="en-CA"/>
        </w:rPr>
        <w:t>.0 is reportedly as follows for {Y, U, V, EncT, DecT, EncVmPeak, DecVmPeak}.</w:t>
      </w:r>
      <w:r>
        <w:rPr>
          <w:lang w:val="en-CA" w:eastAsia="zh-CN"/>
        </w:rPr>
        <w:br/>
      </w:r>
      <w:r w:rsidR="0046597A">
        <w:rPr>
          <w:rFonts w:hint="eastAsia"/>
          <w:szCs w:val="22"/>
          <w:lang w:val="en-CA" w:eastAsia="zh-CN"/>
        </w:rPr>
        <w:t>The method is implemented on top of EE2-2.5a software</w:t>
      </w:r>
    </w:p>
    <w:p w14:paraId="667F0EE9" w14:textId="6F1C9211" w:rsidR="00216F6F" w:rsidRPr="00CD1AF9" w:rsidRDefault="00CD1AF9" w:rsidP="0046597A">
      <w:pPr>
        <w:tabs>
          <w:tab w:val="clear" w:pos="1440"/>
        </w:tabs>
        <w:jc w:val="center"/>
        <w:rPr>
          <w:rFonts w:hint="eastAsia"/>
          <w:szCs w:val="22"/>
          <w:lang w:val="en-CA" w:eastAsia="zh-CN"/>
        </w:rPr>
      </w:pPr>
      <w:r>
        <w:rPr>
          <w:rFonts w:hint="eastAsia"/>
          <w:szCs w:val="22"/>
          <w:lang w:val="en-CA" w:eastAsia="zh-CN"/>
        </w:rPr>
        <w:t>AI: {-0.0</w:t>
      </w:r>
      <w:r w:rsidR="0046597A">
        <w:rPr>
          <w:rFonts w:hint="eastAsia"/>
          <w:szCs w:val="22"/>
          <w:lang w:val="en-CA" w:eastAsia="zh-CN"/>
        </w:rPr>
        <w:t>8</w:t>
      </w:r>
      <w:r>
        <w:rPr>
          <w:rFonts w:hint="eastAsia"/>
          <w:szCs w:val="22"/>
          <w:lang w:val="en-CA" w:eastAsia="zh-CN"/>
        </w:rPr>
        <w:t xml:space="preserve">%, </w:t>
      </w:r>
      <w:r w:rsidR="0046597A">
        <w:rPr>
          <w:rFonts w:hint="eastAsia"/>
          <w:szCs w:val="22"/>
          <w:lang w:val="en-CA" w:eastAsia="zh-CN"/>
        </w:rPr>
        <w:t>-0.01</w:t>
      </w:r>
      <w:r>
        <w:rPr>
          <w:rFonts w:hint="eastAsia"/>
          <w:szCs w:val="22"/>
          <w:lang w:val="en-CA" w:eastAsia="zh-CN"/>
        </w:rPr>
        <w:t>%, 0.0</w:t>
      </w:r>
      <w:r w:rsidR="0046597A">
        <w:rPr>
          <w:rFonts w:hint="eastAsia"/>
          <w:szCs w:val="22"/>
          <w:lang w:val="en-CA" w:eastAsia="zh-CN"/>
        </w:rPr>
        <w:t>2</w:t>
      </w:r>
      <w:r>
        <w:rPr>
          <w:rFonts w:hint="eastAsia"/>
          <w:szCs w:val="22"/>
          <w:lang w:val="en-CA" w:eastAsia="zh-CN"/>
        </w:rPr>
        <w:t>%, 10</w:t>
      </w:r>
      <w:r w:rsidR="00D06B15">
        <w:rPr>
          <w:rFonts w:hint="eastAsia"/>
          <w:szCs w:val="22"/>
          <w:lang w:val="en-CA" w:eastAsia="zh-CN"/>
        </w:rPr>
        <w:t>1</w:t>
      </w:r>
      <w:r>
        <w:rPr>
          <w:rFonts w:hint="eastAsia"/>
          <w:szCs w:val="22"/>
          <w:lang w:val="en-CA" w:eastAsia="zh-CN"/>
        </w:rPr>
        <w:t>.</w:t>
      </w:r>
      <w:r w:rsidR="0046597A">
        <w:rPr>
          <w:rFonts w:hint="eastAsia"/>
          <w:szCs w:val="22"/>
          <w:lang w:val="en-CA" w:eastAsia="zh-CN"/>
        </w:rPr>
        <w:t>14</w:t>
      </w:r>
      <w:r>
        <w:rPr>
          <w:rFonts w:hint="eastAsia"/>
          <w:szCs w:val="22"/>
          <w:lang w:val="en-CA" w:eastAsia="zh-CN"/>
        </w:rPr>
        <w:t xml:space="preserve">%, </w:t>
      </w:r>
      <w:r w:rsidR="0046597A">
        <w:rPr>
          <w:rFonts w:hint="eastAsia"/>
          <w:szCs w:val="22"/>
          <w:lang w:val="en-CA" w:eastAsia="zh-CN"/>
        </w:rPr>
        <w:t>98.89</w:t>
      </w:r>
      <w:r>
        <w:rPr>
          <w:rFonts w:hint="eastAsia"/>
          <w:szCs w:val="22"/>
          <w:lang w:val="en-CA" w:eastAsia="zh-CN"/>
        </w:rPr>
        <w:t xml:space="preserve">%, </w:t>
      </w:r>
      <w:r w:rsidR="0046597A">
        <w:rPr>
          <w:rFonts w:hint="eastAsia"/>
          <w:szCs w:val="22"/>
          <w:lang w:val="en-CA" w:eastAsia="zh-CN"/>
        </w:rPr>
        <w:t>100.33</w:t>
      </w:r>
      <w:r>
        <w:rPr>
          <w:rFonts w:hint="eastAsia"/>
          <w:szCs w:val="22"/>
          <w:lang w:val="en-CA" w:eastAsia="zh-CN"/>
        </w:rPr>
        <w:t>%, 100.0</w:t>
      </w:r>
      <w:r w:rsidR="0046597A">
        <w:rPr>
          <w:rFonts w:hint="eastAsia"/>
          <w:szCs w:val="22"/>
          <w:lang w:val="en-CA" w:eastAsia="zh-CN"/>
        </w:rPr>
        <w:t>9</w:t>
      </w:r>
      <w:r>
        <w:rPr>
          <w:rFonts w:hint="eastAsia"/>
          <w:szCs w:val="22"/>
          <w:lang w:val="en-CA" w:eastAsia="zh-CN"/>
        </w:rPr>
        <w:t>%}</w:t>
      </w:r>
    </w:p>
    <w:p w14:paraId="7D2AC1F0" w14:textId="6812DD63" w:rsidR="00745F6B" w:rsidRPr="005B217D" w:rsidRDefault="00745F6B" w:rsidP="00E11923">
      <w:pPr>
        <w:pStyle w:val="1"/>
        <w:rPr>
          <w:lang w:val="en-CA"/>
        </w:rPr>
      </w:pPr>
      <w:r w:rsidRPr="005B217D">
        <w:rPr>
          <w:lang w:val="en-CA"/>
        </w:rPr>
        <w:t>Introduction</w:t>
      </w:r>
    </w:p>
    <w:p w14:paraId="1539A21D" w14:textId="43921668" w:rsidR="001F2594" w:rsidRDefault="00745B68" w:rsidP="009234A5">
      <w:pPr>
        <w:rPr>
          <w:lang w:val="en-GB"/>
        </w:rPr>
      </w:pPr>
      <w:r>
        <w:rPr>
          <w:rFonts w:hint="eastAsia"/>
          <w:szCs w:val="22"/>
          <w:lang w:val="en-CA" w:eastAsia="zh-CN"/>
        </w:rPr>
        <w:t>In JVET-AH02</w:t>
      </w:r>
      <w:r w:rsidR="00A04555">
        <w:rPr>
          <w:rFonts w:hint="eastAsia"/>
          <w:szCs w:val="22"/>
          <w:lang w:val="en-CA" w:eastAsia="zh-CN"/>
        </w:rPr>
        <w:t>11</w:t>
      </w:r>
      <w:r>
        <w:rPr>
          <w:rFonts w:hint="eastAsia"/>
          <w:szCs w:val="22"/>
          <w:lang w:val="en-CA" w:eastAsia="zh-CN"/>
        </w:rPr>
        <w:t xml:space="preserve">[1], it is proposed </w:t>
      </w:r>
      <w:r w:rsidR="00A04555" w:rsidRPr="758C32A9">
        <w:rPr>
          <w:lang w:val="en-GB"/>
        </w:rPr>
        <w:t xml:space="preserve">to </w:t>
      </w:r>
      <w:r w:rsidR="00A04555" w:rsidRPr="758C32A9">
        <w:rPr>
          <w:lang w:val="en-CA"/>
        </w:rPr>
        <w:t>construct an intra candidate list by the intra mode</w:t>
      </w:r>
      <w:r w:rsidR="00A04555">
        <w:rPr>
          <w:lang w:val="en-CA"/>
        </w:rPr>
        <w:t>s</w:t>
      </w:r>
      <w:r w:rsidR="00A04555" w:rsidRPr="758C32A9">
        <w:rPr>
          <w:lang w:val="en-GB"/>
        </w:rPr>
        <w:t xml:space="preserve"> that </w:t>
      </w:r>
      <w:r w:rsidR="00A04555">
        <w:rPr>
          <w:lang w:val="en-GB"/>
        </w:rPr>
        <w:t>are</w:t>
      </w:r>
      <w:r w:rsidR="00A04555" w:rsidRPr="758C32A9">
        <w:rPr>
          <w:lang w:val="en-GB"/>
        </w:rPr>
        <w:t xml:space="preserve"> used in intra-coded neighbouring block</w:t>
      </w:r>
      <w:r w:rsidR="00A04555">
        <w:rPr>
          <w:lang w:val="en-GB"/>
        </w:rPr>
        <w:t>s</w:t>
      </w:r>
      <w:r w:rsidR="00A04555" w:rsidRPr="758C32A9">
        <w:rPr>
          <w:lang w:val="en-GB"/>
        </w:rPr>
        <w:t xml:space="preserve"> to predict a current coding block.</w:t>
      </w:r>
    </w:p>
    <w:p w14:paraId="15AFED36" w14:textId="1A245FD7" w:rsidR="00A04555" w:rsidRPr="00A04555" w:rsidRDefault="00A04555" w:rsidP="009234A5">
      <w:pPr>
        <w:rPr>
          <w:szCs w:val="22"/>
          <w:lang w:val="en-CA" w:eastAsia="zh-CN"/>
        </w:rPr>
      </w:pPr>
      <w:r>
        <w:t>Block vector-based prediction is currently used in various modes of ECM software. Early versions of ECM only had IBC and IntraTMP as block vector-based predictors for screen content. Later, they were used for camera-captured content, showing significant coding gains compared to conventional directional prediction. In JVET-AG0152 and JVET-AG0146, block vector-based prediction was applied in SGPM and DIMD. In JVET-AH0071 and JVET-AH0274, this method was further applied to TIMD. This approach brings more ideas and potential to intra prediction.</w:t>
      </w:r>
    </w:p>
    <w:p w14:paraId="5F0CF8E4" w14:textId="2EEF5FBA" w:rsidR="001F2594" w:rsidRDefault="00745B68" w:rsidP="00E11923">
      <w:pPr>
        <w:pStyle w:val="1"/>
        <w:rPr>
          <w:lang w:val="en-CA" w:eastAsia="zh-CN"/>
        </w:rPr>
      </w:pPr>
      <w:r>
        <w:rPr>
          <w:rFonts w:hint="eastAsia"/>
          <w:lang w:val="en-CA" w:eastAsia="zh-CN"/>
        </w:rPr>
        <w:t>Proposal</w:t>
      </w:r>
    </w:p>
    <w:p w14:paraId="7AAA401C" w14:textId="1CA34D26" w:rsidR="00A04555" w:rsidRPr="00A04555" w:rsidRDefault="00A04555" w:rsidP="00A04555">
      <w:pPr>
        <w:rPr>
          <w:rFonts w:hint="eastAsia"/>
          <w:lang w:val="en-CA" w:eastAsia="zh-CN"/>
        </w:rPr>
      </w:pPr>
      <w:r w:rsidRPr="00A04555">
        <w:rPr>
          <w:lang w:val="en-CA" w:eastAsia="zh-CN"/>
        </w:rPr>
        <w:t xml:space="preserve">This </w:t>
      </w:r>
      <w:r>
        <w:rPr>
          <w:rFonts w:hint="eastAsia"/>
          <w:lang w:val="en-CA" w:eastAsia="zh-CN"/>
        </w:rPr>
        <w:t>contribution</w:t>
      </w:r>
      <w:r w:rsidRPr="00A04555">
        <w:rPr>
          <w:lang w:val="en-CA" w:eastAsia="zh-CN"/>
        </w:rPr>
        <w:t xml:space="preserve"> proposes a BV prediction mode replacement </w:t>
      </w:r>
      <w:r>
        <w:rPr>
          <w:rFonts w:hint="eastAsia"/>
          <w:lang w:val="en-CA" w:eastAsia="zh-CN"/>
        </w:rPr>
        <w:t>for</w:t>
      </w:r>
      <w:r w:rsidRPr="00A04555">
        <w:rPr>
          <w:lang w:val="en-CA" w:eastAsia="zh-CN"/>
        </w:rPr>
        <w:t xml:space="preserve"> all </w:t>
      </w:r>
      <w:r>
        <w:rPr>
          <w:rFonts w:hint="eastAsia"/>
          <w:lang w:val="en-CA" w:eastAsia="zh-CN"/>
        </w:rPr>
        <w:t xml:space="preserve">intra </w:t>
      </w:r>
      <w:r w:rsidRPr="00A04555">
        <w:rPr>
          <w:lang w:val="en-CA" w:eastAsia="zh-CN"/>
        </w:rPr>
        <w:t>modes</w:t>
      </w:r>
      <w:r>
        <w:rPr>
          <w:rFonts w:hint="eastAsia"/>
          <w:lang w:val="en-CA" w:eastAsia="zh-CN"/>
        </w:rPr>
        <w:t xml:space="preserve"> derived by Intra Merge Mode</w:t>
      </w:r>
      <w:r w:rsidRPr="00A04555">
        <w:rPr>
          <w:lang w:val="en-CA" w:eastAsia="zh-CN"/>
        </w:rPr>
        <w:t>.</w:t>
      </w:r>
    </w:p>
    <w:p w14:paraId="1E44D54D" w14:textId="7449FAF2" w:rsidR="005F1E68" w:rsidRPr="00DD21EC" w:rsidRDefault="00A04555" w:rsidP="00A04555">
      <w:pPr>
        <w:rPr>
          <w:rFonts w:hint="eastAsia"/>
          <w:lang w:val="en-CA" w:eastAsia="zh-CN"/>
        </w:rPr>
      </w:pPr>
      <w:r w:rsidRPr="00A04555">
        <w:rPr>
          <w:lang w:val="en-CA" w:eastAsia="zh-CN"/>
        </w:rPr>
        <w:t xml:space="preserve">Specifically, after Intra Merge Mode performs </w:t>
      </w:r>
      <w:r>
        <w:rPr>
          <w:rFonts w:hint="eastAsia"/>
          <w:lang w:val="en-CA" w:eastAsia="zh-CN"/>
        </w:rPr>
        <w:t>intra merge mode candidate selection</w:t>
      </w:r>
      <w:r w:rsidRPr="00A04555">
        <w:rPr>
          <w:lang w:val="en-CA" w:eastAsia="zh-CN"/>
        </w:rPr>
        <w:t xml:space="preserve">, </w:t>
      </w:r>
      <w:r w:rsidR="00573BC3">
        <w:t>all intra angle modes included in the Intra Merge Mode</w:t>
      </w:r>
      <w:r w:rsidR="00573BC3">
        <w:rPr>
          <w:rFonts w:hint="eastAsia"/>
          <w:lang w:eastAsia="zh-CN"/>
        </w:rPr>
        <w:t xml:space="preserve"> candidate</w:t>
      </w:r>
      <w:r w:rsidR="00573BC3">
        <w:t xml:space="preserve"> will undergo template prediction. Simultaneously, all BV prediction modes in the BV List will also undergo the same template prediction. The modes with the least loss will be selected as the prediction modes to replace the current</w:t>
      </w:r>
      <w:r w:rsidR="00573BC3">
        <w:rPr>
          <w:rFonts w:hint="eastAsia"/>
          <w:lang w:eastAsia="zh-CN"/>
        </w:rPr>
        <w:t xml:space="preserve"> mode included in</w:t>
      </w:r>
      <w:r w:rsidR="00573BC3">
        <w:t xml:space="preserve"> candidate</w:t>
      </w:r>
      <w:r w:rsidR="00573BC3">
        <w:rPr>
          <w:rFonts w:hint="eastAsia"/>
          <w:lang w:eastAsia="zh-CN"/>
        </w:rPr>
        <w:t xml:space="preserve"> of</w:t>
      </w:r>
      <w:r w:rsidR="00573BC3">
        <w:t xml:space="preserve"> Intra Merge Mode. The weights </w:t>
      </w:r>
      <w:r w:rsidR="00573BC3">
        <w:rPr>
          <w:rFonts w:hint="eastAsia"/>
          <w:lang w:eastAsia="zh-CN"/>
        </w:rPr>
        <w:t>in candidates</w:t>
      </w:r>
      <w:r w:rsidR="00573BC3">
        <w:t xml:space="preserve"> will be maintained for the final prediction.</w:t>
      </w:r>
    </w:p>
    <w:p w14:paraId="63545031" w14:textId="77777777" w:rsidR="00745B68" w:rsidRDefault="00745B68" w:rsidP="00745B68">
      <w:pPr>
        <w:pStyle w:val="1"/>
        <w:rPr>
          <w:lang w:val="en-CA" w:eastAsia="zh-CN"/>
        </w:rPr>
      </w:pPr>
      <w:r>
        <w:rPr>
          <w:rFonts w:hint="eastAsia"/>
          <w:lang w:val="en-CA" w:eastAsia="zh-CN"/>
        </w:rPr>
        <w:lastRenderedPageBreak/>
        <w:t>Simulation Results</w:t>
      </w:r>
    </w:p>
    <w:p w14:paraId="61DAA98F" w14:textId="36CCF45C" w:rsidR="00933F02" w:rsidRDefault="00933F02" w:rsidP="00933F02">
      <w:pPr>
        <w:rPr>
          <w:lang w:val="en-GB"/>
        </w:rPr>
      </w:pPr>
      <w:r w:rsidRPr="4C1CEC20">
        <w:rPr>
          <w:lang w:val="en-GB"/>
        </w:rPr>
        <w:t xml:space="preserve">The proposed method is implemented on top of </w:t>
      </w:r>
      <w:r>
        <w:rPr>
          <w:rFonts w:hint="eastAsia"/>
          <w:lang w:val="en-GB" w:eastAsia="zh-CN"/>
        </w:rPr>
        <w:t>EE2-2.5</w:t>
      </w:r>
      <w:r w:rsidR="00C372C0">
        <w:rPr>
          <w:rFonts w:hint="eastAsia"/>
          <w:lang w:val="en-GB" w:eastAsia="zh-CN"/>
        </w:rPr>
        <w:t xml:space="preserve"> [2]</w:t>
      </w:r>
      <w:r w:rsidRPr="4C1CEC20">
        <w:rPr>
          <w:lang w:val="en-GB"/>
        </w:rPr>
        <w:t>. The simulations</w:t>
      </w:r>
      <w:r>
        <w:t xml:space="preserve"> </w:t>
      </w:r>
      <w:r w:rsidRPr="4C1CEC20">
        <w:rPr>
          <w:lang w:val="en-GB"/>
        </w:rPr>
        <w:t>are run under Common Test Conditions for ECM [</w:t>
      </w:r>
      <w:r w:rsidR="00C372C0">
        <w:rPr>
          <w:rFonts w:hint="eastAsia"/>
          <w:lang w:val="en-GB" w:eastAsia="zh-CN"/>
        </w:rPr>
        <w:t>3</w:t>
      </w:r>
      <w:r w:rsidRPr="4C1CEC20">
        <w:rPr>
          <w:lang w:val="en-GB"/>
        </w:rPr>
        <w:t>]. The results are shown in the table below.</w:t>
      </w:r>
    </w:p>
    <w:p w14:paraId="60F27856" w14:textId="77777777" w:rsidR="00933F02" w:rsidRDefault="00933F02" w:rsidP="00933F02">
      <w:pPr>
        <w:rPr>
          <w:lang w:val="en-GB"/>
        </w:rPr>
      </w:pPr>
    </w:p>
    <w:tbl>
      <w:tblPr>
        <w:tblW w:w="8340" w:type="dxa"/>
        <w:tblLook w:val="04A0" w:firstRow="1" w:lastRow="0" w:firstColumn="1" w:lastColumn="0" w:noHBand="0" w:noVBand="1"/>
      </w:tblPr>
      <w:tblGrid>
        <w:gridCol w:w="1040"/>
        <w:gridCol w:w="854"/>
        <w:gridCol w:w="854"/>
        <w:gridCol w:w="854"/>
        <w:gridCol w:w="927"/>
        <w:gridCol w:w="927"/>
        <w:gridCol w:w="1451"/>
        <w:gridCol w:w="1465"/>
      </w:tblGrid>
      <w:tr w:rsidR="00D72EEB" w:rsidRPr="00D72EEB" w14:paraId="4ABED18A" w14:textId="77777777" w:rsidTr="00D72EEB">
        <w:trPr>
          <w:trHeight w:val="255"/>
        </w:trPr>
        <w:tc>
          <w:tcPr>
            <w:tcW w:w="1040" w:type="dxa"/>
            <w:tcBorders>
              <w:top w:val="nil"/>
              <w:left w:val="nil"/>
              <w:bottom w:val="nil"/>
              <w:right w:val="nil"/>
            </w:tcBorders>
            <w:shd w:val="clear" w:color="auto" w:fill="auto"/>
            <w:noWrap/>
            <w:vAlign w:val="center"/>
            <w:hideMark/>
          </w:tcPr>
          <w:p w14:paraId="0FF5E945"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02B3F6"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72EEB">
              <w:rPr>
                <w:rFonts w:ascii="Arial" w:eastAsia="宋体" w:hAnsi="Arial" w:cs="Arial"/>
                <w:b/>
                <w:bCs/>
                <w:color w:val="000000"/>
                <w:sz w:val="18"/>
                <w:szCs w:val="18"/>
                <w:lang w:eastAsia="zh-CN"/>
              </w:rPr>
              <w:t xml:space="preserve">All Intra Main 10 </w:t>
            </w:r>
          </w:p>
        </w:tc>
      </w:tr>
      <w:tr w:rsidR="00D72EEB" w:rsidRPr="00D72EEB" w14:paraId="65182EF2" w14:textId="77777777" w:rsidTr="00D72EEB">
        <w:trPr>
          <w:trHeight w:val="255"/>
        </w:trPr>
        <w:tc>
          <w:tcPr>
            <w:tcW w:w="1040" w:type="dxa"/>
            <w:tcBorders>
              <w:top w:val="nil"/>
              <w:left w:val="nil"/>
              <w:bottom w:val="nil"/>
              <w:right w:val="nil"/>
            </w:tcBorders>
            <w:shd w:val="clear" w:color="auto" w:fill="auto"/>
            <w:noWrap/>
            <w:vAlign w:val="center"/>
            <w:hideMark/>
          </w:tcPr>
          <w:p w14:paraId="15796790"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00" w:type="dxa"/>
            <w:gridSpan w:val="7"/>
            <w:tcBorders>
              <w:top w:val="nil"/>
              <w:left w:val="single" w:sz="8" w:space="0" w:color="auto"/>
              <w:bottom w:val="nil"/>
              <w:right w:val="single" w:sz="8" w:space="0" w:color="000000"/>
            </w:tcBorders>
            <w:shd w:val="clear" w:color="auto" w:fill="auto"/>
            <w:noWrap/>
            <w:vAlign w:val="center"/>
            <w:hideMark/>
          </w:tcPr>
          <w:p w14:paraId="6D86BD47" w14:textId="10F1F182"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72EEB">
              <w:rPr>
                <w:rFonts w:ascii="Arial" w:eastAsia="宋体" w:hAnsi="Arial" w:cs="Arial"/>
                <w:b/>
                <w:bCs/>
                <w:color w:val="000000"/>
                <w:sz w:val="18"/>
                <w:szCs w:val="18"/>
                <w:lang w:eastAsia="zh-CN"/>
              </w:rPr>
              <w:t>Over ECM-1</w:t>
            </w:r>
            <w:r w:rsidR="00F57823">
              <w:rPr>
                <w:rFonts w:ascii="Arial" w:eastAsia="宋体" w:hAnsi="Arial" w:cs="Arial" w:hint="eastAsia"/>
                <w:b/>
                <w:bCs/>
                <w:color w:val="000000"/>
                <w:sz w:val="18"/>
                <w:szCs w:val="18"/>
                <w:lang w:eastAsia="zh-CN"/>
              </w:rPr>
              <w:t>3</w:t>
            </w:r>
            <w:r w:rsidRPr="00D72EEB">
              <w:rPr>
                <w:rFonts w:ascii="Arial" w:eastAsia="宋体" w:hAnsi="Arial" w:cs="Arial"/>
                <w:b/>
                <w:bCs/>
                <w:color w:val="000000"/>
                <w:sz w:val="18"/>
                <w:szCs w:val="18"/>
                <w:lang w:eastAsia="zh-CN"/>
              </w:rPr>
              <w:t>.0</w:t>
            </w:r>
          </w:p>
        </w:tc>
      </w:tr>
      <w:tr w:rsidR="00D72EEB" w:rsidRPr="00D72EEB" w14:paraId="4980569A" w14:textId="77777777" w:rsidTr="00D72EEB">
        <w:trPr>
          <w:trHeight w:val="255"/>
        </w:trPr>
        <w:tc>
          <w:tcPr>
            <w:tcW w:w="1040" w:type="dxa"/>
            <w:tcBorders>
              <w:top w:val="nil"/>
              <w:left w:val="nil"/>
              <w:bottom w:val="nil"/>
              <w:right w:val="nil"/>
            </w:tcBorders>
            <w:shd w:val="clear" w:color="auto" w:fill="auto"/>
            <w:noWrap/>
            <w:vAlign w:val="center"/>
            <w:hideMark/>
          </w:tcPr>
          <w:p w14:paraId="6BCDF851"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854" w:type="dxa"/>
            <w:tcBorders>
              <w:top w:val="nil"/>
              <w:left w:val="single" w:sz="8" w:space="0" w:color="auto"/>
              <w:bottom w:val="single" w:sz="8" w:space="0" w:color="auto"/>
              <w:right w:val="nil"/>
            </w:tcBorders>
            <w:shd w:val="clear" w:color="auto" w:fill="auto"/>
            <w:noWrap/>
            <w:vAlign w:val="center"/>
            <w:hideMark/>
          </w:tcPr>
          <w:p w14:paraId="57BC25AC"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Y</w:t>
            </w:r>
          </w:p>
        </w:tc>
        <w:tc>
          <w:tcPr>
            <w:tcW w:w="854" w:type="dxa"/>
            <w:tcBorders>
              <w:top w:val="nil"/>
              <w:left w:val="nil"/>
              <w:bottom w:val="single" w:sz="8" w:space="0" w:color="auto"/>
              <w:right w:val="nil"/>
            </w:tcBorders>
            <w:shd w:val="clear" w:color="auto" w:fill="auto"/>
            <w:noWrap/>
            <w:vAlign w:val="center"/>
            <w:hideMark/>
          </w:tcPr>
          <w:p w14:paraId="67FE2733"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U</w:t>
            </w:r>
          </w:p>
        </w:tc>
        <w:tc>
          <w:tcPr>
            <w:tcW w:w="854" w:type="dxa"/>
            <w:tcBorders>
              <w:top w:val="nil"/>
              <w:left w:val="nil"/>
              <w:bottom w:val="single" w:sz="8" w:space="0" w:color="auto"/>
              <w:right w:val="single" w:sz="4" w:space="0" w:color="auto"/>
            </w:tcBorders>
            <w:shd w:val="clear" w:color="auto" w:fill="auto"/>
            <w:noWrap/>
            <w:vAlign w:val="center"/>
            <w:hideMark/>
          </w:tcPr>
          <w:p w14:paraId="1C32C910"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V</w:t>
            </w:r>
          </w:p>
        </w:tc>
        <w:tc>
          <w:tcPr>
            <w:tcW w:w="911" w:type="dxa"/>
            <w:tcBorders>
              <w:top w:val="nil"/>
              <w:left w:val="nil"/>
              <w:bottom w:val="single" w:sz="8" w:space="0" w:color="auto"/>
              <w:right w:val="nil"/>
            </w:tcBorders>
            <w:shd w:val="clear" w:color="auto" w:fill="auto"/>
            <w:noWrap/>
            <w:vAlign w:val="center"/>
            <w:hideMark/>
          </w:tcPr>
          <w:p w14:paraId="6358361D"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EncT</w:t>
            </w:r>
          </w:p>
        </w:tc>
        <w:tc>
          <w:tcPr>
            <w:tcW w:w="911" w:type="dxa"/>
            <w:tcBorders>
              <w:top w:val="nil"/>
              <w:left w:val="nil"/>
              <w:bottom w:val="single" w:sz="8" w:space="0" w:color="auto"/>
              <w:right w:val="nil"/>
            </w:tcBorders>
            <w:shd w:val="clear" w:color="auto" w:fill="auto"/>
            <w:noWrap/>
            <w:vAlign w:val="center"/>
            <w:hideMark/>
          </w:tcPr>
          <w:p w14:paraId="4A20E56E"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DecT</w:t>
            </w:r>
          </w:p>
        </w:tc>
        <w:tc>
          <w:tcPr>
            <w:tcW w:w="1451" w:type="dxa"/>
            <w:tcBorders>
              <w:top w:val="nil"/>
              <w:left w:val="single" w:sz="4" w:space="0" w:color="auto"/>
              <w:bottom w:val="single" w:sz="8" w:space="0" w:color="auto"/>
              <w:right w:val="nil"/>
            </w:tcBorders>
            <w:shd w:val="clear" w:color="auto" w:fill="auto"/>
            <w:noWrap/>
            <w:vAlign w:val="center"/>
            <w:hideMark/>
          </w:tcPr>
          <w:p w14:paraId="6B0E8034"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EncVmPeak</w:t>
            </w:r>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26594387"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DecVmPeak</w:t>
            </w:r>
          </w:p>
        </w:tc>
      </w:tr>
      <w:tr w:rsidR="00A04555" w:rsidRPr="00D72EEB" w14:paraId="6EE13261" w14:textId="77777777" w:rsidTr="00D72EE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B873380" w14:textId="77777777"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A1</w:t>
            </w:r>
          </w:p>
        </w:tc>
        <w:tc>
          <w:tcPr>
            <w:tcW w:w="854" w:type="dxa"/>
            <w:tcBorders>
              <w:top w:val="nil"/>
              <w:left w:val="nil"/>
              <w:bottom w:val="nil"/>
              <w:right w:val="nil"/>
            </w:tcBorders>
            <w:shd w:val="clear" w:color="auto" w:fill="auto"/>
            <w:noWrap/>
            <w:vAlign w:val="center"/>
            <w:hideMark/>
          </w:tcPr>
          <w:p w14:paraId="6CCFA25E" w14:textId="36DA9AB1"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854" w:type="dxa"/>
            <w:tcBorders>
              <w:top w:val="nil"/>
              <w:left w:val="nil"/>
              <w:bottom w:val="nil"/>
              <w:right w:val="nil"/>
            </w:tcBorders>
            <w:shd w:val="clear" w:color="auto" w:fill="auto"/>
            <w:noWrap/>
            <w:vAlign w:val="center"/>
            <w:hideMark/>
          </w:tcPr>
          <w:p w14:paraId="7494ED6D" w14:textId="27D8F016"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1065636A" w14:textId="540D4C17"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11" w:type="dxa"/>
            <w:tcBorders>
              <w:top w:val="nil"/>
              <w:left w:val="nil"/>
              <w:bottom w:val="nil"/>
              <w:right w:val="nil"/>
            </w:tcBorders>
            <w:shd w:val="clear" w:color="auto" w:fill="auto"/>
            <w:noWrap/>
            <w:vAlign w:val="center"/>
            <w:hideMark/>
          </w:tcPr>
          <w:p w14:paraId="1CA393E1" w14:textId="6027C893"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101.63%</w:t>
            </w:r>
          </w:p>
        </w:tc>
        <w:tc>
          <w:tcPr>
            <w:tcW w:w="911" w:type="dxa"/>
            <w:tcBorders>
              <w:top w:val="nil"/>
              <w:left w:val="nil"/>
              <w:bottom w:val="nil"/>
              <w:right w:val="nil"/>
            </w:tcBorders>
            <w:shd w:val="clear" w:color="auto" w:fill="auto"/>
            <w:noWrap/>
            <w:vAlign w:val="center"/>
            <w:hideMark/>
          </w:tcPr>
          <w:p w14:paraId="4A6CE552" w14:textId="3BD7CC81"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97.47%</w:t>
            </w:r>
          </w:p>
        </w:tc>
        <w:tc>
          <w:tcPr>
            <w:tcW w:w="1451" w:type="dxa"/>
            <w:tcBorders>
              <w:top w:val="nil"/>
              <w:left w:val="single" w:sz="4" w:space="0" w:color="auto"/>
              <w:bottom w:val="nil"/>
              <w:right w:val="nil"/>
            </w:tcBorders>
            <w:shd w:val="clear" w:color="auto" w:fill="auto"/>
            <w:noWrap/>
            <w:vAlign w:val="center"/>
            <w:hideMark/>
          </w:tcPr>
          <w:p w14:paraId="4EA658AC" w14:textId="3D9839FF"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100.97%</w:t>
            </w:r>
          </w:p>
        </w:tc>
        <w:tc>
          <w:tcPr>
            <w:tcW w:w="1465" w:type="dxa"/>
            <w:tcBorders>
              <w:top w:val="nil"/>
              <w:left w:val="nil"/>
              <w:bottom w:val="nil"/>
              <w:right w:val="single" w:sz="8" w:space="0" w:color="auto"/>
            </w:tcBorders>
            <w:shd w:val="clear" w:color="auto" w:fill="auto"/>
            <w:noWrap/>
            <w:vAlign w:val="center"/>
            <w:hideMark/>
          </w:tcPr>
          <w:p w14:paraId="5EA4AF2D" w14:textId="5518FCD7"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100.17%</w:t>
            </w:r>
          </w:p>
        </w:tc>
      </w:tr>
      <w:tr w:rsidR="00A04555" w:rsidRPr="00D72EEB" w14:paraId="01F1C9F9" w14:textId="77777777" w:rsidTr="00D72EE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05695B2" w14:textId="77777777"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A2</w:t>
            </w:r>
          </w:p>
        </w:tc>
        <w:tc>
          <w:tcPr>
            <w:tcW w:w="854" w:type="dxa"/>
            <w:tcBorders>
              <w:top w:val="nil"/>
              <w:left w:val="nil"/>
              <w:bottom w:val="nil"/>
              <w:right w:val="nil"/>
            </w:tcBorders>
            <w:shd w:val="clear" w:color="auto" w:fill="auto"/>
            <w:noWrap/>
            <w:vAlign w:val="center"/>
            <w:hideMark/>
          </w:tcPr>
          <w:p w14:paraId="24B99B38" w14:textId="70AC2B00"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854" w:type="dxa"/>
            <w:tcBorders>
              <w:top w:val="nil"/>
              <w:left w:val="nil"/>
              <w:bottom w:val="nil"/>
              <w:right w:val="nil"/>
            </w:tcBorders>
            <w:shd w:val="clear" w:color="auto" w:fill="auto"/>
            <w:noWrap/>
            <w:vAlign w:val="center"/>
            <w:hideMark/>
          </w:tcPr>
          <w:p w14:paraId="7F8466BE" w14:textId="00B54DF1"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15667818" w14:textId="13DD38EC"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11" w:type="dxa"/>
            <w:tcBorders>
              <w:top w:val="nil"/>
              <w:left w:val="nil"/>
              <w:bottom w:val="nil"/>
              <w:right w:val="nil"/>
            </w:tcBorders>
            <w:shd w:val="clear" w:color="auto" w:fill="auto"/>
            <w:noWrap/>
            <w:vAlign w:val="center"/>
            <w:hideMark/>
          </w:tcPr>
          <w:p w14:paraId="1719E7F2" w14:textId="4FFA9B39"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102.97%</w:t>
            </w:r>
          </w:p>
        </w:tc>
        <w:tc>
          <w:tcPr>
            <w:tcW w:w="911" w:type="dxa"/>
            <w:tcBorders>
              <w:top w:val="nil"/>
              <w:left w:val="nil"/>
              <w:bottom w:val="nil"/>
              <w:right w:val="nil"/>
            </w:tcBorders>
            <w:shd w:val="clear" w:color="auto" w:fill="auto"/>
            <w:noWrap/>
            <w:vAlign w:val="center"/>
            <w:hideMark/>
          </w:tcPr>
          <w:p w14:paraId="57E3DD5E" w14:textId="12652562"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103.27%</w:t>
            </w:r>
          </w:p>
        </w:tc>
        <w:tc>
          <w:tcPr>
            <w:tcW w:w="1451" w:type="dxa"/>
            <w:tcBorders>
              <w:top w:val="nil"/>
              <w:left w:val="single" w:sz="4" w:space="0" w:color="auto"/>
              <w:bottom w:val="nil"/>
              <w:right w:val="nil"/>
            </w:tcBorders>
            <w:shd w:val="clear" w:color="auto" w:fill="auto"/>
            <w:noWrap/>
            <w:vAlign w:val="center"/>
            <w:hideMark/>
          </w:tcPr>
          <w:p w14:paraId="5BB050AA" w14:textId="3C5BE15A"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101.37%</w:t>
            </w:r>
          </w:p>
        </w:tc>
        <w:tc>
          <w:tcPr>
            <w:tcW w:w="1465" w:type="dxa"/>
            <w:tcBorders>
              <w:top w:val="nil"/>
              <w:left w:val="nil"/>
              <w:bottom w:val="nil"/>
              <w:right w:val="single" w:sz="8" w:space="0" w:color="auto"/>
            </w:tcBorders>
            <w:shd w:val="clear" w:color="auto" w:fill="auto"/>
            <w:noWrap/>
            <w:vAlign w:val="center"/>
            <w:hideMark/>
          </w:tcPr>
          <w:p w14:paraId="16136AB8" w14:textId="7671EC86"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99.96%</w:t>
            </w:r>
          </w:p>
        </w:tc>
      </w:tr>
      <w:tr w:rsidR="00A04555" w:rsidRPr="00D72EEB" w14:paraId="791E6605" w14:textId="77777777" w:rsidTr="00D72EE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3DE009E" w14:textId="77777777"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B</w:t>
            </w:r>
          </w:p>
        </w:tc>
        <w:tc>
          <w:tcPr>
            <w:tcW w:w="854" w:type="dxa"/>
            <w:tcBorders>
              <w:top w:val="nil"/>
              <w:left w:val="nil"/>
              <w:bottom w:val="nil"/>
              <w:right w:val="nil"/>
            </w:tcBorders>
            <w:shd w:val="clear" w:color="auto" w:fill="auto"/>
            <w:noWrap/>
            <w:vAlign w:val="center"/>
            <w:hideMark/>
          </w:tcPr>
          <w:p w14:paraId="66CA78DA" w14:textId="0AA8E495"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854" w:type="dxa"/>
            <w:tcBorders>
              <w:top w:val="nil"/>
              <w:left w:val="nil"/>
              <w:bottom w:val="nil"/>
              <w:right w:val="nil"/>
            </w:tcBorders>
            <w:shd w:val="clear" w:color="auto" w:fill="auto"/>
            <w:noWrap/>
            <w:vAlign w:val="center"/>
            <w:hideMark/>
          </w:tcPr>
          <w:p w14:paraId="008B30AB" w14:textId="52FC5052"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854" w:type="dxa"/>
            <w:tcBorders>
              <w:top w:val="nil"/>
              <w:left w:val="nil"/>
              <w:bottom w:val="nil"/>
              <w:right w:val="single" w:sz="4" w:space="0" w:color="auto"/>
            </w:tcBorders>
            <w:shd w:val="clear" w:color="auto" w:fill="auto"/>
            <w:noWrap/>
            <w:vAlign w:val="center"/>
            <w:hideMark/>
          </w:tcPr>
          <w:p w14:paraId="76D6D20E" w14:textId="4BFCEC2C"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11" w:type="dxa"/>
            <w:tcBorders>
              <w:top w:val="nil"/>
              <w:left w:val="nil"/>
              <w:bottom w:val="nil"/>
              <w:right w:val="nil"/>
            </w:tcBorders>
            <w:shd w:val="clear" w:color="auto" w:fill="auto"/>
            <w:noWrap/>
            <w:vAlign w:val="center"/>
            <w:hideMark/>
          </w:tcPr>
          <w:p w14:paraId="2A455D4C" w14:textId="4A8EF7F0"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101.64%</w:t>
            </w:r>
          </w:p>
        </w:tc>
        <w:tc>
          <w:tcPr>
            <w:tcW w:w="911" w:type="dxa"/>
            <w:tcBorders>
              <w:top w:val="nil"/>
              <w:left w:val="nil"/>
              <w:bottom w:val="nil"/>
              <w:right w:val="nil"/>
            </w:tcBorders>
            <w:shd w:val="clear" w:color="auto" w:fill="auto"/>
            <w:noWrap/>
            <w:vAlign w:val="center"/>
            <w:hideMark/>
          </w:tcPr>
          <w:p w14:paraId="4218F584" w14:textId="1B2591D0"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99.34%</w:t>
            </w:r>
          </w:p>
        </w:tc>
        <w:tc>
          <w:tcPr>
            <w:tcW w:w="1451" w:type="dxa"/>
            <w:tcBorders>
              <w:top w:val="nil"/>
              <w:left w:val="single" w:sz="4" w:space="0" w:color="auto"/>
              <w:bottom w:val="nil"/>
              <w:right w:val="nil"/>
            </w:tcBorders>
            <w:shd w:val="clear" w:color="auto" w:fill="auto"/>
            <w:noWrap/>
            <w:vAlign w:val="center"/>
            <w:hideMark/>
          </w:tcPr>
          <w:p w14:paraId="528F98AD" w14:textId="38ACCCEB"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99.02%</w:t>
            </w:r>
          </w:p>
        </w:tc>
        <w:tc>
          <w:tcPr>
            <w:tcW w:w="1465" w:type="dxa"/>
            <w:tcBorders>
              <w:top w:val="nil"/>
              <w:left w:val="nil"/>
              <w:bottom w:val="nil"/>
              <w:right w:val="single" w:sz="8" w:space="0" w:color="auto"/>
            </w:tcBorders>
            <w:shd w:val="clear" w:color="auto" w:fill="auto"/>
            <w:noWrap/>
            <w:vAlign w:val="center"/>
            <w:hideMark/>
          </w:tcPr>
          <w:p w14:paraId="69E108E0" w14:textId="626DB867"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100.11%</w:t>
            </w:r>
          </w:p>
        </w:tc>
      </w:tr>
      <w:tr w:rsidR="00A04555" w:rsidRPr="00D72EEB" w14:paraId="0283C6DD" w14:textId="77777777" w:rsidTr="00D72EE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E3CB632" w14:textId="77777777"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C</w:t>
            </w:r>
          </w:p>
        </w:tc>
        <w:tc>
          <w:tcPr>
            <w:tcW w:w="854" w:type="dxa"/>
            <w:tcBorders>
              <w:top w:val="nil"/>
              <w:left w:val="nil"/>
              <w:bottom w:val="nil"/>
              <w:right w:val="nil"/>
            </w:tcBorders>
            <w:shd w:val="clear" w:color="auto" w:fill="auto"/>
            <w:noWrap/>
            <w:vAlign w:val="center"/>
            <w:hideMark/>
          </w:tcPr>
          <w:p w14:paraId="1A2650B1" w14:textId="3A3EBAFC"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4AF25670" w14:textId="4C84C6FF"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854" w:type="dxa"/>
            <w:tcBorders>
              <w:top w:val="nil"/>
              <w:left w:val="nil"/>
              <w:bottom w:val="nil"/>
              <w:right w:val="single" w:sz="4" w:space="0" w:color="auto"/>
            </w:tcBorders>
            <w:shd w:val="clear" w:color="auto" w:fill="auto"/>
            <w:noWrap/>
            <w:vAlign w:val="center"/>
            <w:hideMark/>
          </w:tcPr>
          <w:p w14:paraId="4DEAF31C" w14:textId="64850AFC"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911" w:type="dxa"/>
            <w:tcBorders>
              <w:top w:val="nil"/>
              <w:left w:val="nil"/>
              <w:bottom w:val="nil"/>
              <w:right w:val="nil"/>
            </w:tcBorders>
            <w:shd w:val="clear" w:color="auto" w:fill="auto"/>
            <w:noWrap/>
            <w:vAlign w:val="center"/>
            <w:hideMark/>
          </w:tcPr>
          <w:p w14:paraId="497D4CA4" w14:textId="1B52E2C0"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95.52%</w:t>
            </w:r>
          </w:p>
        </w:tc>
        <w:tc>
          <w:tcPr>
            <w:tcW w:w="911" w:type="dxa"/>
            <w:tcBorders>
              <w:top w:val="nil"/>
              <w:left w:val="nil"/>
              <w:bottom w:val="nil"/>
              <w:right w:val="nil"/>
            </w:tcBorders>
            <w:shd w:val="clear" w:color="auto" w:fill="auto"/>
            <w:noWrap/>
            <w:vAlign w:val="center"/>
            <w:hideMark/>
          </w:tcPr>
          <w:p w14:paraId="66F216C1" w14:textId="668AECE7"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94.00%</w:t>
            </w:r>
          </w:p>
        </w:tc>
        <w:tc>
          <w:tcPr>
            <w:tcW w:w="1451" w:type="dxa"/>
            <w:tcBorders>
              <w:top w:val="nil"/>
              <w:left w:val="single" w:sz="4" w:space="0" w:color="auto"/>
              <w:bottom w:val="nil"/>
              <w:right w:val="nil"/>
            </w:tcBorders>
            <w:shd w:val="clear" w:color="auto" w:fill="auto"/>
            <w:noWrap/>
            <w:vAlign w:val="center"/>
            <w:hideMark/>
          </w:tcPr>
          <w:p w14:paraId="705FC885" w14:textId="2E9248F4"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100.17%</w:t>
            </w:r>
          </w:p>
        </w:tc>
        <w:tc>
          <w:tcPr>
            <w:tcW w:w="1465" w:type="dxa"/>
            <w:tcBorders>
              <w:top w:val="nil"/>
              <w:left w:val="nil"/>
              <w:bottom w:val="nil"/>
              <w:right w:val="single" w:sz="8" w:space="0" w:color="auto"/>
            </w:tcBorders>
            <w:shd w:val="clear" w:color="auto" w:fill="auto"/>
            <w:noWrap/>
            <w:vAlign w:val="center"/>
            <w:hideMark/>
          </w:tcPr>
          <w:p w14:paraId="259C916D" w14:textId="150301B6"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100.11%</w:t>
            </w:r>
          </w:p>
        </w:tc>
      </w:tr>
      <w:tr w:rsidR="00A04555" w:rsidRPr="00D72EEB" w14:paraId="32CFDDDD" w14:textId="77777777" w:rsidTr="00D72EE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470AB9C" w14:textId="77777777"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E</w:t>
            </w:r>
          </w:p>
        </w:tc>
        <w:tc>
          <w:tcPr>
            <w:tcW w:w="854" w:type="dxa"/>
            <w:tcBorders>
              <w:top w:val="nil"/>
              <w:left w:val="nil"/>
              <w:bottom w:val="nil"/>
              <w:right w:val="nil"/>
            </w:tcBorders>
            <w:shd w:val="clear" w:color="auto" w:fill="auto"/>
            <w:noWrap/>
            <w:vAlign w:val="center"/>
            <w:hideMark/>
          </w:tcPr>
          <w:p w14:paraId="4174304E" w14:textId="5D841938"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216DE665" w14:textId="32B908EC"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854" w:type="dxa"/>
            <w:tcBorders>
              <w:top w:val="nil"/>
              <w:left w:val="nil"/>
              <w:bottom w:val="nil"/>
              <w:right w:val="single" w:sz="4" w:space="0" w:color="auto"/>
            </w:tcBorders>
            <w:shd w:val="clear" w:color="auto" w:fill="auto"/>
            <w:noWrap/>
            <w:vAlign w:val="center"/>
            <w:hideMark/>
          </w:tcPr>
          <w:p w14:paraId="102C842A" w14:textId="05E40B69"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911" w:type="dxa"/>
            <w:tcBorders>
              <w:top w:val="nil"/>
              <w:left w:val="nil"/>
              <w:bottom w:val="nil"/>
              <w:right w:val="nil"/>
            </w:tcBorders>
            <w:shd w:val="clear" w:color="auto" w:fill="auto"/>
            <w:noWrap/>
            <w:vAlign w:val="center"/>
            <w:hideMark/>
          </w:tcPr>
          <w:p w14:paraId="16D70013" w14:textId="5FDF0742"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105.80%</w:t>
            </w:r>
          </w:p>
        </w:tc>
        <w:tc>
          <w:tcPr>
            <w:tcW w:w="911" w:type="dxa"/>
            <w:tcBorders>
              <w:top w:val="nil"/>
              <w:left w:val="nil"/>
              <w:bottom w:val="nil"/>
              <w:right w:val="nil"/>
            </w:tcBorders>
            <w:shd w:val="clear" w:color="auto" w:fill="auto"/>
            <w:noWrap/>
            <w:vAlign w:val="center"/>
            <w:hideMark/>
          </w:tcPr>
          <w:p w14:paraId="512A90F3" w14:textId="7B177C55"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102.04%</w:t>
            </w:r>
          </w:p>
        </w:tc>
        <w:tc>
          <w:tcPr>
            <w:tcW w:w="1451" w:type="dxa"/>
            <w:tcBorders>
              <w:top w:val="nil"/>
              <w:left w:val="single" w:sz="4" w:space="0" w:color="auto"/>
              <w:bottom w:val="nil"/>
              <w:right w:val="nil"/>
            </w:tcBorders>
            <w:shd w:val="clear" w:color="auto" w:fill="auto"/>
            <w:noWrap/>
            <w:vAlign w:val="center"/>
            <w:hideMark/>
          </w:tcPr>
          <w:p w14:paraId="69078F05" w14:textId="473FE7AF"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101.04%</w:t>
            </w:r>
          </w:p>
        </w:tc>
        <w:tc>
          <w:tcPr>
            <w:tcW w:w="1465" w:type="dxa"/>
            <w:tcBorders>
              <w:top w:val="nil"/>
              <w:left w:val="nil"/>
              <w:bottom w:val="nil"/>
              <w:right w:val="single" w:sz="8" w:space="0" w:color="auto"/>
            </w:tcBorders>
            <w:shd w:val="clear" w:color="auto" w:fill="auto"/>
            <w:noWrap/>
            <w:vAlign w:val="center"/>
            <w:hideMark/>
          </w:tcPr>
          <w:p w14:paraId="62069D5D" w14:textId="3CBE1B58"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100.06%</w:t>
            </w:r>
          </w:p>
        </w:tc>
      </w:tr>
      <w:tr w:rsidR="00A04555" w:rsidRPr="00D72EEB" w14:paraId="0565BC45" w14:textId="77777777" w:rsidTr="00D72EE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B7F4265" w14:textId="77777777"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72EEB">
              <w:rPr>
                <w:rFonts w:ascii="Arial" w:eastAsia="宋体" w:hAnsi="Arial" w:cs="Arial"/>
                <w:b/>
                <w:bCs/>
                <w:color w:val="000000"/>
                <w:sz w:val="18"/>
                <w:szCs w:val="18"/>
                <w:lang w:eastAsia="zh-CN"/>
              </w:rPr>
              <w:t xml:space="preserve">Overall </w:t>
            </w:r>
          </w:p>
        </w:tc>
        <w:tc>
          <w:tcPr>
            <w:tcW w:w="854" w:type="dxa"/>
            <w:tcBorders>
              <w:top w:val="single" w:sz="8" w:space="0" w:color="auto"/>
              <w:left w:val="nil"/>
              <w:bottom w:val="nil"/>
              <w:right w:val="nil"/>
            </w:tcBorders>
            <w:shd w:val="clear" w:color="auto" w:fill="auto"/>
            <w:noWrap/>
            <w:vAlign w:val="center"/>
            <w:hideMark/>
          </w:tcPr>
          <w:p w14:paraId="0C23181A" w14:textId="00EA11B8"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854" w:type="dxa"/>
            <w:tcBorders>
              <w:top w:val="single" w:sz="8" w:space="0" w:color="auto"/>
              <w:left w:val="nil"/>
              <w:bottom w:val="nil"/>
              <w:right w:val="nil"/>
            </w:tcBorders>
            <w:shd w:val="clear" w:color="auto" w:fill="auto"/>
            <w:noWrap/>
            <w:vAlign w:val="center"/>
            <w:hideMark/>
          </w:tcPr>
          <w:p w14:paraId="39605737" w14:textId="2A784B2F"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854" w:type="dxa"/>
            <w:tcBorders>
              <w:top w:val="single" w:sz="8" w:space="0" w:color="auto"/>
              <w:left w:val="nil"/>
              <w:bottom w:val="nil"/>
              <w:right w:val="single" w:sz="4" w:space="0" w:color="auto"/>
            </w:tcBorders>
            <w:shd w:val="clear" w:color="auto" w:fill="auto"/>
            <w:noWrap/>
            <w:vAlign w:val="center"/>
            <w:hideMark/>
          </w:tcPr>
          <w:p w14:paraId="3FFEB48B" w14:textId="01CD2CDA"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11" w:type="dxa"/>
            <w:tcBorders>
              <w:top w:val="single" w:sz="8" w:space="0" w:color="auto"/>
              <w:left w:val="nil"/>
              <w:bottom w:val="nil"/>
              <w:right w:val="nil"/>
            </w:tcBorders>
            <w:shd w:val="clear" w:color="auto" w:fill="auto"/>
            <w:noWrap/>
            <w:vAlign w:val="center"/>
            <w:hideMark/>
          </w:tcPr>
          <w:p w14:paraId="296110FD" w14:textId="6ED8A244"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101.14%</w:t>
            </w:r>
          </w:p>
        </w:tc>
        <w:tc>
          <w:tcPr>
            <w:tcW w:w="911" w:type="dxa"/>
            <w:tcBorders>
              <w:top w:val="single" w:sz="8" w:space="0" w:color="auto"/>
              <w:left w:val="nil"/>
              <w:bottom w:val="nil"/>
              <w:right w:val="nil"/>
            </w:tcBorders>
            <w:shd w:val="clear" w:color="auto" w:fill="auto"/>
            <w:noWrap/>
            <w:vAlign w:val="center"/>
            <w:hideMark/>
          </w:tcPr>
          <w:p w14:paraId="0BD5813F" w14:textId="39A0F5B3"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98.89%</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18CBFE5E" w14:textId="3CBCBFAC"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100.33%</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64EA23A1" w14:textId="3E0AD958"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100.09%</w:t>
            </w:r>
          </w:p>
        </w:tc>
      </w:tr>
      <w:tr w:rsidR="00A04555" w:rsidRPr="00D72EEB" w14:paraId="0E714E11" w14:textId="77777777" w:rsidTr="00D72EE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AF4624F" w14:textId="77777777"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D</w:t>
            </w:r>
          </w:p>
        </w:tc>
        <w:tc>
          <w:tcPr>
            <w:tcW w:w="854" w:type="dxa"/>
            <w:tcBorders>
              <w:top w:val="single" w:sz="8" w:space="0" w:color="auto"/>
              <w:left w:val="nil"/>
              <w:bottom w:val="nil"/>
              <w:right w:val="nil"/>
            </w:tcBorders>
            <w:shd w:val="clear" w:color="auto" w:fill="auto"/>
            <w:noWrap/>
            <w:vAlign w:val="center"/>
            <w:hideMark/>
          </w:tcPr>
          <w:p w14:paraId="7C6C2FDC" w14:textId="6D57E368"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854" w:type="dxa"/>
            <w:tcBorders>
              <w:top w:val="single" w:sz="8" w:space="0" w:color="auto"/>
              <w:left w:val="nil"/>
              <w:bottom w:val="nil"/>
              <w:right w:val="nil"/>
            </w:tcBorders>
            <w:shd w:val="clear" w:color="auto" w:fill="auto"/>
            <w:noWrap/>
            <w:vAlign w:val="center"/>
            <w:hideMark/>
          </w:tcPr>
          <w:p w14:paraId="5D750FD8" w14:textId="4C4AF14B"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854" w:type="dxa"/>
            <w:tcBorders>
              <w:top w:val="single" w:sz="8" w:space="0" w:color="auto"/>
              <w:left w:val="nil"/>
              <w:bottom w:val="nil"/>
              <w:right w:val="single" w:sz="4" w:space="0" w:color="auto"/>
            </w:tcBorders>
            <w:shd w:val="clear" w:color="auto" w:fill="auto"/>
            <w:noWrap/>
            <w:vAlign w:val="center"/>
            <w:hideMark/>
          </w:tcPr>
          <w:p w14:paraId="6EEDB44C" w14:textId="10F8C66A"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11" w:type="dxa"/>
            <w:tcBorders>
              <w:top w:val="single" w:sz="8" w:space="0" w:color="auto"/>
              <w:left w:val="nil"/>
              <w:bottom w:val="nil"/>
              <w:right w:val="nil"/>
            </w:tcBorders>
            <w:shd w:val="clear" w:color="auto" w:fill="auto"/>
            <w:noWrap/>
            <w:vAlign w:val="center"/>
            <w:hideMark/>
          </w:tcPr>
          <w:p w14:paraId="302AB7DA" w14:textId="6DE8C18A"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104.84%</w:t>
            </w:r>
          </w:p>
        </w:tc>
        <w:tc>
          <w:tcPr>
            <w:tcW w:w="911" w:type="dxa"/>
            <w:tcBorders>
              <w:top w:val="single" w:sz="8" w:space="0" w:color="auto"/>
              <w:left w:val="nil"/>
              <w:bottom w:val="nil"/>
              <w:right w:val="nil"/>
            </w:tcBorders>
            <w:shd w:val="clear" w:color="auto" w:fill="auto"/>
            <w:noWrap/>
            <w:vAlign w:val="center"/>
            <w:hideMark/>
          </w:tcPr>
          <w:p w14:paraId="71DC03EE" w14:textId="14C01283"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102.66%</w:t>
            </w:r>
          </w:p>
        </w:tc>
        <w:tc>
          <w:tcPr>
            <w:tcW w:w="1451" w:type="dxa"/>
            <w:tcBorders>
              <w:top w:val="nil"/>
              <w:left w:val="single" w:sz="4" w:space="0" w:color="auto"/>
              <w:bottom w:val="nil"/>
              <w:right w:val="nil"/>
            </w:tcBorders>
            <w:shd w:val="clear" w:color="auto" w:fill="auto"/>
            <w:noWrap/>
            <w:vAlign w:val="center"/>
            <w:hideMark/>
          </w:tcPr>
          <w:p w14:paraId="208FA438" w14:textId="4B83DE51"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100.28%</w:t>
            </w:r>
          </w:p>
        </w:tc>
        <w:tc>
          <w:tcPr>
            <w:tcW w:w="1465" w:type="dxa"/>
            <w:tcBorders>
              <w:top w:val="nil"/>
              <w:left w:val="nil"/>
              <w:bottom w:val="nil"/>
              <w:right w:val="single" w:sz="8" w:space="0" w:color="auto"/>
            </w:tcBorders>
            <w:shd w:val="clear" w:color="auto" w:fill="auto"/>
            <w:noWrap/>
            <w:vAlign w:val="center"/>
            <w:hideMark/>
          </w:tcPr>
          <w:p w14:paraId="419BBB68" w14:textId="71EB8511"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100.05%</w:t>
            </w:r>
          </w:p>
        </w:tc>
      </w:tr>
      <w:tr w:rsidR="00A04555" w:rsidRPr="00D72EEB" w14:paraId="05FD6B67" w14:textId="77777777" w:rsidTr="00D72EE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BCC8804" w14:textId="77777777"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F</w:t>
            </w:r>
          </w:p>
        </w:tc>
        <w:tc>
          <w:tcPr>
            <w:tcW w:w="854" w:type="dxa"/>
            <w:tcBorders>
              <w:top w:val="nil"/>
              <w:left w:val="nil"/>
              <w:bottom w:val="nil"/>
              <w:right w:val="nil"/>
            </w:tcBorders>
            <w:shd w:val="clear" w:color="auto" w:fill="auto"/>
            <w:noWrap/>
            <w:vAlign w:val="center"/>
            <w:hideMark/>
          </w:tcPr>
          <w:p w14:paraId="608AD0E0" w14:textId="4D5ABBE9"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487C0FE5" w14:textId="533BC6EC"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854" w:type="dxa"/>
            <w:tcBorders>
              <w:top w:val="nil"/>
              <w:left w:val="nil"/>
              <w:bottom w:val="nil"/>
              <w:right w:val="single" w:sz="4" w:space="0" w:color="auto"/>
            </w:tcBorders>
            <w:shd w:val="clear" w:color="auto" w:fill="auto"/>
            <w:noWrap/>
            <w:vAlign w:val="center"/>
            <w:hideMark/>
          </w:tcPr>
          <w:p w14:paraId="5A7A9AF5" w14:textId="578E99DA"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11" w:type="dxa"/>
            <w:tcBorders>
              <w:top w:val="nil"/>
              <w:left w:val="nil"/>
              <w:bottom w:val="nil"/>
              <w:right w:val="nil"/>
            </w:tcBorders>
            <w:shd w:val="clear" w:color="auto" w:fill="auto"/>
            <w:noWrap/>
            <w:vAlign w:val="center"/>
            <w:hideMark/>
          </w:tcPr>
          <w:p w14:paraId="2C978FE2" w14:textId="69CA96BB"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101.10%</w:t>
            </w:r>
          </w:p>
        </w:tc>
        <w:tc>
          <w:tcPr>
            <w:tcW w:w="911" w:type="dxa"/>
            <w:tcBorders>
              <w:top w:val="nil"/>
              <w:left w:val="nil"/>
              <w:bottom w:val="nil"/>
              <w:right w:val="nil"/>
            </w:tcBorders>
            <w:shd w:val="clear" w:color="auto" w:fill="auto"/>
            <w:noWrap/>
            <w:vAlign w:val="center"/>
            <w:hideMark/>
          </w:tcPr>
          <w:p w14:paraId="4D7793A3" w14:textId="19B3CF83"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100.66%</w:t>
            </w:r>
          </w:p>
        </w:tc>
        <w:tc>
          <w:tcPr>
            <w:tcW w:w="1451" w:type="dxa"/>
            <w:tcBorders>
              <w:top w:val="nil"/>
              <w:left w:val="single" w:sz="4" w:space="0" w:color="auto"/>
              <w:bottom w:val="nil"/>
              <w:right w:val="nil"/>
            </w:tcBorders>
            <w:shd w:val="clear" w:color="auto" w:fill="auto"/>
            <w:noWrap/>
            <w:vAlign w:val="center"/>
            <w:hideMark/>
          </w:tcPr>
          <w:p w14:paraId="7F67B970" w14:textId="22BA36D9"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101.34%</w:t>
            </w:r>
          </w:p>
        </w:tc>
        <w:tc>
          <w:tcPr>
            <w:tcW w:w="1465" w:type="dxa"/>
            <w:tcBorders>
              <w:top w:val="nil"/>
              <w:left w:val="nil"/>
              <w:bottom w:val="nil"/>
              <w:right w:val="single" w:sz="8" w:space="0" w:color="auto"/>
            </w:tcBorders>
            <w:shd w:val="clear" w:color="auto" w:fill="auto"/>
            <w:noWrap/>
            <w:vAlign w:val="center"/>
            <w:hideMark/>
          </w:tcPr>
          <w:p w14:paraId="49420D1A" w14:textId="3BF08374"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100.11%</w:t>
            </w:r>
          </w:p>
        </w:tc>
      </w:tr>
      <w:tr w:rsidR="00A04555" w:rsidRPr="00D72EEB" w14:paraId="258306A0" w14:textId="77777777" w:rsidTr="00D72EEB">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60DF06F" w14:textId="77777777"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TGM</w:t>
            </w:r>
          </w:p>
        </w:tc>
        <w:tc>
          <w:tcPr>
            <w:tcW w:w="854" w:type="dxa"/>
            <w:tcBorders>
              <w:top w:val="nil"/>
              <w:left w:val="nil"/>
              <w:bottom w:val="single" w:sz="8" w:space="0" w:color="auto"/>
              <w:right w:val="nil"/>
            </w:tcBorders>
            <w:shd w:val="clear" w:color="auto" w:fill="auto"/>
            <w:noWrap/>
            <w:vAlign w:val="center"/>
            <w:hideMark/>
          </w:tcPr>
          <w:p w14:paraId="3FCDBDFF" w14:textId="4F66B9E4"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854" w:type="dxa"/>
            <w:tcBorders>
              <w:top w:val="nil"/>
              <w:left w:val="nil"/>
              <w:bottom w:val="single" w:sz="8" w:space="0" w:color="auto"/>
              <w:right w:val="nil"/>
            </w:tcBorders>
            <w:shd w:val="clear" w:color="auto" w:fill="auto"/>
            <w:noWrap/>
            <w:vAlign w:val="center"/>
            <w:hideMark/>
          </w:tcPr>
          <w:p w14:paraId="52FEBA26" w14:textId="2A2EF0E2"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854" w:type="dxa"/>
            <w:tcBorders>
              <w:top w:val="nil"/>
              <w:left w:val="nil"/>
              <w:bottom w:val="single" w:sz="8" w:space="0" w:color="auto"/>
              <w:right w:val="single" w:sz="4" w:space="0" w:color="auto"/>
            </w:tcBorders>
            <w:shd w:val="clear" w:color="auto" w:fill="auto"/>
            <w:noWrap/>
            <w:vAlign w:val="center"/>
            <w:hideMark/>
          </w:tcPr>
          <w:p w14:paraId="11382DD5" w14:textId="3CBA8420"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11" w:type="dxa"/>
            <w:tcBorders>
              <w:top w:val="nil"/>
              <w:left w:val="nil"/>
              <w:bottom w:val="single" w:sz="8" w:space="0" w:color="auto"/>
              <w:right w:val="nil"/>
            </w:tcBorders>
            <w:shd w:val="clear" w:color="auto" w:fill="auto"/>
            <w:noWrap/>
            <w:vAlign w:val="center"/>
            <w:hideMark/>
          </w:tcPr>
          <w:p w14:paraId="3342F8AE" w14:textId="6BBA899C"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100.84%</w:t>
            </w:r>
          </w:p>
        </w:tc>
        <w:tc>
          <w:tcPr>
            <w:tcW w:w="911" w:type="dxa"/>
            <w:tcBorders>
              <w:top w:val="nil"/>
              <w:left w:val="nil"/>
              <w:bottom w:val="single" w:sz="8" w:space="0" w:color="auto"/>
              <w:right w:val="nil"/>
            </w:tcBorders>
            <w:shd w:val="clear" w:color="auto" w:fill="auto"/>
            <w:noWrap/>
            <w:vAlign w:val="center"/>
            <w:hideMark/>
          </w:tcPr>
          <w:p w14:paraId="2B4AFCCF" w14:textId="5DA7FD81"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94.72%</w:t>
            </w:r>
          </w:p>
        </w:tc>
        <w:tc>
          <w:tcPr>
            <w:tcW w:w="1451" w:type="dxa"/>
            <w:tcBorders>
              <w:top w:val="nil"/>
              <w:left w:val="single" w:sz="4" w:space="0" w:color="auto"/>
              <w:bottom w:val="single" w:sz="8" w:space="0" w:color="auto"/>
              <w:right w:val="nil"/>
            </w:tcBorders>
            <w:shd w:val="clear" w:color="auto" w:fill="auto"/>
            <w:noWrap/>
            <w:vAlign w:val="center"/>
            <w:hideMark/>
          </w:tcPr>
          <w:p w14:paraId="76D1639E" w14:textId="118001DB"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101.43%</w:t>
            </w:r>
          </w:p>
        </w:tc>
        <w:tc>
          <w:tcPr>
            <w:tcW w:w="1465" w:type="dxa"/>
            <w:tcBorders>
              <w:top w:val="nil"/>
              <w:left w:val="nil"/>
              <w:bottom w:val="single" w:sz="8" w:space="0" w:color="auto"/>
              <w:right w:val="single" w:sz="8" w:space="0" w:color="auto"/>
            </w:tcBorders>
            <w:shd w:val="clear" w:color="auto" w:fill="auto"/>
            <w:noWrap/>
            <w:vAlign w:val="center"/>
            <w:hideMark/>
          </w:tcPr>
          <w:p w14:paraId="59E79D1B" w14:textId="390F0AE4" w:rsidR="00A04555" w:rsidRPr="00D72EEB" w:rsidRDefault="00A04555" w:rsidP="00A04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100.23%</w:t>
            </w:r>
          </w:p>
        </w:tc>
      </w:tr>
    </w:tbl>
    <w:p w14:paraId="5EF11F8D" w14:textId="62CBB499" w:rsidR="00745B68" w:rsidRPr="00901DFE" w:rsidRDefault="00901DFE" w:rsidP="00901DFE">
      <w:pPr>
        <w:rPr>
          <w:rFonts w:hint="eastAsia"/>
          <w:lang w:val="en-CA" w:eastAsia="zh-CN"/>
        </w:rPr>
      </w:pPr>
      <w:r>
        <w:rPr>
          <w:rFonts w:hint="eastAsia"/>
          <w:lang w:val="en-CA" w:eastAsia="zh-CN"/>
        </w:rPr>
        <w:t>*QP22 of DaylightRoad2 is copied from ECM-13.0</w:t>
      </w:r>
    </w:p>
    <w:p w14:paraId="7622253C" w14:textId="77777777" w:rsidR="00745B68" w:rsidRDefault="00745B68" w:rsidP="00745B68">
      <w:pPr>
        <w:pStyle w:val="1"/>
        <w:rPr>
          <w:lang w:val="en-CA" w:eastAsia="zh-CN"/>
        </w:rPr>
      </w:pPr>
      <w:r>
        <w:rPr>
          <w:rFonts w:hint="eastAsia"/>
          <w:lang w:val="en-CA" w:eastAsia="zh-CN"/>
        </w:rPr>
        <w:t>Conclusion</w:t>
      </w:r>
    </w:p>
    <w:p w14:paraId="16FB6317" w14:textId="71BB06D1" w:rsidR="00745B68" w:rsidRDefault="00745B68" w:rsidP="00252F7B">
      <w:pPr>
        <w:tabs>
          <w:tab w:val="clear" w:pos="2160"/>
        </w:tabs>
        <w:rPr>
          <w:lang w:val="en-CA" w:eastAsia="zh-CN"/>
        </w:rPr>
      </w:pPr>
      <w:r w:rsidRPr="00853060">
        <w:rPr>
          <w:lang w:val="en-CA" w:eastAsia="zh-CN"/>
        </w:rPr>
        <w:t xml:space="preserve">This contribution </w:t>
      </w:r>
      <w:r w:rsidR="00252F7B">
        <w:rPr>
          <w:rFonts w:hint="eastAsia"/>
          <w:lang w:val="en-CA" w:eastAsia="zh-CN"/>
        </w:rPr>
        <w:t>suggests the extension of OBIC non-adjacent sampling strategy and the inclusion of matrix-based intra prediction in OBIC</w:t>
      </w:r>
      <w:r w:rsidRPr="00853060">
        <w:rPr>
          <w:lang w:val="en-CA" w:eastAsia="zh-CN"/>
        </w:rPr>
        <w:t>.</w:t>
      </w:r>
      <w:r>
        <w:rPr>
          <w:lang w:val="en-CA" w:eastAsia="zh-CN"/>
        </w:rPr>
        <w:t xml:space="preserve"> The results show that the proposed method can improve the coding efficiency of ECM wi</w:t>
      </w:r>
      <w:r>
        <w:rPr>
          <w:rFonts w:hint="eastAsia"/>
          <w:lang w:val="en-CA" w:eastAsia="zh-CN"/>
        </w:rPr>
        <w:t>thout</w:t>
      </w:r>
      <w:r>
        <w:rPr>
          <w:lang w:val="en-CA" w:eastAsia="zh-CN"/>
        </w:rPr>
        <w:t xml:space="preserve"> complexity increases. It is suggested to further study this method in EE2.</w:t>
      </w:r>
    </w:p>
    <w:p w14:paraId="4515193C" w14:textId="77777777" w:rsidR="00745B68" w:rsidRDefault="00745B68" w:rsidP="00745B68">
      <w:pPr>
        <w:pStyle w:val="1"/>
        <w:rPr>
          <w:lang w:val="en-CA"/>
        </w:rPr>
      </w:pPr>
      <w:r>
        <w:rPr>
          <w:lang w:val="en-CA"/>
        </w:rPr>
        <w:t>References</w:t>
      </w:r>
    </w:p>
    <w:p w14:paraId="05ED27F2" w14:textId="0E8BDE7E" w:rsidR="00745B68" w:rsidRPr="00A04555" w:rsidRDefault="00745B68" w:rsidP="00745B68">
      <w:pPr>
        <w:rPr>
          <w:lang w:val="de-DE" w:eastAsia="zh-CN"/>
        </w:rPr>
      </w:pPr>
      <w:r w:rsidRPr="005F4445">
        <w:rPr>
          <w:rFonts w:hint="eastAsia"/>
          <w:lang w:eastAsia="zh-CN"/>
        </w:rPr>
        <w:t>[1]</w:t>
      </w:r>
      <w:r w:rsidR="005F4445" w:rsidRPr="005F4445">
        <w:rPr>
          <w:rFonts w:hint="eastAsia"/>
          <w:lang w:eastAsia="zh-CN"/>
        </w:rPr>
        <w:t xml:space="preserve"> </w:t>
      </w:r>
      <w:r w:rsidR="00A04555">
        <w:rPr>
          <w:rFonts w:hint="eastAsia"/>
          <w:lang w:eastAsia="zh-CN"/>
        </w:rPr>
        <w:t xml:space="preserve">Y-J. </w:t>
      </w:r>
      <w:r w:rsidR="00A04555" w:rsidRPr="00A04555">
        <w:rPr>
          <w:rFonts w:hint="eastAsia"/>
          <w:lang w:val="de-DE" w:eastAsia="zh-CN"/>
        </w:rPr>
        <w:t xml:space="preserve">Cheng, V. Seregin, M. </w:t>
      </w:r>
      <w:r w:rsidR="00A04555" w:rsidRPr="00A04555">
        <w:rPr>
          <w:szCs w:val="22"/>
          <w:lang w:val="de-DE"/>
        </w:rPr>
        <w:t>Karczewicz</w:t>
      </w:r>
      <w:r w:rsidR="005F4445" w:rsidRPr="00A04555">
        <w:rPr>
          <w:rFonts w:hint="eastAsia"/>
          <w:lang w:val="de-DE" w:eastAsia="zh-CN"/>
        </w:rPr>
        <w:t xml:space="preserve">, </w:t>
      </w:r>
      <w:r w:rsidR="005F4445" w:rsidRPr="00A04555">
        <w:rPr>
          <w:lang w:val="de-DE" w:eastAsia="zh-CN"/>
        </w:rPr>
        <w:t>“</w:t>
      </w:r>
      <w:r w:rsidR="00A04555" w:rsidRPr="00A04555">
        <w:rPr>
          <w:rFonts w:hint="eastAsia"/>
          <w:lang w:val="de-DE" w:eastAsia="zh-CN"/>
        </w:rPr>
        <w:t>Non-EE2: Intra merge mod</w:t>
      </w:r>
      <w:r w:rsidR="00A04555">
        <w:rPr>
          <w:rFonts w:hint="eastAsia"/>
          <w:lang w:val="de-DE" w:eastAsia="zh-CN"/>
        </w:rPr>
        <w:t>e</w:t>
      </w:r>
      <w:r w:rsidR="005F4445" w:rsidRPr="00A04555">
        <w:rPr>
          <w:lang w:val="de-DE" w:eastAsia="zh-CN"/>
        </w:rPr>
        <w:t>”</w:t>
      </w:r>
      <w:r w:rsidR="005F4445" w:rsidRPr="00A04555">
        <w:rPr>
          <w:rFonts w:hint="eastAsia"/>
          <w:lang w:val="de-DE" w:eastAsia="zh-CN"/>
        </w:rPr>
        <w:t>, JVET-</w:t>
      </w:r>
      <w:r w:rsidR="00101E42" w:rsidRPr="00A04555">
        <w:rPr>
          <w:rFonts w:hint="eastAsia"/>
          <w:lang w:val="de-DE" w:eastAsia="zh-CN"/>
        </w:rPr>
        <w:t>AH</w:t>
      </w:r>
      <w:r w:rsidR="005F4445" w:rsidRPr="00A04555">
        <w:rPr>
          <w:rFonts w:hint="eastAsia"/>
          <w:lang w:val="de-DE" w:eastAsia="zh-CN"/>
        </w:rPr>
        <w:t>02</w:t>
      </w:r>
      <w:r w:rsidR="00A04555" w:rsidRPr="00A04555">
        <w:rPr>
          <w:rFonts w:hint="eastAsia"/>
          <w:lang w:val="de-DE" w:eastAsia="zh-CN"/>
        </w:rPr>
        <w:t>11</w:t>
      </w:r>
      <w:r w:rsidR="005F4445" w:rsidRPr="00A04555">
        <w:rPr>
          <w:rFonts w:hint="eastAsia"/>
          <w:lang w:val="de-DE" w:eastAsia="zh-CN"/>
        </w:rPr>
        <w:t>, April, 2024.</w:t>
      </w:r>
    </w:p>
    <w:p w14:paraId="31361513" w14:textId="3539C754" w:rsidR="00C372C0" w:rsidRDefault="00E60594" w:rsidP="00E60594">
      <w:pPr>
        <w:tabs>
          <w:tab w:val="clear" w:pos="2520"/>
        </w:tabs>
        <w:textAlignment w:val="auto"/>
        <w:rPr>
          <w:lang w:eastAsia="zh-CN"/>
        </w:rPr>
      </w:pPr>
      <w:r>
        <w:rPr>
          <w:rFonts w:hint="eastAsia"/>
          <w:lang w:eastAsia="zh-CN"/>
        </w:rPr>
        <w:t>[</w:t>
      </w:r>
      <w:r w:rsidR="00A04555">
        <w:rPr>
          <w:rFonts w:hint="eastAsia"/>
          <w:lang w:eastAsia="zh-CN"/>
        </w:rPr>
        <w:t>2</w:t>
      </w:r>
      <w:r>
        <w:rPr>
          <w:rFonts w:hint="eastAsia"/>
          <w:lang w:eastAsia="zh-CN"/>
        </w:rPr>
        <w:t xml:space="preserve">] </w:t>
      </w:r>
      <w:r w:rsidR="00C372C0">
        <w:rPr>
          <w:rFonts w:hint="eastAsia"/>
          <w:lang w:eastAsia="zh-CN"/>
        </w:rPr>
        <w:t>EE2-2.5</w:t>
      </w:r>
      <w:r w:rsidRPr="00B53C4B">
        <w:t xml:space="preserve">, </w:t>
      </w:r>
      <w:hyperlink r:id="rId10" w:history="1">
        <w:r w:rsidR="00C372C0" w:rsidRPr="000927CA">
          <w:rPr>
            <w:rStyle w:val="a6"/>
          </w:rPr>
          <w:t>https://vcgit.hhi.fraunhofer.de/ecm/jvet-ah-ee2/ECM/-/tree/TEST_2.5?ref_type=heads</w:t>
        </w:r>
      </w:hyperlink>
    </w:p>
    <w:p w14:paraId="3926511F" w14:textId="46F00042" w:rsidR="00DD5283" w:rsidRPr="00DD5283" w:rsidRDefault="00745B68" w:rsidP="00DD5283">
      <w:pPr>
        <w:rPr>
          <w:lang w:val="en-CA" w:eastAsia="zh-CN"/>
        </w:rPr>
      </w:pPr>
      <w:r w:rsidRPr="00DD5283">
        <w:rPr>
          <w:rFonts w:hint="eastAsia"/>
          <w:lang w:eastAsia="zh-CN"/>
        </w:rPr>
        <w:t>[</w:t>
      </w:r>
      <w:r w:rsidR="00A04555">
        <w:rPr>
          <w:rFonts w:hint="eastAsia"/>
          <w:lang w:eastAsia="zh-CN"/>
        </w:rPr>
        <w:t>3</w:t>
      </w:r>
      <w:r w:rsidRPr="00DD5283">
        <w:rPr>
          <w:rFonts w:hint="eastAsia"/>
          <w:lang w:eastAsia="zh-CN"/>
        </w:rPr>
        <w:t>]</w:t>
      </w:r>
      <w:r w:rsidR="005F4445" w:rsidRPr="00DD5283">
        <w:rPr>
          <w:rFonts w:hint="eastAsia"/>
          <w:lang w:eastAsia="zh-CN"/>
        </w:rPr>
        <w:t xml:space="preserve"> </w:t>
      </w:r>
      <w:r w:rsidR="00DD5283" w:rsidRPr="00DD5283">
        <w:rPr>
          <w:lang w:val="en-CA"/>
        </w:rPr>
        <w:t>M. Karczewicz, Y. Ye, “</w:t>
      </w:r>
      <w:r w:rsidR="00DD5283" w:rsidRPr="00DD5283">
        <w:rPr>
          <w:lang w:val="en-CA" w:eastAsia="zh-CN"/>
        </w:rPr>
        <w:t>Common test conditions and evaluation procedures for enhanced compression tool testing</w:t>
      </w:r>
      <w:r w:rsidR="00DD5283" w:rsidRPr="00DD5283">
        <w:rPr>
          <w:lang w:val="en-CA"/>
        </w:rPr>
        <w:t xml:space="preserve">” JVET-AF2017, </w:t>
      </w:r>
      <w:bookmarkStart w:id="0" w:name="_Hlk155283102"/>
      <w:r w:rsidR="00DD5283" w:rsidRPr="00DD5283">
        <w:rPr>
          <w:lang w:val="en-CA"/>
        </w:rPr>
        <w:t>October 2023</w:t>
      </w:r>
      <w:bookmarkEnd w:id="0"/>
    </w:p>
    <w:p w14:paraId="4A8B970B" w14:textId="77777777" w:rsidR="00745B68" w:rsidRPr="00DD5283" w:rsidRDefault="00745B68" w:rsidP="00745B68">
      <w:pPr>
        <w:rPr>
          <w:lang w:eastAsia="zh-CN"/>
        </w:rPr>
      </w:pPr>
    </w:p>
    <w:p w14:paraId="1ADD5631" w14:textId="42F64EEB" w:rsidR="00745B68" w:rsidRDefault="00745B68" w:rsidP="00AD43AF">
      <w:pPr>
        <w:rPr>
          <w:szCs w:val="22"/>
          <w:lang w:val="en-CA"/>
        </w:rPr>
      </w:pPr>
      <w:r>
        <w:rPr>
          <w:b/>
          <w:szCs w:val="22"/>
          <w:lang w:val="en-CA"/>
        </w:rPr>
        <w:t>Peking University</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745B68" w:rsidRDefault="007F1F8B" w:rsidP="009234A5">
      <w:pPr>
        <w:rPr>
          <w:szCs w:val="22"/>
          <w:lang w:val="en-CA"/>
        </w:rPr>
      </w:pPr>
    </w:p>
    <w:sectPr w:rsidR="007F1F8B" w:rsidRPr="00745B68"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844963" w14:textId="77777777" w:rsidR="0010171C" w:rsidRDefault="0010171C">
      <w:r>
        <w:separator/>
      </w:r>
    </w:p>
  </w:endnote>
  <w:endnote w:type="continuationSeparator" w:id="0">
    <w:p w14:paraId="227E5C79" w14:textId="77777777" w:rsidR="0010171C" w:rsidRDefault="00101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0C36D5B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93709">
      <w:rPr>
        <w:rStyle w:val="a5"/>
        <w:noProof/>
      </w:rPr>
      <w:t>2024-07-05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51DE06" w14:textId="77777777" w:rsidR="0010171C" w:rsidRDefault="0010171C">
      <w:r>
        <w:separator/>
      </w:r>
    </w:p>
  </w:footnote>
  <w:footnote w:type="continuationSeparator" w:id="0">
    <w:p w14:paraId="7A43C4CA" w14:textId="77777777" w:rsidR="0010171C" w:rsidRDefault="001017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4471AC9"/>
    <w:multiLevelType w:val="hybridMultilevel"/>
    <w:tmpl w:val="69380F98"/>
    <w:lvl w:ilvl="0" w:tplc="6AEA2E02">
      <w:start w:val="10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898781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85166848">
    <w:abstractNumId w:val="10"/>
  </w:num>
  <w:num w:numId="3" w16cid:durableId="1942568190">
    <w:abstractNumId w:val="8"/>
  </w:num>
  <w:num w:numId="4" w16cid:durableId="2131321005">
    <w:abstractNumId w:val="6"/>
  </w:num>
  <w:num w:numId="5" w16cid:durableId="1153721014">
    <w:abstractNumId w:val="7"/>
  </w:num>
  <w:num w:numId="6" w16cid:durableId="443110847">
    <w:abstractNumId w:val="4"/>
  </w:num>
  <w:num w:numId="7" w16cid:durableId="235364620">
    <w:abstractNumId w:val="5"/>
  </w:num>
  <w:num w:numId="8" w16cid:durableId="22750069">
    <w:abstractNumId w:val="4"/>
  </w:num>
  <w:num w:numId="9" w16cid:durableId="89936158">
    <w:abstractNumId w:val="1"/>
  </w:num>
  <w:num w:numId="10" w16cid:durableId="1229538891">
    <w:abstractNumId w:val="3"/>
  </w:num>
  <w:num w:numId="11" w16cid:durableId="1723216934">
    <w:abstractNumId w:val="2"/>
  </w:num>
  <w:num w:numId="12" w16cid:durableId="9930705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8642636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171C"/>
    <w:rsid w:val="00101E42"/>
    <w:rsid w:val="00102F3D"/>
    <w:rsid w:val="00124E38"/>
    <w:rsid w:val="001257D2"/>
    <w:rsid w:val="0012580B"/>
    <w:rsid w:val="00125C5E"/>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E7626"/>
    <w:rsid w:val="001F2594"/>
    <w:rsid w:val="001F6A5E"/>
    <w:rsid w:val="002055A6"/>
    <w:rsid w:val="00206460"/>
    <w:rsid w:val="002069B4"/>
    <w:rsid w:val="00215DFC"/>
    <w:rsid w:val="00216F6F"/>
    <w:rsid w:val="002212DF"/>
    <w:rsid w:val="00222CD4"/>
    <w:rsid w:val="00225016"/>
    <w:rsid w:val="002253CA"/>
    <w:rsid w:val="002264A6"/>
    <w:rsid w:val="00227BA7"/>
    <w:rsid w:val="0023011C"/>
    <w:rsid w:val="0023425B"/>
    <w:rsid w:val="00234310"/>
    <w:rsid w:val="002375C1"/>
    <w:rsid w:val="00247E1E"/>
    <w:rsid w:val="00252F7B"/>
    <w:rsid w:val="00263398"/>
    <w:rsid w:val="00263B99"/>
    <w:rsid w:val="002647D8"/>
    <w:rsid w:val="00266F06"/>
    <w:rsid w:val="00275BCF"/>
    <w:rsid w:val="00280613"/>
    <w:rsid w:val="00291E36"/>
    <w:rsid w:val="00292257"/>
    <w:rsid w:val="002A54E0"/>
    <w:rsid w:val="002B1595"/>
    <w:rsid w:val="002B191D"/>
    <w:rsid w:val="002B2E83"/>
    <w:rsid w:val="002D0AF6"/>
    <w:rsid w:val="002E0DB3"/>
    <w:rsid w:val="002F164D"/>
    <w:rsid w:val="003021BC"/>
    <w:rsid w:val="00306206"/>
    <w:rsid w:val="00317D85"/>
    <w:rsid w:val="00327C56"/>
    <w:rsid w:val="003315A1"/>
    <w:rsid w:val="00336B4E"/>
    <w:rsid w:val="003373EC"/>
    <w:rsid w:val="00342FF4"/>
    <w:rsid w:val="00344E5A"/>
    <w:rsid w:val="00346148"/>
    <w:rsid w:val="003669EA"/>
    <w:rsid w:val="003706CC"/>
    <w:rsid w:val="00377710"/>
    <w:rsid w:val="003A25F5"/>
    <w:rsid w:val="003A2D8E"/>
    <w:rsid w:val="003A7CE6"/>
    <w:rsid w:val="003B2BD9"/>
    <w:rsid w:val="003C20E4"/>
    <w:rsid w:val="003D6342"/>
    <w:rsid w:val="003E6F90"/>
    <w:rsid w:val="003E73ED"/>
    <w:rsid w:val="003F5D0F"/>
    <w:rsid w:val="00414101"/>
    <w:rsid w:val="004219CF"/>
    <w:rsid w:val="004234F0"/>
    <w:rsid w:val="00427EEC"/>
    <w:rsid w:val="00433DDB"/>
    <w:rsid w:val="00435A29"/>
    <w:rsid w:val="00437619"/>
    <w:rsid w:val="004526D5"/>
    <w:rsid w:val="004642E1"/>
    <w:rsid w:val="0046597A"/>
    <w:rsid w:val="00465A1E"/>
    <w:rsid w:val="0048154C"/>
    <w:rsid w:val="004864F4"/>
    <w:rsid w:val="0049445A"/>
    <w:rsid w:val="004957D9"/>
    <w:rsid w:val="004A2A63"/>
    <w:rsid w:val="004B210C"/>
    <w:rsid w:val="004B6170"/>
    <w:rsid w:val="004D405F"/>
    <w:rsid w:val="004D6605"/>
    <w:rsid w:val="004E4F4F"/>
    <w:rsid w:val="004E6789"/>
    <w:rsid w:val="004F61E3"/>
    <w:rsid w:val="00502E10"/>
    <w:rsid w:val="0050354E"/>
    <w:rsid w:val="0051015C"/>
    <w:rsid w:val="00516CF1"/>
    <w:rsid w:val="00531AE9"/>
    <w:rsid w:val="00536188"/>
    <w:rsid w:val="00550A66"/>
    <w:rsid w:val="00567EC7"/>
    <w:rsid w:val="00570013"/>
    <w:rsid w:val="00573BC3"/>
    <w:rsid w:val="005753EC"/>
    <w:rsid w:val="005801A2"/>
    <w:rsid w:val="005874E7"/>
    <w:rsid w:val="005952A5"/>
    <w:rsid w:val="005A33A1"/>
    <w:rsid w:val="005B217D"/>
    <w:rsid w:val="005C385F"/>
    <w:rsid w:val="005C5A6B"/>
    <w:rsid w:val="005C7C26"/>
    <w:rsid w:val="005E1AC6"/>
    <w:rsid w:val="005E3F2B"/>
    <w:rsid w:val="005F1E68"/>
    <w:rsid w:val="005F4445"/>
    <w:rsid w:val="005F6F1B"/>
    <w:rsid w:val="00615995"/>
    <w:rsid w:val="00616155"/>
    <w:rsid w:val="00624B33"/>
    <w:rsid w:val="0063041A"/>
    <w:rsid w:val="00630AA2"/>
    <w:rsid w:val="00631D8B"/>
    <w:rsid w:val="00636FD3"/>
    <w:rsid w:val="00646707"/>
    <w:rsid w:val="00657F7E"/>
    <w:rsid w:val="00662E58"/>
    <w:rsid w:val="006637F2"/>
    <w:rsid w:val="006642A5"/>
    <w:rsid w:val="00664DCF"/>
    <w:rsid w:val="006A0E5C"/>
    <w:rsid w:val="006A48E6"/>
    <w:rsid w:val="006C5D39"/>
    <w:rsid w:val="006C6F00"/>
    <w:rsid w:val="006D6D9B"/>
    <w:rsid w:val="006E2810"/>
    <w:rsid w:val="006E5417"/>
    <w:rsid w:val="006F0794"/>
    <w:rsid w:val="006F2822"/>
    <w:rsid w:val="006F6E01"/>
    <w:rsid w:val="006F7528"/>
    <w:rsid w:val="007023DE"/>
    <w:rsid w:val="00712F60"/>
    <w:rsid w:val="007148CB"/>
    <w:rsid w:val="00720E3B"/>
    <w:rsid w:val="00735925"/>
    <w:rsid w:val="0074393F"/>
    <w:rsid w:val="00745B68"/>
    <w:rsid w:val="00745F6B"/>
    <w:rsid w:val="0075175B"/>
    <w:rsid w:val="0075585E"/>
    <w:rsid w:val="007643AD"/>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270DA"/>
    <w:rsid w:val="0086387C"/>
    <w:rsid w:val="00874A6C"/>
    <w:rsid w:val="00876C65"/>
    <w:rsid w:val="00882F72"/>
    <w:rsid w:val="00893DC4"/>
    <w:rsid w:val="008A147E"/>
    <w:rsid w:val="008A42F1"/>
    <w:rsid w:val="008A4B4C"/>
    <w:rsid w:val="008C239F"/>
    <w:rsid w:val="008D1BFC"/>
    <w:rsid w:val="008E480C"/>
    <w:rsid w:val="00901DFE"/>
    <w:rsid w:val="00907757"/>
    <w:rsid w:val="009212B0"/>
    <w:rsid w:val="00921FA1"/>
    <w:rsid w:val="009234A5"/>
    <w:rsid w:val="00925CE2"/>
    <w:rsid w:val="00933453"/>
    <w:rsid w:val="009336F7"/>
    <w:rsid w:val="00933CAC"/>
    <w:rsid w:val="00933F02"/>
    <w:rsid w:val="0093636C"/>
    <w:rsid w:val="009374A7"/>
    <w:rsid w:val="00937F03"/>
    <w:rsid w:val="009471CF"/>
    <w:rsid w:val="00955F6D"/>
    <w:rsid w:val="00970900"/>
    <w:rsid w:val="00977C16"/>
    <w:rsid w:val="00983A53"/>
    <w:rsid w:val="0098551D"/>
    <w:rsid w:val="00985DCB"/>
    <w:rsid w:val="0099518F"/>
    <w:rsid w:val="009A523D"/>
    <w:rsid w:val="009B02A1"/>
    <w:rsid w:val="009B3361"/>
    <w:rsid w:val="009B7F3F"/>
    <w:rsid w:val="009D33B9"/>
    <w:rsid w:val="009D763F"/>
    <w:rsid w:val="009D7CE6"/>
    <w:rsid w:val="009E448E"/>
    <w:rsid w:val="009F496B"/>
    <w:rsid w:val="00A01439"/>
    <w:rsid w:val="00A02868"/>
    <w:rsid w:val="00A02E61"/>
    <w:rsid w:val="00A04555"/>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D43AF"/>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6DD"/>
    <w:rsid w:val="00B827C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372C0"/>
    <w:rsid w:val="00C42466"/>
    <w:rsid w:val="00C55D5E"/>
    <w:rsid w:val="00C606C9"/>
    <w:rsid w:val="00C610A3"/>
    <w:rsid w:val="00C70EEC"/>
    <w:rsid w:val="00C80288"/>
    <w:rsid w:val="00C836F0"/>
    <w:rsid w:val="00C84003"/>
    <w:rsid w:val="00C90650"/>
    <w:rsid w:val="00C97D78"/>
    <w:rsid w:val="00CA02F6"/>
    <w:rsid w:val="00CC2AAE"/>
    <w:rsid w:val="00CC5A42"/>
    <w:rsid w:val="00CD0EAB"/>
    <w:rsid w:val="00CD1AF9"/>
    <w:rsid w:val="00CE5E02"/>
    <w:rsid w:val="00CF34DB"/>
    <w:rsid w:val="00CF3917"/>
    <w:rsid w:val="00CF558F"/>
    <w:rsid w:val="00D010C0"/>
    <w:rsid w:val="00D06B15"/>
    <w:rsid w:val="00D06B8B"/>
    <w:rsid w:val="00D073E2"/>
    <w:rsid w:val="00D1511D"/>
    <w:rsid w:val="00D1555A"/>
    <w:rsid w:val="00D42F5D"/>
    <w:rsid w:val="00D446EC"/>
    <w:rsid w:val="00D51BF0"/>
    <w:rsid w:val="00D531DB"/>
    <w:rsid w:val="00D54341"/>
    <w:rsid w:val="00D55942"/>
    <w:rsid w:val="00D61B3D"/>
    <w:rsid w:val="00D72EEB"/>
    <w:rsid w:val="00D807BF"/>
    <w:rsid w:val="00D82FCC"/>
    <w:rsid w:val="00DA17FC"/>
    <w:rsid w:val="00DA7887"/>
    <w:rsid w:val="00DB2C26"/>
    <w:rsid w:val="00DB45C3"/>
    <w:rsid w:val="00DD02F4"/>
    <w:rsid w:val="00DD21EC"/>
    <w:rsid w:val="00DD5283"/>
    <w:rsid w:val="00DD6622"/>
    <w:rsid w:val="00DE1C7C"/>
    <w:rsid w:val="00DE6B43"/>
    <w:rsid w:val="00E041C6"/>
    <w:rsid w:val="00E11923"/>
    <w:rsid w:val="00E207D8"/>
    <w:rsid w:val="00E262D4"/>
    <w:rsid w:val="00E36250"/>
    <w:rsid w:val="00E36841"/>
    <w:rsid w:val="00E47F2D"/>
    <w:rsid w:val="00E54511"/>
    <w:rsid w:val="00E60594"/>
    <w:rsid w:val="00E60EDC"/>
    <w:rsid w:val="00E61DAC"/>
    <w:rsid w:val="00E72B80"/>
    <w:rsid w:val="00E75FE3"/>
    <w:rsid w:val="00E86C4C"/>
    <w:rsid w:val="00E907A3"/>
    <w:rsid w:val="00E93709"/>
    <w:rsid w:val="00EA5AE0"/>
    <w:rsid w:val="00EB56E1"/>
    <w:rsid w:val="00EB7AB1"/>
    <w:rsid w:val="00EC32BD"/>
    <w:rsid w:val="00ED536F"/>
    <w:rsid w:val="00EE7CD8"/>
    <w:rsid w:val="00EF37F6"/>
    <w:rsid w:val="00EF48CC"/>
    <w:rsid w:val="00F00801"/>
    <w:rsid w:val="00F2488D"/>
    <w:rsid w:val="00F57823"/>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DD5283"/>
    <w:pPr>
      <w:ind w:firstLineChars="200" w:firstLine="420"/>
    </w:pPr>
  </w:style>
  <w:style w:type="character" w:customStyle="1" w:styleId="ad">
    <w:name w:val="列表段落 字符"/>
    <w:link w:val="ac"/>
    <w:uiPriority w:val="34"/>
    <w:rsid w:val="00DD5283"/>
    <w:rPr>
      <w:sz w:val="22"/>
    </w:rPr>
  </w:style>
  <w:style w:type="character" w:styleId="ae">
    <w:name w:val="Unresolved Mention"/>
    <w:basedOn w:val="a0"/>
    <w:uiPriority w:val="99"/>
    <w:semiHidden/>
    <w:unhideWhenUsed/>
    <w:rsid w:val="00E605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64488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303022">
      <w:bodyDiv w:val="1"/>
      <w:marLeft w:val="0"/>
      <w:marRight w:val="0"/>
      <w:marTop w:val="0"/>
      <w:marBottom w:val="0"/>
      <w:divBdr>
        <w:top w:val="none" w:sz="0" w:space="0" w:color="auto"/>
        <w:left w:val="none" w:sz="0" w:space="0" w:color="auto"/>
        <w:bottom w:val="none" w:sz="0" w:space="0" w:color="auto"/>
        <w:right w:val="none" w:sz="0" w:space="0" w:color="auto"/>
      </w:divBdr>
    </w:div>
    <w:div w:id="207704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ecm/jvet-ah-ee2/ECM/-/tree/TEST_2.5?ref_type=heads" TargetMode="External"/><Relationship Id="rId4" Type="http://schemas.openxmlformats.org/officeDocument/2006/relationships/webSettings" Target="webSettings.xml"/><Relationship Id="rId9" Type="http://schemas.openxmlformats.org/officeDocument/2006/relationships/hyperlink" Target="mailto:jiaye.fu@ucdconnect.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2</Pages>
  <Words>681</Words>
  <Characters>3888</Characters>
  <Application>Microsoft Office Word</Application>
  <DocSecurity>0</DocSecurity>
  <Lines>32</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4560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Jiaye Fu</cp:lastModifiedBy>
  <cp:revision>48</cp:revision>
  <cp:lastPrinted>1900-01-01T08:00:00Z</cp:lastPrinted>
  <dcterms:created xsi:type="dcterms:W3CDTF">2024-05-05T15:46:00Z</dcterms:created>
  <dcterms:modified xsi:type="dcterms:W3CDTF">2024-07-06T05:01:00Z</dcterms:modified>
</cp:coreProperties>
</file>