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12ADBA5"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A83C5B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338A9">
              <w:rPr>
                <w:lang w:val="en-CA"/>
              </w:rPr>
              <w:t>AI</w:t>
            </w:r>
            <w:r w:rsidR="009338A9">
              <w:rPr>
                <w:lang w:val="en-CA"/>
              </w:rPr>
              <w:t>0121</w:t>
            </w:r>
            <w:r w:rsidR="006A0E5C" w:rsidRPr="006A0E5C">
              <w:rPr>
                <w:lang w:val="en-CA"/>
              </w:rPr>
              <w:t>-v</w:t>
            </w:r>
            <w:r w:rsidR="009338A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CE949D" w:rsidR="00E61DAC" w:rsidRPr="005B217D" w:rsidRDefault="00544819" w:rsidP="009D7CE6">
            <w:pPr>
              <w:spacing w:before="60" w:after="60"/>
              <w:rPr>
                <w:b/>
                <w:szCs w:val="22"/>
                <w:lang w:val="en-CA"/>
              </w:rPr>
            </w:pPr>
            <w:r>
              <w:rPr>
                <w:b/>
                <w:szCs w:val="22"/>
                <w:lang w:val="en-CA"/>
              </w:rPr>
              <w:t xml:space="preserve">AHG 12: </w:t>
            </w:r>
            <w:r w:rsidR="00415F39">
              <w:rPr>
                <w:b/>
                <w:szCs w:val="22"/>
                <w:lang w:val="en-CA"/>
              </w:rPr>
              <w:t>Fast h</w:t>
            </w:r>
            <w:r w:rsidR="00980F04">
              <w:rPr>
                <w:b/>
                <w:szCs w:val="22"/>
                <w:lang w:val="en-CA"/>
              </w:rPr>
              <w:t>ierarchical Subblock based 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5AE1C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C2CD1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9537F3" w:rsidR="00E61DAC" w:rsidRPr="005B217D" w:rsidRDefault="00544819">
            <w:pPr>
              <w:spacing w:before="60" w:after="60"/>
              <w:rPr>
                <w:szCs w:val="22"/>
                <w:lang w:val="en-CA"/>
              </w:rPr>
            </w:pPr>
            <w:r>
              <w:rPr>
                <w:szCs w:val="22"/>
                <w:lang w:val="en-CA"/>
              </w:rPr>
              <w:t>K. Andersson</w:t>
            </w:r>
            <w:r w:rsidR="00AC3829">
              <w:rPr>
                <w:szCs w:val="22"/>
                <w:lang w:val="en-CA"/>
              </w:rPr>
              <w:t>, C. Hollmann</w:t>
            </w:r>
            <w:r w:rsidR="00C11670">
              <w:rPr>
                <w:szCs w:val="22"/>
                <w:lang w:val="en-CA"/>
              </w:rPr>
              <w:t xml:space="preserve"> </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E054441" w:rsidR="00E61DAC" w:rsidRPr="005B217D" w:rsidRDefault="00E61DAC" w:rsidP="005952A5">
            <w:pPr>
              <w:spacing w:before="60" w:after="60"/>
              <w:rPr>
                <w:szCs w:val="22"/>
                <w:lang w:val="en-CA"/>
              </w:rPr>
            </w:pPr>
            <w:r w:rsidRPr="005B217D">
              <w:rPr>
                <w:szCs w:val="22"/>
                <w:lang w:val="en-CA"/>
              </w:rPr>
              <w:br/>
            </w:r>
            <w:r w:rsidR="00544819">
              <w:rPr>
                <w:szCs w:val="22"/>
                <w:lang w:val="en-CA"/>
              </w:rPr>
              <w:t>+46730371390</w:t>
            </w:r>
            <w:r w:rsidRPr="005B217D">
              <w:rPr>
                <w:szCs w:val="22"/>
                <w:lang w:val="en-CA"/>
              </w:rPr>
              <w:br/>
            </w:r>
            <w:r w:rsidR="00544819">
              <w:rPr>
                <w:szCs w:val="22"/>
                <w:lang w:val="en-CA"/>
              </w:rPr>
              <w:t>kenneth.r.andersson@ericsson.com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931E0F" w:rsidR="00E61DAC" w:rsidRPr="005B217D" w:rsidRDefault="00544819">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56C3B0C" w14:textId="1E925D0C" w:rsidR="00A75F84" w:rsidRDefault="00980F04" w:rsidP="00C97D78">
      <w:pPr>
        <w:rPr>
          <w:lang w:val="en-CA"/>
        </w:rPr>
      </w:pPr>
      <w:r>
        <w:rPr>
          <w:lang w:val="en-CA"/>
        </w:rPr>
        <w:t xml:space="preserve">At the JVET meeting in Rennes it was proposed </w:t>
      </w:r>
      <w:r w:rsidR="00AC354F">
        <w:rPr>
          <w:lang w:val="en-CA"/>
        </w:rPr>
        <w:t xml:space="preserve">in JVET-AH0144 </w:t>
      </w:r>
      <w:r>
        <w:rPr>
          <w:lang w:val="en-CA"/>
        </w:rPr>
        <w:t xml:space="preserve">to enable hierarchical subblock based search for DMVR in ECM. That approach required more search than DMVR in ECM. In this contribution the search has been simplified such that the </w:t>
      </w:r>
      <w:proofErr w:type="gramStart"/>
      <w:r>
        <w:rPr>
          <w:lang w:val="en-CA"/>
        </w:rPr>
        <w:t>worst case</w:t>
      </w:r>
      <w:proofErr w:type="gramEnd"/>
      <w:r>
        <w:rPr>
          <w:lang w:val="en-CA"/>
        </w:rPr>
        <w:t xml:space="preserve"> number of </w:t>
      </w:r>
      <w:r w:rsidR="009C7477">
        <w:rPr>
          <w:lang w:val="en-CA"/>
        </w:rPr>
        <w:t xml:space="preserve">integer based searches </w:t>
      </w:r>
      <w:r w:rsidR="00FE213A">
        <w:rPr>
          <w:lang w:val="en-CA"/>
        </w:rPr>
        <w:t xml:space="preserve">when the proposal is used </w:t>
      </w:r>
      <w:r>
        <w:rPr>
          <w:lang w:val="en-CA"/>
        </w:rPr>
        <w:t xml:space="preserve">is less than for DMVR in ECM. This has been achieved by omitting search in a dimension that has a size of 16 or smaller until the last step of the </w:t>
      </w:r>
      <w:r w:rsidR="00AC354F">
        <w:rPr>
          <w:lang w:val="en-CA"/>
        </w:rPr>
        <w:t>hierarchical</w:t>
      </w:r>
      <w:r>
        <w:rPr>
          <w:lang w:val="en-CA"/>
        </w:rPr>
        <w:t xml:space="preserve"> search. Furthermore, when the size of one of the dimension</w:t>
      </w:r>
      <w:r w:rsidR="00AC354F">
        <w:rPr>
          <w:lang w:val="en-CA"/>
        </w:rPr>
        <w:t>s</w:t>
      </w:r>
      <w:r>
        <w:rPr>
          <w:lang w:val="en-CA"/>
        </w:rPr>
        <w:t xml:space="preserve"> is lower that the other dimension the granularity of the search in the smaller dimensions is aligned with the granularity of the larger dimension. Finally</w:t>
      </w:r>
      <w:r w:rsidR="00AC354F">
        <w:rPr>
          <w:lang w:val="en-CA"/>
        </w:rPr>
        <w:t>,</w:t>
      </w:r>
      <w:r>
        <w:rPr>
          <w:lang w:val="en-CA"/>
        </w:rPr>
        <w:t xml:space="preserve"> the search in the last step is limited to +/- 7 instead of +/- 8 as in ECM.</w:t>
      </w:r>
      <w:r w:rsidR="00AC354F">
        <w:rPr>
          <w:lang w:val="en-CA"/>
        </w:rPr>
        <w:t xml:space="preserve"> </w:t>
      </w:r>
    </w:p>
    <w:p w14:paraId="61E8C5C9" w14:textId="43EA1B22" w:rsidR="005C6BAE" w:rsidRDefault="005C6BAE" w:rsidP="00C97D78">
      <w:pPr>
        <w:rPr>
          <w:lang w:val="en-CA"/>
        </w:rPr>
      </w:pPr>
      <w:r>
        <w:rPr>
          <w:lang w:val="en-CA"/>
        </w:rPr>
        <w:t>In comparison to ECM-13</w:t>
      </w:r>
      <w:r w:rsidR="00AC354F">
        <w:rPr>
          <w:lang w:val="en-CA"/>
        </w:rPr>
        <w:t>.0</w:t>
      </w:r>
      <w:r>
        <w:rPr>
          <w:lang w:val="en-CA"/>
        </w:rPr>
        <w:t xml:space="preserve"> we can get a small objective benefit on average -0.0</w:t>
      </w:r>
      <w:r w:rsidR="00980F04">
        <w:rPr>
          <w:lang w:val="en-CA"/>
        </w:rPr>
        <w:t>1</w:t>
      </w:r>
      <w:r>
        <w:rPr>
          <w:lang w:val="en-CA"/>
        </w:rPr>
        <w:t>%</w:t>
      </w:r>
      <w:r w:rsidR="00980F04">
        <w:rPr>
          <w:lang w:val="en-CA"/>
        </w:rPr>
        <w:t xml:space="preserve"> on CTC and a more notable benefit of -0.35% on higher QPs (40, 43, 47 and 50) than CTC</w:t>
      </w:r>
      <w:r>
        <w:rPr>
          <w:lang w:val="en-CA"/>
        </w:rPr>
        <w:t>.</w:t>
      </w:r>
    </w:p>
    <w:p w14:paraId="26E05975" w14:textId="3E220185" w:rsidR="00AC354F" w:rsidRDefault="00AC354F" w:rsidP="00C97D78">
      <w:pPr>
        <w:rPr>
          <w:lang w:val="en-CA"/>
        </w:rPr>
      </w:pPr>
      <w:r>
        <w:rPr>
          <w:lang w:val="en-CA"/>
        </w:rPr>
        <w:t>The encoder time i</w:t>
      </w:r>
      <w:r w:rsidR="002F0D32">
        <w:rPr>
          <w:lang w:val="en-CA"/>
        </w:rPr>
        <w:t>s about the same as for ECM13</w:t>
      </w:r>
      <w:r w:rsidR="00CF7FDB">
        <w:rPr>
          <w:lang w:val="en-CA"/>
        </w:rPr>
        <w:t>. Decoder time is increased by 0.</w:t>
      </w:r>
      <w:r w:rsidR="00AE14AC">
        <w:rPr>
          <w:lang w:val="en-CA"/>
        </w:rPr>
        <w:t>6</w:t>
      </w:r>
      <w:r w:rsidR="00CF7FDB">
        <w:rPr>
          <w:lang w:val="en-CA"/>
        </w:rPr>
        <w:t>%</w:t>
      </w:r>
      <w:r w:rsidR="002F0D32">
        <w:rPr>
          <w:lang w:val="en-CA"/>
        </w:rPr>
        <w:t xml:space="preserve"> compared to ECM13</w:t>
      </w:r>
      <w:r w:rsidR="00CF7FDB">
        <w:rPr>
          <w:lang w:val="en-CA"/>
        </w:rPr>
        <w:t>.</w:t>
      </w:r>
    </w:p>
    <w:p w14:paraId="723883F2" w14:textId="01E78B11" w:rsidR="00263398" w:rsidRPr="00397BA1" w:rsidRDefault="005C6BAE" w:rsidP="009234A5">
      <w:pPr>
        <w:rPr>
          <w:lang w:val="en-CA"/>
        </w:rPr>
      </w:pPr>
      <w:r>
        <w:rPr>
          <w:lang w:val="en-CA"/>
        </w:rPr>
        <w:t>It is suggested to further study the method in a</w:t>
      </w:r>
      <w:r w:rsidR="00A01890">
        <w:rPr>
          <w:lang w:val="en-CA"/>
        </w:rPr>
        <w:t>n</w:t>
      </w:r>
      <w:r>
        <w:rPr>
          <w:lang w:val="en-CA"/>
        </w:rPr>
        <w:t xml:space="preserve"> EE.</w:t>
      </w:r>
    </w:p>
    <w:p w14:paraId="7D2AC1F0" w14:textId="28C27F4C" w:rsidR="00745F6B" w:rsidRPr="005B217D" w:rsidRDefault="00745F6B" w:rsidP="00E11923">
      <w:pPr>
        <w:pStyle w:val="Heading1"/>
        <w:rPr>
          <w:lang w:val="en-CA"/>
        </w:rPr>
      </w:pPr>
      <w:r w:rsidRPr="005B217D">
        <w:rPr>
          <w:lang w:val="en-CA"/>
        </w:rPr>
        <w:t>Introduction</w:t>
      </w:r>
    </w:p>
    <w:p w14:paraId="1539A21D" w14:textId="35A8F85C" w:rsidR="001F2594" w:rsidRDefault="00AC354F" w:rsidP="009234A5">
      <w:pPr>
        <w:rPr>
          <w:lang w:val="en-CA"/>
        </w:rPr>
      </w:pPr>
      <w:r>
        <w:rPr>
          <w:szCs w:val="22"/>
          <w:lang w:val="en-CA"/>
        </w:rPr>
        <w:t xml:space="preserve">In JVET-AH0144 </w:t>
      </w:r>
      <w:r w:rsidR="000832F1">
        <w:rPr>
          <w:szCs w:val="22"/>
          <w:lang w:val="en-CA"/>
        </w:rPr>
        <w:t xml:space="preserve">[1] </w:t>
      </w:r>
      <w:r>
        <w:rPr>
          <w:szCs w:val="22"/>
          <w:lang w:val="en-CA"/>
        </w:rPr>
        <w:t xml:space="preserve">it was proposed </w:t>
      </w:r>
      <w:r>
        <w:rPr>
          <w:lang w:val="en-CA"/>
        </w:rPr>
        <w:t>to combat the large size difference between block and subblocks by introducing hierarchical subblock-based DMVR. The reference blocks are divided into subblocks of reduced size in each dimension and compared to the block size at each level of the hierarchy until the subblock size reaches the ECM subblock size. Integer DMVR search is performed on each level of the hierarchy on subsampled subblocks of size 16x16. In the last level, besides integer DMVR, also subpixel DMVR search as in ECM</w:t>
      </w:r>
      <w:r w:rsidR="00562B7A">
        <w:rPr>
          <w:lang w:val="en-CA"/>
        </w:rPr>
        <w:t xml:space="preserve"> </w:t>
      </w:r>
      <w:r>
        <w:rPr>
          <w:lang w:val="en-CA"/>
        </w:rPr>
        <w:t>is performed. The search range was kept the same as in ECM. The final subblock refinement is biased towards the larger subblock refinements by penalizing refinements that differs from the corresponding larger subblock refinement.</w:t>
      </w:r>
    </w:p>
    <w:p w14:paraId="32978BEA" w14:textId="16E8B2EB" w:rsidR="00AC354F" w:rsidRPr="005B217D" w:rsidRDefault="00AC354F" w:rsidP="009234A5">
      <w:pPr>
        <w:rPr>
          <w:szCs w:val="22"/>
          <w:lang w:val="en-CA"/>
        </w:rPr>
      </w:pPr>
      <w:r>
        <w:rPr>
          <w:lang w:val="en-CA"/>
        </w:rPr>
        <w:t xml:space="preserve">This proposal </w:t>
      </w:r>
      <w:r w:rsidR="00A17B2D">
        <w:rPr>
          <w:lang w:val="en-CA"/>
        </w:rPr>
        <w:t>is a further development of</w:t>
      </w:r>
      <w:r>
        <w:rPr>
          <w:lang w:val="en-CA"/>
        </w:rPr>
        <w:t xml:space="preserve"> hierarchical subblock-based DMVR but with focus on reducing complexity below the complexity of ECM</w:t>
      </w:r>
      <w:r w:rsidR="0007261A">
        <w:rPr>
          <w:lang w:val="en-CA"/>
        </w:rPr>
        <w:t xml:space="preserve"> when the approach is enabled</w:t>
      </w:r>
      <w:r>
        <w:rPr>
          <w:lang w:val="en-CA"/>
        </w:rPr>
        <w:t>.</w:t>
      </w:r>
    </w:p>
    <w:p w14:paraId="51DCAFBE" w14:textId="01EB83ED" w:rsidR="006D5884" w:rsidRDefault="006D5884" w:rsidP="00E11923">
      <w:pPr>
        <w:pStyle w:val="Heading1"/>
        <w:rPr>
          <w:lang w:val="en-CA"/>
        </w:rPr>
      </w:pPr>
      <w:r>
        <w:rPr>
          <w:lang w:val="en-CA"/>
        </w:rPr>
        <w:t xml:space="preserve">Proposal </w:t>
      </w:r>
    </w:p>
    <w:p w14:paraId="3169C088" w14:textId="1BC86A4E" w:rsidR="006D5884" w:rsidRDefault="00D312F7" w:rsidP="006D5884">
      <w:pPr>
        <w:rPr>
          <w:lang w:val="en-CA"/>
        </w:rPr>
      </w:pPr>
      <w:r>
        <w:rPr>
          <w:lang w:val="en-CA"/>
        </w:rPr>
        <w:t xml:space="preserve">When subblock DMVR is applicable and the width or height of the current block is equal to or greater than 64, hierarchical subblock-based DMVR is enabled. The reference areas and </w:t>
      </w:r>
      <w:r w:rsidR="00FE213A">
        <w:rPr>
          <w:lang w:val="en-CA"/>
        </w:rPr>
        <w:t xml:space="preserve">the </w:t>
      </w:r>
      <w:r>
        <w:rPr>
          <w:lang w:val="en-CA"/>
        </w:rPr>
        <w:t>maximum search range given by the respective block motion vector of the bi-directional motion vector are of the same size as in ECM.</w:t>
      </w:r>
    </w:p>
    <w:p w14:paraId="21297843" w14:textId="09FE16A9" w:rsidR="00D312F7" w:rsidRDefault="00D312F7" w:rsidP="006D5884">
      <w:pPr>
        <w:rPr>
          <w:lang w:val="en-CA"/>
        </w:rPr>
      </w:pPr>
      <w:r>
        <w:rPr>
          <w:lang w:val="en-CA"/>
        </w:rPr>
        <w:t>Compared to JVET-AH0144 the complexity is reduced in following ways:</w:t>
      </w:r>
    </w:p>
    <w:p w14:paraId="773ABE30" w14:textId="6402E2FC" w:rsidR="00D312F7" w:rsidRDefault="00D312F7" w:rsidP="00D312F7">
      <w:pPr>
        <w:pStyle w:val="ListParagraph"/>
        <w:numPr>
          <w:ilvl w:val="0"/>
          <w:numId w:val="12"/>
        </w:numPr>
        <w:rPr>
          <w:lang w:val="en-CA"/>
        </w:rPr>
      </w:pPr>
      <w:r>
        <w:rPr>
          <w:lang w:val="en-CA"/>
        </w:rPr>
        <w:lastRenderedPageBreak/>
        <w:t>omitting search in a dimension that has a size of 16 or smaller until the last step of the hierarchical search</w:t>
      </w:r>
      <w:r w:rsidR="00720E7F">
        <w:rPr>
          <w:lang w:val="en-CA"/>
        </w:rPr>
        <w:t>,</w:t>
      </w:r>
    </w:p>
    <w:p w14:paraId="754DB254" w14:textId="5DCAC9E4" w:rsidR="00D312F7" w:rsidRDefault="00D312F7" w:rsidP="00D312F7">
      <w:pPr>
        <w:pStyle w:val="ListParagraph"/>
        <w:numPr>
          <w:ilvl w:val="0"/>
          <w:numId w:val="12"/>
        </w:numPr>
        <w:rPr>
          <w:lang w:val="en-CA"/>
        </w:rPr>
      </w:pPr>
      <w:r>
        <w:rPr>
          <w:lang w:val="en-CA"/>
        </w:rPr>
        <w:t>when the size of one of the dimensions is lower tha</w:t>
      </w:r>
      <w:r w:rsidR="008D4822">
        <w:rPr>
          <w:lang w:val="en-CA"/>
        </w:rPr>
        <w:t>n</w:t>
      </w:r>
      <w:r>
        <w:rPr>
          <w:lang w:val="en-CA"/>
        </w:rPr>
        <w:t xml:space="preserve"> the other dimension the granularity of the search in the smaller dimensions is aligned with the granularity of </w:t>
      </w:r>
      <w:r w:rsidR="00720E7F">
        <w:rPr>
          <w:lang w:val="en-CA"/>
        </w:rPr>
        <w:t xml:space="preserve">search in </w:t>
      </w:r>
      <w:r>
        <w:rPr>
          <w:lang w:val="en-CA"/>
        </w:rPr>
        <w:t>the larger dimension</w:t>
      </w:r>
      <w:r w:rsidR="00720E7F">
        <w:rPr>
          <w:lang w:val="en-CA"/>
        </w:rPr>
        <w:t>,</w:t>
      </w:r>
    </w:p>
    <w:p w14:paraId="50550156" w14:textId="2833BDBE" w:rsidR="00D312F7" w:rsidRPr="00FE213A" w:rsidRDefault="00D312F7" w:rsidP="00D312F7">
      <w:pPr>
        <w:pStyle w:val="ListParagraph"/>
        <w:numPr>
          <w:ilvl w:val="0"/>
          <w:numId w:val="12"/>
        </w:numPr>
        <w:rPr>
          <w:lang w:val="en-CA"/>
        </w:rPr>
      </w:pPr>
      <w:r>
        <w:rPr>
          <w:lang w:val="en-CA"/>
        </w:rPr>
        <w:t>the search in the last step is limited to +/- 7</w:t>
      </w:r>
      <w:r w:rsidR="00720E7F">
        <w:rPr>
          <w:lang w:val="en-CA"/>
        </w:rPr>
        <w:t>.</w:t>
      </w:r>
    </w:p>
    <w:p w14:paraId="44586CCF" w14:textId="45B319BD" w:rsidR="008364A7" w:rsidRDefault="00FE213A" w:rsidP="008364A7">
      <w:pPr>
        <w:pStyle w:val="Heading2"/>
        <w:rPr>
          <w:lang w:val="en-CA"/>
        </w:rPr>
      </w:pPr>
      <w:r>
        <w:rPr>
          <w:lang w:val="en-CA"/>
        </w:rPr>
        <w:t xml:space="preserve">Worst case </w:t>
      </w:r>
      <w:r w:rsidR="00E4700C">
        <w:rPr>
          <w:lang w:val="en-CA"/>
        </w:rPr>
        <w:t>number of integer searches</w:t>
      </w:r>
      <w:r w:rsidR="008364A7">
        <w:rPr>
          <w:lang w:val="en-CA"/>
        </w:rPr>
        <w:t xml:space="preserve"> for</w:t>
      </w:r>
      <w:r w:rsidR="00D312F7">
        <w:rPr>
          <w:lang w:val="en-CA"/>
        </w:rPr>
        <w:t xml:space="preserve"> </w:t>
      </w:r>
      <w:r w:rsidR="008364A7">
        <w:rPr>
          <w:lang w:val="en-CA"/>
        </w:rPr>
        <w:t xml:space="preserve">a </w:t>
      </w:r>
      <w:r w:rsidR="00D312F7">
        <w:rPr>
          <w:lang w:val="en-CA"/>
        </w:rPr>
        <w:t xml:space="preserve">block of size 256x256. </w:t>
      </w:r>
    </w:p>
    <w:p w14:paraId="5A81D2D6" w14:textId="6FA56736" w:rsidR="008364A7" w:rsidRDefault="008364A7" w:rsidP="00D312F7">
      <w:pPr>
        <w:rPr>
          <w:lang w:val="en-CA"/>
        </w:rPr>
      </w:pPr>
      <w:r>
        <w:rPr>
          <w:lang w:val="en-CA"/>
        </w:rPr>
        <w:t xml:space="preserve">The </w:t>
      </w:r>
      <w:proofErr w:type="gramStart"/>
      <w:r>
        <w:rPr>
          <w:lang w:val="en-CA"/>
        </w:rPr>
        <w:t>worst case</w:t>
      </w:r>
      <w:proofErr w:type="gramEnd"/>
      <w:r>
        <w:rPr>
          <w:lang w:val="en-CA"/>
        </w:rPr>
        <w:t xml:space="preserve"> </w:t>
      </w:r>
      <w:r w:rsidR="00E4700C">
        <w:rPr>
          <w:lang w:val="en-CA"/>
        </w:rPr>
        <w:t>number of integer searches for</w:t>
      </w:r>
      <w:r w:rsidR="003D2B7C">
        <w:rPr>
          <w:lang w:val="en-CA"/>
        </w:rPr>
        <w:t xml:space="preserve"> a block of 256x256 for subblock based DMVR in ECM </w:t>
      </w:r>
      <w:r>
        <w:rPr>
          <w:lang w:val="en-CA"/>
        </w:rPr>
        <w:t>is 17x17 per subblock = 289, so in total 256/16*256/16*289 for a block of 256x256 =</w:t>
      </w:r>
      <w:r w:rsidRPr="008364A7">
        <w:rPr>
          <w:lang w:val="en-CA"/>
        </w:rPr>
        <w:t>73984</w:t>
      </w:r>
      <w:r>
        <w:rPr>
          <w:lang w:val="en-CA"/>
        </w:rPr>
        <w:t>.</w:t>
      </w:r>
    </w:p>
    <w:p w14:paraId="445FA0B5" w14:textId="67440724" w:rsidR="008364A7" w:rsidRDefault="008364A7" w:rsidP="00D312F7">
      <w:pPr>
        <w:rPr>
          <w:lang w:val="en-CA"/>
        </w:rPr>
      </w:pPr>
      <w:r>
        <w:rPr>
          <w:lang w:val="en-CA"/>
        </w:rPr>
        <w:t>For the proposal a block of size 256x256</w:t>
      </w:r>
      <w:r w:rsidR="00D312F7">
        <w:rPr>
          <w:lang w:val="en-CA"/>
        </w:rPr>
        <w:t xml:space="preserve"> is divided into subblocks of size 128x128 where each of the subblocks are subsampled to 16x16 and the number of searches for each subsampled subblock is 3x3</w:t>
      </w:r>
      <w:r w:rsidR="00454FED">
        <w:rPr>
          <w:lang w:val="en-CA"/>
        </w:rPr>
        <w:t xml:space="preserve"> (</w:t>
      </w:r>
      <w:r w:rsidR="004A4B2A">
        <w:rPr>
          <w:lang w:val="en-CA"/>
        </w:rPr>
        <w:t>+/-1)</w:t>
      </w:r>
      <w:r w:rsidR="00D312F7">
        <w:rPr>
          <w:lang w:val="en-CA"/>
        </w:rPr>
        <w:t>. A subblock of size 128x128 is divided into subblocks of size 64x64 and each of the subblocks are subsampled to 16x16 and the number of searches for each subsampled subblock is 5x5</w:t>
      </w:r>
      <w:r w:rsidR="004A4B2A">
        <w:rPr>
          <w:lang w:val="en-CA"/>
        </w:rPr>
        <w:t xml:space="preserve"> (+/-2)</w:t>
      </w:r>
      <w:r w:rsidR="00D312F7">
        <w:rPr>
          <w:lang w:val="en-CA"/>
        </w:rPr>
        <w:t>. A subblock size of 64x64 is divided into subblocks of size 32x32 and each of the subblocks are subsampled to 16x16 and the number of searches for each subsampled subblock is 9x9</w:t>
      </w:r>
      <w:r w:rsidR="004A4B2A">
        <w:rPr>
          <w:lang w:val="en-CA"/>
        </w:rPr>
        <w:t xml:space="preserve"> (+/-</w:t>
      </w:r>
      <w:r w:rsidR="00EA1181">
        <w:rPr>
          <w:lang w:val="en-CA"/>
        </w:rPr>
        <w:t>4)</w:t>
      </w:r>
      <w:r w:rsidR="00D312F7">
        <w:rPr>
          <w:lang w:val="en-CA"/>
        </w:rPr>
        <w:t>. Finally, a su</w:t>
      </w:r>
      <w:r w:rsidR="003D2B7C">
        <w:rPr>
          <w:lang w:val="en-CA"/>
        </w:rPr>
        <w:t>b</w:t>
      </w:r>
      <w:r w:rsidR="00D312F7">
        <w:rPr>
          <w:lang w:val="en-CA"/>
        </w:rPr>
        <w:t>block of size 32x32 is divided into subblock</w:t>
      </w:r>
      <w:r w:rsidR="005053FD">
        <w:rPr>
          <w:lang w:val="en-CA"/>
        </w:rPr>
        <w:t>s</w:t>
      </w:r>
      <w:r w:rsidR="00D312F7">
        <w:rPr>
          <w:lang w:val="en-CA"/>
        </w:rPr>
        <w:t xml:space="preserve"> of size 16x16 and </w:t>
      </w:r>
      <w:r>
        <w:rPr>
          <w:lang w:val="en-CA"/>
        </w:rPr>
        <w:t>the number of searches for each subsampled subblock</w:t>
      </w:r>
      <w:r w:rsidR="00D312F7">
        <w:rPr>
          <w:lang w:val="en-CA"/>
        </w:rPr>
        <w:t xml:space="preserve"> is 15x15</w:t>
      </w:r>
      <w:r w:rsidR="005053FD">
        <w:rPr>
          <w:lang w:val="en-CA"/>
        </w:rPr>
        <w:t xml:space="preserve"> (+/-7)</w:t>
      </w:r>
      <w:r w:rsidR="00D312F7">
        <w:rPr>
          <w:lang w:val="en-CA"/>
        </w:rPr>
        <w:t>.</w:t>
      </w:r>
      <w:r>
        <w:rPr>
          <w:lang w:val="en-CA"/>
        </w:rPr>
        <w:t xml:space="preserve"> </w:t>
      </w:r>
    </w:p>
    <w:p w14:paraId="3C132E13" w14:textId="77777777" w:rsidR="004C72BC" w:rsidRDefault="00E4700C" w:rsidP="00D312F7">
      <w:pPr>
        <w:rPr>
          <w:lang w:val="en-CA"/>
        </w:rPr>
      </w:pPr>
      <w:r>
        <w:rPr>
          <w:lang w:val="en-CA"/>
        </w:rPr>
        <w:t>I</w:t>
      </w:r>
      <w:r w:rsidR="008364A7">
        <w:rPr>
          <w:lang w:val="en-CA"/>
        </w:rPr>
        <w:t>n total</w:t>
      </w:r>
      <w:r w:rsidR="00942B2B">
        <w:rPr>
          <w:lang w:val="en-CA"/>
        </w:rPr>
        <w:t>, t</w:t>
      </w:r>
      <w:r w:rsidR="004C72BC">
        <w:rPr>
          <w:lang w:val="en-CA"/>
        </w:rPr>
        <w:t xml:space="preserve">he </w:t>
      </w:r>
      <w:proofErr w:type="gramStart"/>
      <w:r w:rsidR="004C72BC">
        <w:rPr>
          <w:lang w:val="en-CA"/>
        </w:rPr>
        <w:t>worst case</w:t>
      </w:r>
      <w:proofErr w:type="gramEnd"/>
      <w:r w:rsidR="004C72BC">
        <w:rPr>
          <w:lang w:val="en-CA"/>
        </w:rPr>
        <w:t xml:space="preserve"> number of integer searches in the proposed method can be calculated as follows:</w:t>
      </w:r>
    </w:p>
    <w:p w14:paraId="1097CFD1" w14:textId="5F141062" w:rsidR="004C72BC" w:rsidRDefault="008364A7" w:rsidP="004C72BC">
      <w:pPr>
        <w:jc w:val="center"/>
        <w:rPr>
          <w:lang w:val="en-CA"/>
        </w:rPr>
      </w:pPr>
      <w:r>
        <w:rPr>
          <w:lang w:val="en-CA"/>
        </w:rPr>
        <w:t>256/16*256/16*15</w:t>
      </w:r>
      <w:r w:rsidR="00942B2B">
        <w:rPr>
          <w:lang w:val="en-CA"/>
        </w:rPr>
        <w:t>*</w:t>
      </w:r>
      <w:r>
        <w:rPr>
          <w:lang w:val="en-CA"/>
        </w:rPr>
        <w:t>15</w:t>
      </w:r>
    </w:p>
    <w:p w14:paraId="757E3806" w14:textId="420B13B1" w:rsidR="004C72BC" w:rsidRDefault="008364A7" w:rsidP="004C72BC">
      <w:pPr>
        <w:jc w:val="center"/>
        <w:rPr>
          <w:lang w:val="en-CA"/>
        </w:rPr>
      </w:pPr>
      <w:r>
        <w:rPr>
          <w:lang w:val="en-CA"/>
        </w:rPr>
        <w:t>+</w:t>
      </w:r>
      <w:r w:rsidR="004C72BC">
        <w:rPr>
          <w:lang w:val="en-CA"/>
        </w:rPr>
        <w:t xml:space="preserve"> </w:t>
      </w:r>
      <w:r>
        <w:rPr>
          <w:lang w:val="en-CA"/>
        </w:rPr>
        <w:t>256/32*256/32*9</w:t>
      </w:r>
      <w:r w:rsidR="001306D4">
        <w:rPr>
          <w:lang w:val="en-CA"/>
        </w:rPr>
        <w:t>*</w:t>
      </w:r>
      <w:r>
        <w:rPr>
          <w:lang w:val="en-CA"/>
        </w:rPr>
        <w:t>9</w:t>
      </w:r>
    </w:p>
    <w:p w14:paraId="6A09B8C3" w14:textId="4FD233F9" w:rsidR="004C72BC" w:rsidRDefault="008364A7" w:rsidP="004C72BC">
      <w:pPr>
        <w:jc w:val="center"/>
        <w:rPr>
          <w:lang w:val="en-CA"/>
        </w:rPr>
      </w:pPr>
      <w:r>
        <w:rPr>
          <w:lang w:val="en-CA"/>
        </w:rPr>
        <w:t>+</w:t>
      </w:r>
      <w:r w:rsidR="004C72BC">
        <w:rPr>
          <w:lang w:val="en-CA"/>
        </w:rPr>
        <w:t xml:space="preserve"> </w:t>
      </w:r>
      <w:r>
        <w:rPr>
          <w:lang w:val="en-CA"/>
        </w:rPr>
        <w:t>256/64*256/64*5</w:t>
      </w:r>
      <w:r w:rsidR="001306D4">
        <w:rPr>
          <w:lang w:val="en-CA"/>
        </w:rPr>
        <w:t>*</w:t>
      </w:r>
      <w:r>
        <w:rPr>
          <w:lang w:val="en-CA"/>
        </w:rPr>
        <w:t>5</w:t>
      </w:r>
    </w:p>
    <w:p w14:paraId="7016478C" w14:textId="7AAE8D8F" w:rsidR="004C72BC" w:rsidRDefault="008364A7" w:rsidP="004C72BC">
      <w:pPr>
        <w:jc w:val="center"/>
        <w:rPr>
          <w:lang w:val="en-CA"/>
        </w:rPr>
      </w:pPr>
      <w:r>
        <w:rPr>
          <w:lang w:val="en-CA"/>
        </w:rPr>
        <w:t>+</w:t>
      </w:r>
      <w:r w:rsidR="004C72BC">
        <w:rPr>
          <w:lang w:val="en-CA"/>
        </w:rPr>
        <w:t xml:space="preserve"> </w:t>
      </w:r>
      <w:r>
        <w:rPr>
          <w:lang w:val="en-CA"/>
        </w:rPr>
        <w:t>256/128*256/128*3</w:t>
      </w:r>
      <w:r w:rsidR="001306D4">
        <w:rPr>
          <w:lang w:val="en-CA"/>
        </w:rPr>
        <w:t>*</w:t>
      </w:r>
      <w:r>
        <w:rPr>
          <w:lang w:val="en-CA"/>
        </w:rPr>
        <w:t>3</w:t>
      </w:r>
    </w:p>
    <w:p w14:paraId="1B61C7D5" w14:textId="58DB4C98" w:rsidR="008364A7" w:rsidRDefault="00E4700C" w:rsidP="009338A9">
      <w:pPr>
        <w:jc w:val="center"/>
        <w:rPr>
          <w:lang w:val="en-CA"/>
        </w:rPr>
      </w:pPr>
      <w:r>
        <w:rPr>
          <w:lang w:val="en-CA"/>
        </w:rPr>
        <w:t>=63220.</w:t>
      </w:r>
    </w:p>
    <w:p w14:paraId="5C97331D" w14:textId="03DAD87A" w:rsidR="00D312F7" w:rsidRDefault="00E4700C" w:rsidP="00D312F7">
      <w:pPr>
        <w:rPr>
          <w:lang w:val="en-CA"/>
        </w:rPr>
      </w:pPr>
      <w:r>
        <w:rPr>
          <w:lang w:val="en-CA"/>
        </w:rPr>
        <w:t xml:space="preserve">The </w:t>
      </w:r>
      <w:proofErr w:type="gramStart"/>
      <w:r>
        <w:rPr>
          <w:lang w:val="en-CA"/>
        </w:rPr>
        <w:t>worst case</w:t>
      </w:r>
      <w:proofErr w:type="gramEnd"/>
      <w:r>
        <w:rPr>
          <w:lang w:val="en-CA"/>
        </w:rPr>
        <w:t xml:space="preserve"> number of integer searches for a block of 256x256 for</w:t>
      </w:r>
      <w:r w:rsidR="008364A7">
        <w:rPr>
          <w:lang w:val="en-CA"/>
        </w:rPr>
        <w:t xml:space="preserve"> </w:t>
      </w:r>
      <w:r>
        <w:rPr>
          <w:lang w:val="en-CA"/>
        </w:rPr>
        <w:t xml:space="preserve">the </w:t>
      </w:r>
      <w:r w:rsidR="008364A7">
        <w:rPr>
          <w:lang w:val="en-CA"/>
        </w:rPr>
        <w:t xml:space="preserve">proposal </w:t>
      </w:r>
      <w:r>
        <w:rPr>
          <w:lang w:val="en-CA"/>
        </w:rPr>
        <w:t>is 85% of the corresponding searches for ECM</w:t>
      </w:r>
      <w:r w:rsidR="008364A7">
        <w:rPr>
          <w:lang w:val="en-CA"/>
        </w:rPr>
        <w:t>.</w:t>
      </w:r>
    </w:p>
    <w:p w14:paraId="5F0D2CC4" w14:textId="42AC650C" w:rsidR="00D513D1" w:rsidRDefault="00D513D1" w:rsidP="00E11923">
      <w:pPr>
        <w:pStyle w:val="Heading1"/>
        <w:rPr>
          <w:lang w:val="en-CA"/>
        </w:rPr>
      </w:pPr>
      <w:r>
        <w:rPr>
          <w:lang w:val="en-CA"/>
        </w:rPr>
        <w:t>Results</w:t>
      </w:r>
    </w:p>
    <w:p w14:paraId="7CB95A57" w14:textId="6D7E041B" w:rsidR="00E02F59" w:rsidRDefault="00E02F59" w:rsidP="00E02F59">
      <w:pPr>
        <w:rPr>
          <w:lang w:val="en-CA"/>
        </w:rPr>
      </w:pPr>
      <w:r>
        <w:rPr>
          <w:lang w:val="en-CA"/>
        </w:rPr>
        <w:t>The results are compared against ECM-13</w:t>
      </w:r>
      <w:r w:rsidR="00C6321F">
        <w:rPr>
          <w:lang w:val="en-CA"/>
        </w:rPr>
        <w:t>.0</w:t>
      </w:r>
      <w:r>
        <w:rPr>
          <w:lang w:val="en-CA"/>
        </w:rPr>
        <w:t xml:space="preserve"> </w:t>
      </w:r>
      <w:r w:rsidR="000832F1">
        <w:rPr>
          <w:lang w:val="en-CA"/>
        </w:rPr>
        <w:t xml:space="preserve">[2][3] </w:t>
      </w:r>
      <w:r>
        <w:rPr>
          <w:lang w:val="en-CA"/>
        </w:rPr>
        <w:t xml:space="preserve">and </w:t>
      </w:r>
      <w:proofErr w:type="spellStart"/>
      <w:r>
        <w:rPr>
          <w:lang w:val="en-CA"/>
        </w:rPr>
        <w:t>gcc</w:t>
      </w:r>
      <w:proofErr w:type="spellEnd"/>
      <w:r>
        <w:rPr>
          <w:lang w:val="en-CA"/>
        </w:rPr>
        <w:t xml:space="preserve"> 12.2.0 was used. The encoding time is </w:t>
      </w:r>
      <w:r w:rsidR="00C6321F">
        <w:rPr>
          <w:lang w:val="en-CA"/>
        </w:rPr>
        <w:t xml:space="preserve">only accurate for class </w:t>
      </w:r>
      <w:r w:rsidR="00D178B8">
        <w:rPr>
          <w:lang w:val="en-CA"/>
        </w:rPr>
        <w:t xml:space="preserve">B, </w:t>
      </w:r>
      <w:r w:rsidR="00C6321F">
        <w:rPr>
          <w:lang w:val="en-CA"/>
        </w:rPr>
        <w:t>C and D</w:t>
      </w:r>
      <w:r>
        <w:rPr>
          <w:lang w:val="en-CA"/>
        </w:rPr>
        <w:t>.</w:t>
      </w:r>
      <w:r w:rsidR="00BB24FF">
        <w:rPr>
          <w:lang w:val="en-CA"/>
        </w:rPr>
        <w:t xml:space="preserve"> The decoding time is accurate for all classes.</w:t>
      </w:r>
    </w:p>
    <w:p w14:paraId="6E57427B" w14:textId="77777777" w:rsidR="00FE213A" w:rsidRDefault="00FE213A" w:rsidP="00E02F59">
      <w:pPr>
        <w:rPr>
          <w:lang w:val="en-CA"/>
        </w:rPr>
      </w:pPr>
    </w:p>
    <w:tbl>
      <w:tblPr>
        <w:tblW w:w="8383" w:type="dxa"/>
        <w:tblLook w:val="04A0" w:firstRow="1" w:lastRow="0" w:firstColumn="1" w:lastColumn="0" w:noHBand="0" w:noVBand="1"/>
      </w:tblPr>
      <w:tblGrid>
        <w:gridCol w:w="1040"/>
        <w:gridCol w:w="871"/>
        <w:gridCol w:w="871"/>
        <w:gridCol w:w="871"/>
        <w:gridCol w:w="827"/>
        <w:gridCol w:w="929"/>
        <w:gridCol w:w="1480"/>
        <w:gridCol w:w="1494"/>
      </w:tblGrid>
      <w:tr w:rsidR="00FE213A" w:rsidRPr="00FE213A" w14:paraId="0958F3AD" w14:textId="77777777" w:rsidTr="009338A9">
        <w:trPr>
          <w:trHeight w:val="255"/>
        </w:trPr>
        <w:tc>
          <w:tcPr>
            <w:tcW w:w="1040" w:type="dxa"/>
            <w:tcBorders>
              <w:top w:val="nil"/>
              <w:left w:val="nil"/>
              <w:bottom w:val="nil"/>
              <w:right w:val="nil"/>
            </w:tcBorders>
            <w:shd w:val="clear" w:color="auto" w:fill="auto"/>
            <w:noWrap/>
            <w:vAlign w:val="center"/>
            <w:hideMark/>
          </w:tcPr>
          <w:p w14:paraId="23BB6357"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43"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DEB880"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E213A">
              <w:rPr>
                <w:rFonts w:ascii="Arial" w:hAnsi="Arial" w:cs="Arial"/>
                <w:b/>
                <w:bCs/>
                <w:color w:val="000000"/>
                <w:sz w:val="18"/>
                <w:szCs w:val="18"/>
                <w:lang w:val="en-SE" w:eastAsia="en-SE"/>
              </w:rPr>
              <w:t>Random Access Main 10</w:t>
            </w:r>
          </w:p>
        </w:tc>
      </w:tr>
      <w:tr w:rsidR="00FE213A" w:rsidRPr="00FE213A" w14:paraId="42CB699D" w14:textId="77777777" w:rsidTr="009338A9">
        <w:trPr>
          <w:trHeight w:val="255"/>
        </w:trPr>
        <w:tc>
          <w:tcPr>
            <w:tcW w:w="1040" w:type="dxa"/>
            <w:tcBorders>
              <w:top w:val="nil"/>
              <w:left w:val="nil"/>
              <w:bottom w:val="nil"/>
              <w:right w:val="nil"/>
            </w:tcBorders>
            <w:shd w:val="clear" w:color="auto" w:fill="auto"/>
            <w:noWrap/>
            <w:vAlign w:val="center"/>
            <w:hideMark/>
          </w:tcPr>
          <w:p w14:paraId="3488D9EA"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43" w:type="dxa"/>
            <w:gridSpan w:val="7"/>
            <w:tcBorders>
              <w:top w:val="single" w:sz="8" w:space="0" w:color="auto"/>
              <w:left w:val="single" w:sz="8" w:space="0" w:color="auto"/>
              <w:bottom w:val="nil"/>
              <w:right w:val="single" w:sz="8" w:space="0" w:color="auto"/>
            </w:tcBorders>
            <w:shd w:val="clear" w:color="auto" w:fill="auto"/>
            <w:noWrap/>
            <w:vAlign w:val="center"/>
            <w:hideMark/>
          </w:tcPr>
          <w:p w14:paraId="011CA3FA"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E213A">
              <w:rPr>
                <w:rFonts w:ascii="Arial" w:hAnsi="Arial" w:cs="Arial"/>
                <w:b/>
                <w:bCs/>
                <w:color w:val="000000"/>
                <w:sz w:val="18"/>
                <w:szCs w:val="18"/>
                <w:lang w:val="en-SE" w:eastAsia="en-SE"/>
              </w:rPr>
              <w:t>Over ECM-13.0</w:t>
            </w:r>
          </w:p>
        </w:tc>
      </w:tr>
      <w:tr w:rsidR="00FE213A" w:rsidRPr="00FE213A" w14:paraId="0921F8CB" w14:textId="77777777" w:rsidTr="002959B3">
        <w:trPr>
          <w:trHeight w:val="255"/>
        </w:trPr>
        <w:tc>
          <w:tcPr>
            <w:tcW w:w="1040" w:type="dxa"/>
            <w:tcBorders>
              <w:top w:val="nil"/>
              <w:left w:val="nil"/>
              <w:bottom w:val="nil"/>
              <w:right w:val="nil"/>
            </w:tcBorders>
            <w:shd w:val="clear" w:color="auto" w:fill="auto"/>
            <w:noWrap/>
            <w:vAlign w:val="center"/>
            <w:hideMark/>
          </w:tcPr>
          <w:p w14:paraId="109F83EE"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71" w:type="dxa"/>
            <w:tcBorders>
              <w:top w:val="nil"/>
              <w:left w:val="single" w:sz="8" w:space="0" w:color="auto"/>
              <w:bottom w:val="single" w:sz="8" w:space="0" w:color="auto"/>
              <w:right w:val="nil"/>
            </w:tcBorders>
            <w:shd w:val="clear" w:color="auto" w:fill="auto"/>
            <w:noWrap/>
            <w:vAlign w:val="center"/>
            <w:hideMark/>
          </w:tcPr>
          <w:p w14:paraId="529502DF"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Y</w:t>
            </w:r>
          </w:p>
        </w:tc>
        <w:tc>
          <w:tcPr>
            <w:tcW w:w="871" w:type="dxa"/>
            <w:tcBorders>
              <w:top w:val="nil"/>
              <w:left w:val="nil"/>
              <w:bottom w:val="single" w:sz="8" w:space="0" w:color="auto"/>
              <w:right w:val="nil"/>
            </w:tcBorders>
            <w:shd w:val="clear" w:color="auto" w:fill="auto"/>
            <w:noWrap/>
            <w:vAlign w:val="center"/>
            <w:hideMark/>
          </w:tcPr>
          <w:p w14:paraId="399C14CE"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U</w:t>
            </w:r>
          </w:p>
        </w:tc>
        <w:tc>
          <w:tcPr>
            <w:tcW w:w="871" w:type="dxa"/>
            <w:tcBorders>
              <w:top w:val="nil"/>
              <w:left w:val="nil"/>
              <w:bottom w:val="single" w:sz="8" w:space="0" w:color="auto"/>
              <w:right w:val="single" w:sz="4" w:space="0" w:color="auto"/>
            </w:tcBorders>
            <w:shd w:val="clear" w:color="auto" w:fill="auto"/>
            <w:noWrap/>
            <w:vAlign w:val="center"/>
            <w:hideMark/>
          </w:tcPr>
          <w:p w14:paraId="33D6FCFA"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V</w:t>
            </w:r>
          </w:p>
        </w:tc>
        <w:tc>
          <w:tcPr>
            <w:tcW w:w="827" w:type="dxa"/>
            <w:tcBorders>
              <w:top w:val="nil"/>
              <w:left w:val="nil"/>
              <w:bottom w:val="single" w:sz="8" w:space="0" w:color="auto"/>
              <w:right w:val="nil"/>
            </w:tcBorders>
            <w:shd w:val="clear" w:color="auto" w:fill="auto"/>
            <w:noWrap/>
            <w:vAlign w:val="center"/>
            <w:hideMark/>
          </w:tcPr>
          <w:p w14:paraId="59B3CA00"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E213A">
              <w:rPr>
                <w:rFonts w:ascii="Arial" w:hAnsi="Arial" w:cs="Arial"/>
                <w:color w:val="000000"/>
                <w:sz w:val="18"/>
                <w:szCs w:val="18"/>
                <w:lang w:val="en-SE" w:eastAsia="en-SE"/>
              </w:rPr>
              <w:t>EncT</w:t>
            </w:r>
            <w:proofErr w:type="spellEnd"/>
          </w:p>
        </w:tc>
        <w:tc>
          <w:tcPr>
            <w:tcW w:w="929" w:type="dxa"/>
            <w:tcBorders>
              <w:top w:val="nil"/>
              <w:left w:val="nil"/>
              <w:bottom w:val="single" w:sz="8" w:space="0" w:color="auto"/>
              <w:right w:val="nil"/>
            </w:tcBorders>
            <w:shd w:val="clear" w:color="auto" w:fill="auto"/>
            <w:noWrap/>
            <w:vAlign w:val="center"/>
            <w:hideMark/>
          </w:tcPr>
          <w:p w14:paraId="61595144"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E213A">
              <w:rPr>
                <w:rFonts w:ascii="Arial" w:hAnsi="Arial" w:cs="Arial"/>
                <w:color w:val="000000"/>
                <w:sz w:val="18"/>
                <w:szCs w:val="18"/>
                <w:lang w:val="en-SE" w:eastAsia="en-SE"/>
              </w:rPr>
              <w:t>DecT</w:t>
            </w:r>
            <w:proofErr w:type="spellEnd"/>
          </w:p>
        </w:tc>
        <w:tc>
          <w:tcPr>
            <w:tcW w:w="1480" w:type="dxa"/>
            <w:tcBorders>
              <w:top w:val="nil"/>
              <w:left w:val="single" w:sz="4" w:space="0" w:color="auto"/>
              <w:bottom w:val="single" w:sz="8" w:space="0" w:color="auto"/>
              <w:right w:val="nil"/>
            </w:tcBorders>
            <w:shd w:val="clear" w:color="auto" w:fill="auto"/>
            <w:noWrap/>
            <w:vAlign w:val="center"/>
            <w:hideMark/>
          </w:tcPr>
          <w:p w14:paraId="3A8F93CA"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E213A">
              <w:rPr>
                <w:rFonts w:ascii="Arial" w:hAnsi="Arial" w:cs="Arial"/>
                <w:color w:val="000000"/>
                <w:sz w:val="18"/>
                <w:szCs w:val="18"/>
                <w:lang w:val="en-SE" w:eastAsia="en-SE"/>
              </w:rPr>
              <w:t>EncVmPeak</w:t>
            </w:r>
            <w:proofErr w:type="spellEnd"/>
          </w:p>
        </w:tc>
        <w:tc>
          <w:tcPr>
            <w:tcW w:w="1494" w:type="dxa"/>
            <w:tcBorders>
              <w:top w:val="nil"/>
              <w:left w:val="single" w:sz="4" w:space="0" w:color="auto"/>
              <w:bottom w:val="single" w:sz="8" w:space="0" w:color="auto"/>
              <w:right w:val="single" w:sz="8" w:space="0" w:color="auto"/>
            </w:tcBorders>
            <w:shd w:val="clear" w:color="auto" w:fill="auto"/>
            <w:noWrap/>
            <w:vAlign w:val="center"/>
            <w:hideMark/>
          </w:tcPr>
          <w:p w14:paraId="3125906A"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E213A">
              <w:rPr>
                <w:rFonts w:ascii="Arial" w:hAnsi="Arial" w:cs="Arial"/>
                <w:color w:val="000000"/>
                <w:sz w:val="18"/>
                <w:szCs w:val="18"/>
                <w:lang w:val="en-SE" w:eastAsia="en-SE"/>
              </w:rPr>
              <w:t>DecVmPeak</w:t>
            </w:r>
            <w:proofErr w:type="spellEnd"/>
          </w:p>
        </w:tc>
      </w:tr>
      <w:tr w:rsidR="002959B3" w:rsidRPr="00FE213A" w14:paraId="69B5EB41" w14:textId="77777777" w:rsidTr="002959B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75245C1"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Class A1</w:t>
            </w:r>
          </w:p>
        </w:tc>
        <w:tc>
          <w:tcPr>
            <w:tcW w:w="871" w:type="dxa"/>
            <w:tcBorders>
              <w:top w:val="nil"/>
              <w:left w:val="nil"/>
              <w:bottom w:val="nil"/>
              <w:right w:val="nil"/>
            </w:tcBorders>
            <w:shd w:val="clear" w:color="auto" w:fill="auto"/>
            <w:noWrap/>
            <w:vAlign w:val="center"/>
            <w:hideMark/>
          </w:tcPr>
          <w:p w14:paraId="2A4AFE4B"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-0,06%</w:t>
            </w:r>
          </w:p>
        </w:tc>
        <w:tc>
          <w:tcPr>
            <w:tcW w:w="871" w:type="dxa"/>
            <w:tcBorders>
              <w:top w:val="nil"/>
              <w:left w:val="nil"/>
              <w:bottom w:val="nil"/>
              <w:right w:val="nil"/>
            </w:tcBorders>
            <w:shd w:val="clear" w:color="auto" w:fill="auto"/>
            <w:noWrap/>
            <w:vAlign w:val="center"/>
            <w:hideMark/>
          </w:tcPr>
          <w:p w14:paraId="1A0A3C6B"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0,05%</w:t>
            </w:r>
          </w:p>
        </w:tc>
        <w:tc>
          <w:tcPr>
            <w:tcW w:w="871" w:type="dxa"/>
            <w:tcBorders>
              <w:top w:val="nil"/>
              <w:left w:val="nil"/>
              <w:bottom w:val="nil"/>
              <w:right w:val="single" w:sz="4" w:space="0" w:color="auto"/>
            </w:tcBorders>
            <w:shd w:val="clear" w:color="auto" w:fill="auto"/>
            <w:noWrap/>
            <w:vAlign w:val="center"/>
            <w:hideMark/>
          </w:tcPr>
          <w:p w14:paraId="15BC9F0E"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-0,11%</w:t>
            </w:r>
          </w:p>
        </w:tc>
        <w:tc>
          <w:tcPr>
            <w:tcW w:w="827" w:type="dxa"/>
            <w:tcBorders>
              <w:top w:val="nil"/>
              <w:left w:val="nil"/>
              <w:bottom w:val="nil"/>
              <w:right w:val="nil"/>
            </w:tcBorders>
            <w:shd w:val="clear" w:color="auto" w:fill="auto"/>
            <w:noWrap/>
            <w:vAlign w:val="center"/>
            <w:hideMark/>
          </w:tcPr>
          <w:p w14:paraId="002E88D3" w14:textId="32A372E2" w:rsidR="002959B3" w:rsidRPr="006B492E"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r w:rsidRPr="00FE213A">
              <w:rPr>
                <w:rFonts w:ascii="Arial" w:hAnsi="Arial" w:cs="Arial"/>
                <w:color w:val="000000"/>
                <w:sz w:val="18"/>
                <w:szCs w:val="18"/>
                <w:lang w:val="en-SE" w:eastAsia="en-SE"/>
              </w:rPr>
              <w:t>91,0%</w:t>
            </w:r>
            <w:r w:rsidR="006B492E">
              <w:rPr>
                <w:rFonts w:ascii="Arial" w:hAnsi="Arial" w:cs="Arial"/>
                <w:color w:val="000000"/>
                <w:sz w:val="18"/>
                <w:szCs w:val="18"/>
                <w:lang w:eastAsia="en-SE"/>
              </w:rPr>
              <w:t>*</w:t>
            </w:r>
          </w:p>
        </w:tc>
        <w:tc>
          <w:tcPr>
            <w:tcW w:w="929" w:type="dxa"/>
            <w:tcBorders>
              <w:top w:val="nil"/>
              <w:left w:val="nil"/>
              <w:bottom w:val="nil"/>
              <w:right w:val="nil"/>
            </w:tcBorders>
            <w:shd w:val="clear" w:color="auto" w:fill="auto"/>
            <w:noWrap/>
            <w:vAlign w:val="center"/>
            <w:hideMark/>
          </w:tcPr>
          <w:p w14:paraId="1443A4A0" w14:textId="5EF21354"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100,3%</w:t>
            </w:r>
          </w:p>
        </w:tc>
        <w:tc>
          <w:tcPr>
            <w:tcW w:w="1480" w:type="dxa"/>
            <w:tcBorders>
              <w:top w:val="nil"/>
              <w:left w:val="single" w:sz="4" w:space="0" w:color="auto"/>
              <w:bottom w:val="nil"/>
              <w:right w:val="nil"/>
            </w:tcBorders>
            <w:shd w:val="clear" w:color="auto" w:fill="auto"/>
            <w:noWrap/>
            <w:vAlign w:val="center"/>
            <w:hideMark/>
          </w:tcPr>
          <w:p w14:paraId="020F5AC8"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99,9%</w:t>
            </w:r>
          </w:p>
        </w:tc>
        <w:tc>
          <w:tcPr>
            <w:tcW w:w="1494" w:type="dxa"/>
            <w:tcBorders>
              <w:top w:val="nil"/>
              <w:left w:val="nil"/>
              <w:bottom w:val="nil"/>
              <w:right w:val="single" w:sz="8" w:space="0" w:color="auto"/>
            </w:tcBorders>
            <w:shd w:val="clear" w:color="auto" w:fill="auto"/>
            <w:noWrap/>
            <w:vAlign w:val="center"/>
            <w:hideMark/>
          </w:tcPr>
          <w:p w14:paraId="221A6589"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99,9%</w:t>
            </w:r>
          </w:p>
        </w:tc>
      </w:tr>
      <w:tr w:rsidR="002959B3" w:rsidRPr="00FE213A" w14:paraId="1B872F5D" w14:textId="77777777" w:rsidTr="002959B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30EFF43"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Class A2</w:t>
            </w:r>
          </w:p>
        </w:tc>
        <w:tc>
          <w:tcPr>
            <w:tcW w:w="871" w:type="dxa"/>
            <w:tcBorders>
              <w:top w:val="nil"/>
              <w:left w:val="nil"/>
              <w:bottom w:val="nil"/>
              <w:right w:val="nil"/>
            </w:tcBorders>
            <w:shd w:val="clear" w:color="auto" w:fill="auto"/>
            <w:noWrap/>
            <w:vAlign w:val="center"/>
            <w:hideMark/>
          </w:tcPr>
          <w:p w14:paraId="716352A7"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-0,02%</w:t>
            </w:r>
          </w:p>
        </w:tc>
        <w:tc>
          <w:tcPr>
            <w:tcW w:w="871" w:type="dxa"/>
            <w:tcBorders>
              <w:top w:val="nil"/>
              <w:left w:val="nil"/>
              <w:bottom w:val="nil"/>
              <w:right w:val="nil"/>
            </w:tcBorders>
            <w:shd w:val="clear" w:color="auto" w:fill="auto"/>
            <w:noWrap/>
            <w:vAlign w:val="center"/>
            <w:hideMark/>
          </w:tcPr>
          <w:p w14:paraId="0A66BC0C"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-0,10%</w:t>
            </w:r>
          </w:p>
        </w:tc>
        <w:tc>
          <w:tcPr>
            <w:tcW w:w="871" w:type="dxa"/>
            <w:tcBorders>
              <w:top w:val="nil"/>
              <w:left w:val="nil"/>
              <w:bottom w:val="nil"/>
              <w:right w:val="single" w:sz="4" w:space="0" w:color="auto"/>
            </w:tcBorders>
            <w:shd w:val="clear" w:color="auto" w:fill="auto"/>
            <w:noWrap/>
            <w:vAlign w:val="center"/>
            <w:hideMark/>
          </w:tcPr>
          <w:p w14:paraId="2248C7A4"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0,01%</w:t>
            </w:r>
          </w:p>
        </w:tc>
        <w:tc>
          <w:tcPr>
            <w:tcW w:w="827" w:type="dxa"/>
            <w:tcBorders>
              <w:top w:val="nil"/>
              <w:left w:val="nil"/>
              <w:bottom w:val="nil"/>
              <w:right w:val="nil"/>
            </w:tcBorders>
            <w:shd w:val="clear" w:color="auto" w:fill="auto"/>
            <w:noWrap/>
            <w:vAlign w:val="center"/>
            <w:hideMark/>
          </w:tcPr>
          <w:p w14:paraId="5D1FA9A8" w14:textId="437B1FD8" w:rsidR="002959B3" w:rsidRPr="006B492E"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r w:rsidRPr="00FE213A">
              <w:rPr>
                <w:rFonts w:ascii="Arial" w:hAnsi="Arial" w:cs="Arial"/>
                <w:color w:val="000000"/>
                <w:sz w:val="18"/>
                <w:szCs w:val="18"/>
                <w:lang w:val="en-SE" w:eastAsia="en-SE"/>
              </w:rPr>
              <w:t>97,1%</w:t>
            </w:r>
            <w:r w:rsidR="006B492E">
              <w:rPr>
                <w:rFonts w:ascii="Arial" w:hAnsi="Arial" w:cs="Arial"/>
                <w:color w:val="000000"/>
                <w:sz w:val="18"/>
                <w:szCs w:val="18"/>
                <w:lang w:eastAsia="en-SE"/>
              </w:rPr>
              <w:t>*</w:t>
            </w:r>
          </w:p>
        </w:tc>
        <w:tc>
          <w:tcPr>
            <w:tcW w:w="929" w:type="dxa"/>
            <w:tcBorders>
              <w:top w:val="nil"/>
              <w:left w:val="nil"/>
              <w:bottom w:val="nil"/>
              <w:right w:val="nil"/>
            </w:tcBorders>
            <w:shd w:val="clear" w:color="auto" w:fill="auto"/>
            <w:noWrap/>
            <w:vAlign w:val="center"/>
            <w:hideMark/>
          </w:tcPr>
          <w:p w14:paraId="22BC6C06" w14:textId="2C07449C"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100,6%</w:t>
            </w:r>
          </w:p>
        </w:tc>
        <w:tc>
          <w:tcPr>
            <w:tcW w:w="1480" w:type="dxa"/>
            <w:tcBorders>
              <w:top w:val="nil"/>
              <w:left w:val="single" w:sz="4" w:space="0" w:color="auto"/>
              <w:bottom w:val="nil"/>
              <w:right w:val="nil"/>
            </w:tcBorders>
            <w:shd w:val="clear" w:color="auto" w:fill="auto"/>
            <w:noWrap/>
            <w:vAlign w:val="center"/>
            <w:hideMark/>
          </w:tcPr>
          <w:p w14:paraId="3188DB6D"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99,7%</w:t>
            </w:r>
          </w:p>
        </w:tc>
        <w:tc>
          <w:tcPr>
            <w:tcW w:w="1494" w:type="dxa"/>
            <w:tcBorders>
              <w:top w:val="nil"/>
              <w:left w:val="nil"/>
              <w:bottom w:val="nil"/>
              <w:right w:val="single" w:sz="8" w:space="0" w:color="auto"/>
            </w:tcBorders>
            <w:shd w:val="clear" w:color="auto" w:fill="auto"/>
            <w:noWrap/>
            <w:vAlign w:val="center"/>
            <w:hideMark/>
          </w:tcPr>
          <w:p w14:paraId="6A56B5BE"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99,4%</w:t>
            </w:r>
          </w:p>
        </w:tc>
      </w:tr>
      <w:tr w:rsidR="002959B3" w:rsidRPr="00FE213A" w14:paraId="303A41EF" w14:textId="77777777" w:rsidTr="002959B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C30C77F"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Class B</w:t>
            </w:r>
          </w:p>
        </w:tc>
        <w:tc>
          <w:tcPr>
            <w:tcW w:w="871" w:type="dxa"/>
            <w:tcBorders>
              <w:top w:val="nil"/>
              <w:left w:val="nil"/>
              <w:bottom w:val="nil"/>
              <w:right w:val="nil"/>
            </w:tcBorders>
            <w:shd w:val="clear" w:color="auto" w:fill="auto"/>
            <w:noWrap/>
            <w:vAlign w:val="center"/>
            <w:hideMark/>
          </w:tcPr>
          <w:p w14:paraId="66621C44"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0,01%</w:t>
            </w:r>
          </w:p>
        </w:tc>
        <w:tc>
          <w:tcPr>
            <w:tcW w:w="871" w:type="dxa"/>
            <w:tcBorders>
              <w:top w:val="nil"/>
              <w:left w:val="nil"/>
              <w:bottom w:val="nil"/>
              <w:right w:val="nil"/>
            </w:tcBorders>
            <w:shd w:val="clear" w:color="auto" w:fill="auto"/>
            <w:noWrap/>
            <w:vAlign w:val="center"/>
            <w:hideMark/>
          </w:tcPr>
          <w:p w14:paraId="5CE34155"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-0,06%</w:t>
            </w:r>
          </w:p>
        </w:tc>
        <w:tc>
          <w:tcPr>
            <w:tcW w:w="871" w:type="dxa"/>
            <w:tcBorders>
              <w:top w:val="nil"/>
              <w:left w:val="nil"/>
              <w:bottom w:val="nil"/>
              <w:right w:val="single" w:sz="4" w:space="0" w:color="auto"/>
            </w:tcBorders>
            <w:shd w:val="clear" w:color="auto" w:fill="auto"/>
            <w:noWrap/>
            <w:vAlign w:val="center"/>
            <w:hideMark/>
          </w:tcPr>
          <w:p w14:paraId="154E318C"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-0,10%</w:t>
            </w:r>
          </w:p>
        </w:tc>
        <w:tc>
          <w:tcPr>
            <w:tcW w:w="827" w:type="dxa"/>
            <w:tcBorders>
              <w:top w:val="nil"/>
              <w:left w:val="nil"/>
              <w:bottom w:val="nil"/>
              <w:right w:val="nil"/>
            </w:tcBorders>
            <w:shd w:val="clear" w:color="auto" w:fill="auto"/>
            <w:noWrap/>
            <w:vAlign w:val="center"/>
            <w:hideMark/>
          </w:tcPr>
          <w:p w14:paraId="73CF8F43" w14:textId="3911D31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929" w:type="dxa"/>
            <w:tcBorders>
              <w:top w:val="nil"/>
              <w:left w:val="nil"/>
              <w:bottom w:val="nil"/>
              <w:right w:val="nil"/>
            </w:tcBorders>
            <w:shd w:val="clear" w:color="auto" w:fill="auto"/>
            <w:noWrap/>
            <w:vAlign w:val="center"/>
            <w:hideMark/>
          </w:tcPr>
          <w:p w14:paraId="7CB80183" w14:textId="015DF9D2"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100,6%</w:t>
            </w:r>
          </w:p>
        </w:tc>
        <w:tc>
          <w:tcPr>
            <w:tcW w:w="1480" w:type="dxa"/>
            <w:tcBorders>
              <w:top w:val="nil"/>
              <w:left w:val="single" w:sz="4" w:space="0" w:color="auto"/>
              <w:bottom w:val="nil"/>
              <w:right w:val="nil"/>
            </w:tcBorders>
            <w:shd w:val="clear" w:color="auto" w:fill="auto"/>
            <w:noWrap/>
            <w:vAlign w:val="center"/>
            <w:hideMark/>
          </w:tcPr>
          <w:p w14:paraId="3A1EE850"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100,0%</w:t>
            </w:r>
          </w:p>
        </w:tc>
        <w:tc>
          <w:tcPr>
            <w:tcW w:w="1494" w:type="dxa"/>
            <w:tcBorders>
              <w:top w:val="nil"/>
              <w:left w:val="nil"/>
              <w:bottom w:val="nil"/>
              <w:right w:val="single" w:sz="8" w:space="0" w:color="auto"/>
            </w:tcBorders>
            <w:shd w:val="clear" w:color="auto" w:fill="auto"/>
            <w:noWrap/>
            <w:vAlign w:val="center"/>
            <w:hideMark/>
          </w:tcPr>
          <w:p w14:paraId="4EC32A4A"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100,0%</w:t>
            </w:r>
          </w:p>
        </w:tc>
      </w:tr>
      <w:tr w:rsidR="002959B3" w:rsidRPr="00FE213A" w14:paraId="21A51585" w14:textId="77777777" w:rsidTr="002959B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6003AA0"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Class C</w:t>
            </w:r>
          </w:p>
        </w:tc>
        <w:tc>
          <w:tcPr>
            <w:tcW w:w="871" w:type="dxa"/>
            <w:tcBorders>
              <w:top w:val="nil"/>
              <w:left w:val="nil"/>
              <w:bottom w:val="nil"/>
              <w:right w:val="nil"/>
            </w:tcBorders>
            <w:shd w:val="clear" w:color="auto" w:fill="auto"/>
            <w:noWrap/>
            <w:vAlign w:val="center"/>
            <w:hideMark/>
          </w:tcPr>
          <w:p w14:paraId="11D5ECEF"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0,02%</w:t>
            </w:r>
          </w:p>
        </w:tc>
        <w:tc>
          <w:tcPr>
            <w:tcW w:w="871" w:type="dxa"/>
            <w:tcBorders>
              <w:top w:val="nil"/>
              <w:left w:val="nil"/>
              <w:bottom w:val="nil"/>
              <w:right w:val="nil"/>
            </w:tcBorders>
            <w:shd w:val="clear" w:color="auto" w:fill="auto"/>
            <w:noWrap/>
            <w:vAlign w:val="center"/>
            <w:hideMark/>
          </w:tcPr>
          <w:p w14:paraId="56EF5A60"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0,01%</w:t>
            </w:r>
          </w:p>
        </w:tc>
        <w:tc>
          <w:tcPr>
            <w:tcW w:w="871" w:type="dxa"/>
            <w:tcBorders>
              <w:top w:val="nil"/>
              <w:left w:val="nil"/>
              <w:bottom w:val="nil"/>
              <w:right w:val="single" w:sz="4" w:space="0" w:color="auto"/>
            </w:tcBorders>
            <w:shd w:val="clear" w:color="auto" w:fill="auto"/>
            <w:noWrap/>
            <w:vAlign w:val="center"/>
            <w:hideMark/>
          </w:tcPr>
          <w:p w14:paraId="376AEEA4"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0,11%</w:t>
            </w:r>
          </w:p>
        </w:tc>
        <w:tc>
          <w:tcPr>
            <w:tcW w:w="827" w:type="dxa"/>
            <w:tcBorders>
              <w:top w:val="nil"/>
              <w:left w:val="nil"/>
              <w:bottom w:val="nil"/>
              <w:right w:val="nil"/>
            </w:tcBorders>
            <w:shd w:val="clear" w:color="auto" w:fill="auto"/>
            <w:noWrap/>
            <w:vAlign w:val="center"/>
            <w:hideMark/>
          </w:tcPr>
          <w:p w14:paraId="1C51D449"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99,7%</w:t>
            </w:r>
          </w:p>
        </w:tc>
        <w:tc>
          <w:tcPr>
            <w:tcW w:w="929" w:type="dxa"/>
            <w:tcBorders>
              <w:top w:val="nil"/>
              <w:left w:val="nil"/>
              <w:bottom w:val="nil"/>
              <w:right w:val="nil"/>
            </w:tcBorders>
            <w:shd w:val="clear" w:color="auto" w:fill="auto"/>
            <w:noWrap/>
            <w:vAlign w:val="center"/>
            <w:hideMark/>
          </w:tcPr>
          <w:p w14:paraId="0A49ABAC" w14:textId="41B42235"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100,8%</w:t>
            </w:r>
          </w:p>
        </w:tc>
        <w:tc>
          <w:tcPr>
            <w:tcW w:w="1480" w:type="dxa"/>
            <w:tcBorders>
              <w:top w:val="nil"/>
              <w:left w:val="single" w:sz="4" w:space="0" w:color="auto"/>
              <w:bottom w:val="nil"/>
              <w:right w:val="nil"/>
            </w:tcBorders>
            <w:shd w:val="clear" w:color="auto" w:fill="auto"/>
            <w:noWrap/>
            <w:vAlign w:val="center"/>
            <w:hideMark/>
          </w:tcPr>
          <w:p w14:paraId="474B8CF9"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100,4%</w:t>
            </w:r>
          </w:p>
        </w:tc>
        <w:tc>
          <w:tcPr>
            <w:tcW w:w="1494" w:type="dxa"/>
            <w:tcBorders>
              <w:top w:val="nil"/>
              <w:left w:val="nil"/>
              <w:bottom w:val="nil"/>
              <w:right w:val="single" w:sz="8" w:space="0" w:color="auto"/>
            </w:tcBorders>
            <w:shd w:val="clear" w:color="auto" w:fill="auto"/>
            <w:noWrap/>
            <w:vAlign w:val="center"/>
            <w:hideMark/>
          </w:tcPr>
          <w:p w14:paraId="386BFBBB"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100,1%</w:t>
            </w:r>
          </w:p>
        </w:tc>
      </w:tr>
      <w:tr w:rsidR="002959B3" w:rsidRPr="00FE213A" w14:paraId="730A6808" w14:textId="77777777" w:rsidTr="002959B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53747F6"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Class E</w:t>
            </w:r>
          </w:p>
        </w:tc>
        <w:tc>
          <w:tcPr>
            <w:tcW w:w="871" w:type="dxa"/>
            <w:tcBorders>
              <w:top w:val="nil"/>
              <w:left w:val="nil"/>
              <w:bottom w:val="nil"/>
              <w:right w:val="nil"/>
            </w:tcBorders>
            <w:shd w:val="clear" w:color="auto" w:fill="auto"/>
            <w:noWrap/>
            <w:vAlign w:val="center"/>
            <w:hideMark/>
          </w:tcPr>
          <w:p w14:paraId="44D08E7F"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 </w:t>
            </w:r>
          </w:p>
        </w:tc>
        <w:tc>
          <w:tcPr>
            <w:tcW w:w="871" w:type="dxa"/>
            <w:tcBorders>
              <w:top w:val="nil"/>
              <w:left w:val="nil"/>
              <w:bottom w:val="nil"/>
              <w:right w:val="nil"/>
            </w:tcBorders>
            <w:shd w:val="clear" w:color="auto" w:fill="auto"/>
            <w:noWrap/>
            <w:vAlign w:val="center"/>
            <w:hideMark/>
          </w:tcPr>
          <w:p w14:paraId="0FF767B8"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71" w:type="dxa"/>
            <w:tcBorders>
              <w:top w:val="nil"/>
              <w:left w:val="nil"/>
              <w:bottom w:val="nil"/>
              <w:right w:val="single" w:sz="4" w:space="0" w:color="auto"/>
            </w:tcBorders>
            <w:shd w:val="clear" w:color="auto" w:fill="auto"/>
            <w:noWrap/>
            <w:vAlign w:val="center"/>
            <w:hideMark/>
          </w:tcPr>
          <w:p w14:paraId="2152BF8F"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 </w:t>
            </w:r>
          </w:p>
        </w:tc>
        <w:tc>
          <w:tcPr>
            <w:tcW w:w="827" w:type="dxa"/>
            <w:tcBorders>
              <w:top w:val="nil"/>
              <w:left w:val="nil"/>
              <w:bottom w:val="nil"/>
              <w:right w:val="nil"/>
            </w:tcBorders>
            <w:shd w:val="clear" w:color="auto" w:fill="auto"/>
            <w:noWrap/>
            <w:vAlign w:val="center"/>
            <w:hideMark/>
          </w:tcPr>
          <w:p w14:paraId="7E8B8FE3"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 </w:t>
            </w:r>
          </w:p>
        </w:tc>
        <w:tc>
          <w:tcPr>
            <w:tcW w:w="929" w:type="dxa"/>
            <w:tcBorders>
              <w:top w:val="nil"/>
              <w:left w:val="nil"/>
              <w:bottom w:val="nil"/>
              <w:right w:val="nil"/>
            </w:tcBorders>
            <w:shd w:val="clear" w:color="auto" w:fill="auto"/>
            <w:noWrap/>
            <w:vAlign w:val="center"/>
            <w:hideMark/>
          </w:tcPr>
          <w:p w14:paraId="4B1BE77B"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480" w:type="dxa"/>
            <w:tcBorders>
              <w:top w:val="nil"/>
              <w:left w:val="single" w:sz="4" w:space="0" w:color="auto"/>
              <w:bottom w:val="nil"/>
              <w:right w:val="nil"/>
            </w:tcBorders>
            <w:shd w:val="clear" w:color="auto" w:fill="auto"/>
            <w:noWrap/>
            <w:vAlign w:val="center"/>
            <w:hideMark/>
          </w:tcPr>
          <w:p w14:paraId="088C48CE"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 </w:t>
            </w:r>
          </w:p>
        </w:tc>
        <w:tc>
          <w:tcPr>
            <w:tcW w:w="1494" w:type="dxa"/>
            <w:tcBorders>
              <w:top w:val="nil"/>
              <w:left w:val="nil"/>
              <w:bottom w:val="nil"/>
              <w:right w:val="single" w:sz="8" w:space="0" w:color="auto"/>
            </w:tcBorders>
            <w:shd w:val="clear" w:color="auto" w:fill="auto"/>
            <w:noWrap/>
            <w:vAlign w:val="center"/>
            <w:hideMark/>
          </w:tcPr>
          <w:p w14:paraId="08D1C8A0"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 </w:t>
            </w:r>
          </w:p>
        </w:tc>
      </w:tr>
      <w:tr w:rsidR="002959B3" w:rsidRPr="00FE213A" w14:paraId="56D7CA69" w14:textId="77777777" w:rsidTr="002959B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45E6CD"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E213A">
              <w:rPr>
                <w:rFonts w:ascii="Arial" w:hAnsi="Arial" w:cs="Arial"/>
                <w:b/>
                <w:bCs/>
                <w:color w:val="000000"/>
                <w:sz w:val="18"/>
                <w:szCs w:val="18"/>
                <w:lang w:val="en-SE" w:eastAsia="en-SE"/>
              </w:rPr>
              <w:t>Overall</w:t>
            </w:r>
          </w:p>
        </w:tc>
        <w:tc>
          <w:tcPr>
            <w:tcW w:w="871" w:type="dxa"/>
            <w:tcBorders>
              <w:top w:val="single" w:sz="8" w:space="0" w:color="auto"/>
              <w:left w:val="nil"/>
              <w:bottom w:val="nil"/>
              <w:right w:val="nil"/>
            </w:tcBorders>
            <w:shd w:val="clear" w:color="auto" w:fill="auto"/>
            <w:noWrap/>
            <w:vAlign w:val="center"/>
            <w:hideMark/>
          </w:tcPr>
          <w:p w14:paraId="21B435E5"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-0,01%</w:t>
            </w:r>
          </w:p>
        </w:tc>
        <w:tc>
          <w:tcPr>
            <w:tcW w:w="871" w:type="dxa"/>
            <w:tcBorders>
              <w:top w:val="single" w:sz="8" w:space="0" w:color="auto"/>
              <w:left w:val="nil"/>
              <w:bottom w:val="nil"/>
              <w:right w:val="nil"/>
            </w:tcBorders>
            <w:shd w:val="clear" w:color="auto" w:fill="auto"/>
            <w:noWrap/>
            <w:vAlign w:val="center"/>
            <w:hideMark/>
          </w:tcPr>
          <w:p w14:paraId="19844991"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-0,03%</w:t>
            </w:r>
          </w:p>
        </w:tc>
        <w:tc>
          <w:tcPr>
            <w:tcW w:w="871" w:type="dxa"/>
            <w:tcBorders>
              <w:top w:val="single" w:sz="8" w:space="0" w:color="auto"/>
              <w:left w:val="nil"/>
              <w:bottom w:val="nil"/>
              <w:right w:val="single" w:sz="4" w:space="0" w:color="auto"/>
            </w:tcBorders>
            <w:shd w:val="clear" w:color="auto" w:fill="auto"/>
            <w:noWrap/>
            <w:vAlign w:val="center"/>
            <w:hideMark/>
          </w:tcPr>
          <w:p w14:paraId="0306FC12"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-0,02%</w:t>
            </w:r>
          </w:p>
        </w:tc>
        <w:tc>
          <w:tcPr>
            <w:tcW w:w="827" w:type="dxa"/>
            <w:tcBorders>
              <w:top w:val="single" w:sz="8" w:space="0" w:color="auto"/>
              <w:left w:val="nil"/>
              <w:bottom w:val="nil"/>
              <w:right w:val="nil"/>
            </w:tcBorders>
            <w:shd w:val="clear" w:color="auto" w:fill="auto"/>
            <w:noWrap/>
            <w:vAlign w:val="center"/>
            <w:hideMark/>
          </w:tcPr>
          <w:p w14:paraId="3E010173" w14:textId="65816FD7" w:rsidR="002959B3" w:rsidRPr="006B492E"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r w:rsidRPr="00FE213A">
              <w:rPr>
                <w:rFonts w:ascii="Arial" w:hAnsi="Arial" w:cs="Arial"/>
                <w:color w:val="000000"/>
                <w:sz w:val="18"/>
                <w:szCs w:val="18"/>
                <w:lang w:val="en-SE" w:eastAsia="en-SE"/>
              </w:rPr>
              <w:t>94,4%</w:t>
            </w:r>
            <w:r w:rsidR="006B492E">
              <w:rPr>
                <w:rFonts w:ascii="Arial" w:hAnsi="Arial" w:cs="Arial"/>
                <w:color w:val="000000"/>
                <w:sz w:val="18"/>
                <w:szCs w:val="18"/>
                <w:lang w:eastAsia="en-SE"/>
              </w:rPr>
              <w:t>*</w:t>
            </w:r>
          </w:p>
        </w:tc>
        <w:tc>
          <w:tcPr>
            <w:tcW w:w="929" w:type="dxa"/>
            <w:tcBorders>
              <w:top w:val="single" w:sz="8" w:space="0" w:color="auto"/>
              <w:left w:val="nil"/>
              <w:bottom w:val="nil"/>
              <w:right w:val="nil"/>
            </w:tcBorders>
            <w:shd w:val="clear" w:color="auto" w:fill="auto"/>
            <w:noWrap/>
            <w:vAlign w:val="center"/>
            <w:hideMark/>
          </w:tcPr>
          <w:p w14:paraId="47A17A7C" w14:textId="7775C071"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100,6%</w:t>
            </w:r>
          </w:p>
        </w:tc>
        <w:tc>
          <w:tcPr>
            <w:tcW w:w="1480" w:type="dxa"/>
            <w:tcBorders>
              <w:top w:val="single" w:sz="8" w:space="0" w:color="auto"/>
              <w:left w:val="single" w:sz="4" w:space="0" w:color="auto"/>
              <w:bottom w:val="single" w:sz="8" w:space="0" w:color="auto"/>
              <w:right w:val="nil"/>
            </w:tcBorders>
            <w:shd w:val="clear" w:color="auto" w:fill="auto"/>
            <w:noWrap/>
            <w:vAlign w:val="center"/>
            <w:hideMark/>
          </w:tcPr>
          <w:p w14:paraId="18E4D27F"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100,0%</w:t>
            </w:r>
          </w:p>
        </w:tc>
        <w:tc>
          <w:tcPr>
            <w:tcW w:w="1494" w:type="dxa"/>
            <w:tcBorders>
              <w:top w:val="single" w:sz="8" w:space="0" w:color="auto"/>
              <w:left w:val="nil"/>
              <w:bottom w:val="single" w:sz="8" w:space="0" w:color="auto"/>
              <w:right w:val="single" w:sz="8" w:space="0" w:color="auto"/>
            </w:tcBorders>
            <w:shd w:val="clear" w:color="auto" w:fill="auto"/>
            <w:noWrap/>
            <w:vAlign w:val="center"/>
            <w:hideMark/>
          </w:tcPr>
          <w:p w14:paraId="1D6C17BF" w14:textId="77777777" w:rsidR="002959B3" w:rsidRPr="00FE213A" w:rsidRDefault="002959B3"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99,9%</w:t>
            </w:r>
          </w:p>
        </w:tc>
      </w:tr>
      <w:tr w:rsidR="002959B3" w:rsidRPr="00FE213A" w14:paraId="1607D9B9" w14:textId="77777777" w:rsidTr="002959B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F7CF7AF" w14:textId="77777777" w:rsidR="002959B3" w:rsidRPr="00FE213A" w:rsidRDefault="002959B3" w:rsidP="0029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Class D</w:t>
            </w:r>
          </w:p>
        </w:tc>
        <w:tc>
          <w:tcPr>
            <w:tcW w:w="871" w:type="dxa"/>
            <w:tcBorders>
              <w:top w:val="single" w:sz="8" w:space="0" w:color="auto"/>
              <w:left w:val="nil"/>
              <w:bottom w:val="nil"/>
              <w:right w:val="nil"/>
            </w:tcBorders>
            <w:shd w:val="clear" w:color="auto" w:fill="auto"/>
            <w:noWrap/>
            <w:vAlign w:val="center"/>
            <w:hideMark/>
          </w:tcPr>
          <w:p w14:paraId="6836D0BC" w14:textId="77777777" w:rsidR="002959B3" w:rsidRPr="00FE213A" w:rsidRDefault="002959B3" w:rsidP="0029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-0,01%</w:t>
            </w:r>
          </w:p>
        </w:tc>
        <w:tc>
          <w:tcPr>
            <w:tcW w:w="871" w:type="dxa"/>
            <w:tcBorders>
              <w:top w:val="single" w:sz="8" w:space="0" w:color="auto"/>
              <w:left w:val="nil"/>
              <w:bottom w:val="nil"/>
              <w:right w:val="nil"/>
            </w:tcBorders>
            <w:shd w:val="clear" w:color="auto" w:fill="auto"/>
            <w:noWrap/>
            <w:vAlign w:val="center"/>
            <w:hideMark/>
          </w:tcPr>
          <w:p w14:paraId="19F2A62C" w14:textId="77777777" w:rsidR="002959B3" w:rsidRPr="00FE213A" w:rsidRDefault="002959B3" w:rsidP="0029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-0,04%</w:t>
            </w:r>
          </w:p>
        </w:tc>
        <w:tc>
          <w:tcPr>
            <w:tcW w:w="871" w:type="dxa"/>
            <w:tcBorders>
              <w:top w:val="single" w:sz="8" w:space="0" w:color="auto"/>
              <w:left w:val="nil"/>
              <w:bottom w:val="nil"/>
              <w:right w:val="single" w:sz="4" w:space="0" w:color="auto"/>
            </w:tcBorders>
            <w:shd w:val="clear" w:color="auto" w:fill="auto"/>
            <w:noWrap/>
            <w:vAlign w:val="center"/>
            <w:hideMark/>
          </w:tcPr>
          <w:p w14:paraId="0CDDB2B7" w14:textId="77777777" w:rsidR="002959B3" w:rsidRPr="00FE213A" w:rsidRDefault="002959B3" w:rsidP="0029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-0,01%</w:t>
            </w:r>
          </w:p>
        </w:tc>
        <w:tc>
          <w:tcPr>
            <w:tcW w:w="827" w:type="dxa"/>
            <w:tcBorders>
              <w:top w:val="single" w:sz="8" w:space="0" w:color="auto"/>
              <w:left w:val="nil"/>
              <w:bottom w:val="nil"/>
              <w:right w:val="nil"/>
            </w:tcBorders>
            <w:shd w:val="clear" w:color="auto" w:fill="auto"/>
            <w:noWrap/>
            <w:vAlign w:val="center"/>
            <w:hideMark/>
          </w:tcPr>
          <w:p w14:paraId="301DC9F5" w14:textId="77777777" w:rsidR="002959B3" w:rsidRPr="00FE213A" w:rsidRDefault="002959B3" w:rsidP="0029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99,5%</w:t>
            </w:r>
          </w:p>
        </w:tc>
        <w:tc>
          <w:tcPr>
            <w:tcW w:w="929" w:type="dxa"/>
            <w:tcBorders>
              <w:top w:val="single" w:sz="8" w:space="0" w:color="auto"/>
              <w:left w:val="nil"/>
              <w:bottom w:val="nil"/>
              <w:right w:val="nil"/>
            </w:tcBorders>
            <w:shd w:val="clear" w:color="auto" w:fill="auto"/>
            <w:noWrap/>
            <w:vAlign w:val="center"/>
            <w:hideMark/>
          </w:tcPr>
          <w:p w14:paraId="01D98DAE" w14:textId="5DF80123" w:rsidR="002959B3" w:rsidRPr="00FE213A" w:rsidRDefault="002959B3" w:rsidP="0029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c>
          <w:tcPr>
            <w:tcW w:w="1480" w:type="dxa"/>
            <w:tcBorders>
              <w:top w:val="nil"/>
              <w:left w:val="single" w:sz="4" w:space="0" w:color="auto"/>
              <w:bottom w:val="nil"/>
              <w:right w:val="nil"/>
            </w:tcBorders>
            <w:shd w:val="clear" w:color="auto" w:fill="auto"/>
            <w:noWrap/>
            <w:vAlign w:val="center"/>
            <w:hideMark/>
          </w:tcPr>
          <w:p w14:paraId="121CFF3E" w14:textId="77777777" w:rsidR="002959B3" w:rsidRPr="00FE213A" w:rsidRDefault="002959B3" w:rsidP="0029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100,0%</w:t>
            </w:r>
          </w:p>
        </w:tc>
        <w:tc>
          <w:tcPr>
            <w:tcW w:w="1494" w:type="dxa"/>
            <w:tcBorders>
              <w:top w:val="nil"/>
              <w:left w:val="nil"/>
              <w:bottom w:val="nil"/>
              <w:right w:val="single" w:sz="8" w:space="0" w:color="auto"/>
            </w:tcBorders>
            <w:shd w:val="clear" w:color="auto" w:fill="auto"/>
            <w:noWrap/>
            <w:vAlign w:val="center"/>
            <w:hideMark/>
          </w:tcPr>
          <w:p w14:paraId="7D789562" w14:textId="77777777" w:rsidR="002959B3" w:rsidRPr="00FE213A" w:rsidRDefault="002959B3" w:rsidP="0029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100,0%</w:t>
            </w:r>
          </w:p>
        </w:tc>
      </w:tr>
    </w:tbl>
    <w:p w14:paraId="0E49B175" w14:textId="77777777" w:rsidR="00FE213A" w:rsidRDefault="00FE213A" w:rsidP="00E02F59">
      <w:pPr>
        <w:rPr>
          <w:lang w:val="en-CA"/>
        </w:rPr>
      </w:pPr>
    </w:p>
    <w:p w14:paraId="26C5FA6C" w14:textId="1424BF5A" w:rsidR="00FE213A" w:rsidRDefault="00FE213A" w:rsidP="00E02F59">
      <w:pPr>
        <w:rPr>
          <w:lang w:val="en-CA"/>
        </w:rPr>
      </w:pPr>
      <w:r>
        <w:rPr>
          <w:lang w:val="en-CA"/>
        </w:rPr>
        <w:t>Additional results for non-CTC, QP=40, 43, 47 and 50. The encoding and decoding times are not accurate.</w:t>
      </w:r>
    </w:p>
    <w:tbl>
      <w:tblPr>
        <w:tblW w:w="8340" w:type="dxa"/>
        <w:tblLook w:val="04A0" w:firstRow="1" w:lastRow="0" w:firstColumn="1" w:lastColumn="0" w:noHBand="0" w:noVBand="1"/>
      </w:tblPr>
      <w:tblGrid>
        <w:gridCol w:w="1040"/>
        <w:gridCol w:w="871"/>
        <w:gridCol w:w="871"/>
        <w:gridCol w:w="871"/>
        <w:gridCol w:w="784"/>
        <w:gridCol w:w="929"/>
        <w:gridCol w:w="1480"/>
        <w:gridCol w:w="1494"/>
      </w:tblGrid>
      <w:tr w:rsidR="00FE213A" w:rsidRPr="00FE213A" w14:paraId="1C60931C" w14:textId="77777777" w:rsidTr="009338A9">
        <w:trPr>
          <w:trHeight w:val="255"/>
        </w:trPr>
        <w:tc>
          <w:tcPr>
            <w:tcW w:w="1040" w:type="dxa"/>
            <w:tcBorders>
              <w:top w:val="nil"/>
              <w:left w:val="nil"/>
              <w:bottom w:val="nil"/>
              <w:right w:val="nil"/>
            </w:tcBorders>
            <w:shd w:val="clear" w:color="auto" w:fill="auto"/>
            <w:noWrap/>
            <w:vAlign w:val="center"/>
            <w:hideMark/>
          </w:tcPr>
          <w:p w14:paraId="5E9485E4"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E16807"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E213A">
              <w:rPr>
                <w:rFonts w:ascii="Arial" w:hAnsi="Arial" w:cs="Arial"/>
                <w:b/>
                <w:bCs/>
                <w:color w:val="000000"/>
                <w:sz w:val="18"/>
                <w:szCs w:val="18"/>
                <w:lang w:val="en-SE" w:eastAsia="en-SE"/>
              </w:rPr>
              <w:t>Random Access Main 10</w:t>
            </w:r>
          </w:p>
        </w:tc>
      </w:tr>
      <w:tr w:rsidR="00FE213A" w:rsidRPr="00FE213A" w14:paraId="1203A202" w14:textId="77777777" w:rsidTr="009338A9">
        <w:trPr>
          <w:trHeight w:val="255"/>
        </w:trPr>
        <w:tc>
          <w:tcPr>
            <w:tcW w:w="1040" w:type="dxa"/>
            <w:tcBorders>
              <w:top w:val="nil"/>
              <w:left w:val="nil"/>
              <w:bottom w:val="nil"/>
              <w:right w:val="nil"/>
            </w:tcBorders>
            <w:shd w:val="clear" w:color="auto" w:fill="auto"/>
            <w:noWrap/>
            <w:vAlign w:val="center"/>
            <w:hideMark/>
          </w:tcPr>
          <w:p w14:paraId="3FF8665A"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00" w:type="dxa"/>
            <w:gridSpan w:val="7"/>
            <w:tcBorders>
              <w:top w:val="single" w:sz="8" w:space="0" w:color="auto"/>
              <w:left w:val="single" w:sz="8" w:space="0" w:color="auto"/>
              <w:bottom w:val="nil"/>
              <w:right w:val="single" w:sz="8" w:space="0" w:color="auto"/>
            </w:tcBorders>
            <w:shd w:val="clear" w:color="auto" w:fill="auto"/>
            <w:noWrap/>
            <w:vAlign w:val="center"/>
            <w:hideMark/>
          </w:tcPr>
          <w:p w14:paraId="377B589F"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E213A">
              <w:rPr>
                <w:rFonts w:ascii="Arial" w:hAnsi="Arial" w:cs="Arial"/>
                <w:b/>
                <w:bCs/>
                <w:color w:val="000000"/>
                <w:sz w:val="18"/>
                <w:szCs w:val="18"/>
                <w:lang w:val="en-SE" w:eastAsia="en-SE"/>
              </w:rPr>
              <w:t>Over ECM-13.0</w:t>
            </w:r>
          </w:p>
        </w:tc>
      </w:tr>
      <w:tr w:rsidR="00FE213A" w:rsidRPr="00FE213A" w14:paraId="0CB9EA76" w14:textId="77777777" w:rsidTr="00FE213A">
        <w:trPr>
          <w:trHeight w:val="255"/>
        </w:trPr>
        <w:tc>
          <w:tcPr>
            <w:tcW w:w="1040" w:type="dxa"/>
            <w:tcBorders>
              <w:top w:val="nil"/>
              <w:left w:val="nil"/>
              <w:bottom w:val="nil"/>
              <w:right w:val="nil"/>
            </w:tcBorders>
            <w:shd w:val="clear" w:color="auto" w:fill="auto"/>
            <w:noWrap/>
            <w:vAlign w:val="center"/>
            <w:hideMark/>
          </w:tcPr>
          <w:p w14:paraId="306ADCD3"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71" w:type="dxa"/>
            <w:tcBorders>
              <w:top w:val="nil"/>
              <w:left w:val="single" w:sz="8" w:space="0" w:color="auto"/>
              <w:bottom w:val="single" w:sz="8" w:space="0" w:color="auto"/>
              <w:right w:val="nil"/>
            </w:tcBorders>
            <w:shd w:val="clear" w:color="auto" w:fill="auto"/>
            <w:noWrap/>
            <w:vAlign w:val="center"/>
            <w:hideMark/>
          </w:tcPr>
          <w:p w14:paraId="0EA66A0A"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Y</w:t>
            </w:r>
          </w:p>
        </w:tc>
        <w:tc>
          <w:tcPr>
            <w:tcW w:w="871" w:type="dxa"/>
            <w:tcBorders>
              <w:top w:val="nil"/>
              <w:left w:val="nil"/>
              <w:bottom w:val="single" w:sz="8" w:space="0" w:color="auto"/>
              <w:right w:val="nil"/>
            </w:tcBorders>
            <w:shd w:val="clear" w:color="auto" w:fill="auto"/>
            <w:noWrap/>
            <w:vAlign w:val="center"/>
            <w:hideMark/>
          </w:tcPr>
          <w:p w14:paraId="213EBDE1"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U</w:t>
            </w:r>
          </w:p>
        </w:tc>
        <w:tc>
          <w:tcPr>
            <w:tcW w:w="871" w:type="dxa"/>
            <w:tcBorders>
              <w:top w:val="nil"/>
              <w:left w:val="nil"/>
              <w:bottom w:val="single" w:sz="8" w:space="0" w:color="auto"/>
              <w:right w:val="single" w:sz="4" w:space="0" w:color="auto"/>
            </w:tcBorders>
            <w:shd w:val="clear" w:color="auto" w:fill="auto"/>
            <w:noWrap/>
            <w:vAlign w:val="center"/>
            <w:hideMark/>
          </w:tcPr>
          <w:p w14:paraId="7F0715B6"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V</w:t>
            </w:r>
          </w:p>
        </w:tc>
        <w:tc>
          <w:tcPr>
            <w:tcW w:w="784" w:type="dxa"/>
            <w:tcBorders>
              <w:top w:val="nil"/>
              <w:left w:val="nil"/>
              <w:bottom w:val="single" w:sz="8" w:space="0" w:color="auto"/>
              <w:right w:val="nil"/>
            </w:tcBorders>
            <w:shd w:val="clear" w:color="auto" w:fill="auto"/>
            <w:noWrap/>
            <w:vAlign w:val="center"/>
            <w:hideMark/>
          </w:tcPr>
          <w:p w14:paraId="4DD8D111"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E213A">
              <w:rPr>
                <w:rFonts w:ascii="Arial" w:hAnsi="Arial" w:cs="Arial"/>
                <w:color w:val="000000"/>
                <w:sz w:val="18"/>
                <w:szCs w:val="18"/>
                <w:lang w:val="en-SE" w:eastAsia="en-SE"/>
              </w:rPr>
              <w:t>EncT</w:t>
            </w:r>
            <w:proofErr w:type="spellEnd"/>
          </w:p>
        </w:tc>
        <w:tc>
          <w:tcPr>
            <w:tcW w:w="929" w:type="dxa"/>
            <w:tcBorders>
              <w:top w:val="nil"/>
              <w:left w:val="nil"/>
              <w:bottom w:val="single" w:sz="8" w:space="0" w:color="auto"/>
              <w:right w:val="nil"/>
            </w:tcBorders>
            <w:shd w:val="clear" w:color="auto" w:fill="auto"/>
            <w:noWrap/>
            <w:vAlign w:val="center"/>
            <w:hideMark/>
          </w:tcPr>
          <w:p w14:paraId="11D94D06"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E213A">
              <w:rPr>
                <w:rFonts w:ascii="Arial" w:hAnsi="Arial" w:cs="Arial"/>
                <w:color w:val="000000"/>
                <w:sz w:val="18"/>
                <w:szCs w:val="18"/>
                <w:lang w:val="en-SE" w:eastAsia="en-SE"/>
              </w:rPr>
              <w:t>DecT</w:t>
            </w:r>
            <w:proofErr w:type="spellEnd"/>
          </w:p>
        </w:tc>
        <w:tc>
          <w:tcPr>
            <w:tcW w:w="1480" w:type="dxa"/>
            <w:tcBorders>
              <w:top w:val="nil"/>
              <w:left w:val="single" w:sz="4" w:space="0" w:color="auto"/>
              <w:bottom w:val="single" w:sz="8" w:space="0" w:color="auto"/>
              <w:right w:val="nil"/>
            </w:tcBorders>
            <w:shd w:val="clear" w:color="auto" w:fill="auto"/>
            <w:noWrap/>
            <w:vAlign w:val="center"/>
            <w:hideMark/>
          </w:tcPr>
          <w:p w14:paraId="586C9C78"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E213A">
              <w:rPr>
                <w:rFonts w:ascii="Arial" w:hAnsi="Arial" w:cs="Arial"/>
                <w:color w:val="000000"/>
                <w:sz w:val="18"/>
                <w:szCs w:val="18"/>
                <w:lang w:val="en-SE" w:eastAsia="en-SE"/>
              </w:rPr>
              <w:t>EncVmPeak</w:t>
            </w:r>
            <w:proofErr w:type="spellEnd"/>
          </w:p>
        </w:tc>
        <w:tc>
          <w:tcPr>
            <w:tcW w:w="1494" w:type="dxa"/>
            <w:tcBorders>
              <w:top w:val="nil"/>
              <w:left w:val="single" w:sz="4" w:space="0" w:color="auto"/>
              <w:bottom w:val="single" w:sz="8" w:space="0" w:color="auto"/>
              <w:right w:val="single" w:sz="8" w:space="0" w:color="auto"/>
            </w:tcBorders>
            <w:shd w:val="clear" w:color="auto" w:fill="auto"/>
            <w:noWrap/>
            <w:vAlign w:val="center"/>
            <w:hideMark/>
          </w:tcPr>
          <w:p w14:paraId="59BB97C3"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E213A">
              <w:rPr>
                <w:rFonts w:ascii="Arial" w:hAnsi="Arial" w:cs="Arial"/>
                <w:color w:val="000000"/>
                <w:sz w:val="18"/>
                <w:szCs w:val="18"/>
                <w:lang w:val="en-SE" w:eastAsia="en-SE"/>
              </w:rPr>
              <w:t>DecVmPeak</w:t>
            </w:r>
            <w:proofErr w:type="spellEnd"/>
          </w:p>
        </w:tc>
      </w:tr>
      <w:tr w:rsidR="00FE213A" w:rsidRPr="00FE213A" w14:paraId="7B183A10" w14:textId="77777777" w:rsidTr="00FE213A">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3646371"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Class A1</w:t>
            </w:r>
          </w:p>
        </w:tc>
        <w:tc>
          <w:tcPr>
            <w:tcW w:w="871" w:type="dxa"/>
            <w:tcBorders>
              <w:top w:val="nil"/>
              <w:left w:val="nil"/>
              <w:bottom w:val="nil"/>
              <w:right w:val="nil"/>
            </w:tcBorders>
            <w:shd w:val="clear" w:color="auto" w:fill="auto"/>
            <w:noWrap/>
            <w:vAlign w:val="center"/>
            <w:hideMark/>
          </w:tcPr>
          <w:p w14:paraId="4D47D731"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-0,43%</w:t>
            </w:r>
          </w:p>
        </w:tc>
        <w:tc>
          <w:tcPr>
            <w:tcW w:w="871" w:type="dxa"/>
            <w:tcBorders>
              <w:top w:val="nil"/>
              <w:left w:val="nil"/>
              <w:bottom w:val="nil"/>
              <w:right w:val="nil"/>
            </w:tcBorders>
            <w:shd w:val="clear" w:color="auto" w:fill="auto"/>
            <w:noWrap/>
            <w:vAlign w:val="center"/>
            <w:hideMark/>
          </w:tcPr>
          <w:p w14:paraId="58175747"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-0,62%</w:t>
            </w:r>
          </w:p>
        </w:tc>
        <w:tc>
          <w:tcPr>
            <w:tcW w:w="871" w:type="dxa"/>
            <w:tcBorders>
              <w:top w:val="nil"/>
              <w:left w:val="nil"/>
              <w:bottom w:val="nil"/>
              <w:right w:val="single" w:sz="4" w:space="0" w:color="auto"/>
            </w:tcBorders>
            <w:shd w:val="clear" w:color="auto" w:fill="auto"/>
            <w:noWrap/>
            <w:vAlign w:val="center"/>
            <w:hideMark/>
          </w:tcPr>
          <w:p w14:paraId="127C2EE4"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-0,59%</w:t>
            </w:r>
          </w:p>
        </w:tc>
        <w:tc>
          <w:tcPr>
            <w:tcW w:w="784" w:type="dxa"/>
            <w:tcBorders>
              <w:top w:val="nil"/>
              <w:left w:val="nil"/>
              <w:bottom w:val="nil"/>
              <w:right w:val="nil"/>
            </w:tcBorders>
            <w:shd w:val="clear" w:color="auto" w:fill="auto"/>
            <w:noWrap/>
            <w:vAlign w:val="center"/>
            <w:hideMark/>
          </w:tcPr>
          <w:p w14:paraId="411F8A1D"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92,7%</w:t>
            </w:r>
          </w:p>
        </w:tc>
        <w:tc>
          <w:tcPr>
            <w:tcW w:w="929" w:type="dxa"/>
            <w:tcBorders>
              <w:top w:val="nil"/>
              <w:left w:val="nil"/>
              <w:bottom w:val="nil"/>
              <w:right w:val="nil"/>
            </w:tcBorders>
            <w:shd w:val="clear" w:color="auto" w:fill="auto"/>
            <w:noWrap/>
            <w:vAlign w:val="center"/>
            <w:hideMark/>
          </w:tcPr>
          <w:p w14:paraId="72025798"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109,7%</w:t>
            </w:r>
          </w:p>
        </w:tc>
        <w:tc>
          <w:tcPr>
            <w:tcW w:w="1480" w:type="dxa"/>
            <w:tcBorders>
              <w:top w:val="nil"/>
              <w:left w:val="single" w:sz="4" w:space="0" w:color="auto"/>
              <w:bottom w:val="nil"/>
              <w:right w:val="nil"/>
            </w:tcBorders>
            <w:shd w:val="clear" w:color="auto" w:fill="auto"/>
            <w:noWrap/>
            <w:vAlign w:val="center"/>
            <w:hideMark/>
          </w:tcPr>
          <w:p w14:paraId="5EE752FC"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100,1%</w:t>
            </w:r>
          </w:p>
        </w:tc>
        <w:tc>
          <w:tcPr>
            <w:tcW w:w="1494" w:type="dxa"/>
            <w:tcBorders>
              <w:top w:val="nil"/>
              <w:left w:val="nil"/>
              <w:bottom w:val="nil"/>
              <w:right w:val="single" w:sz="8" w:space="0" w:color="auto"/>
            </w:tcBorders>
            <w:shd w:val="clear" w:color="auto" w:fill="auto"/>
            <w:noWrap/>
            <w:vAlign w:val="center"/>
            <w:hideMark/>
          </w:tcPr>
          <w:p w14:paraId="6B67759F"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100,0%</w:t>
            </w:r>
          </w:p>
        </w:tc>
      </w:tr>
      <w:tr w:rsidR="00FE213A" w:rsidRPr="00FE213A" w14:paraId="173827B0" w14:textId="77777777" w:rsidTr="00FE213A">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B7867D4"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Class A2</w:t>
            </w:r>
          </w:p>
        </w:tc>
        <w:tc>
          <w:tcPr>
            <w:tcW w:w="871" w:type="dxa"/>
            <w:tcBorders>
              <w:top w:val="nil"/>
              <w:left w:val="nil"/>
              <w:bottom w:val="nil"/>
              <w:right w:val="nil"/>
            </w:tcBorders>
            <w:shd w:val="clear" w:color="auto" w:fill="auto"/>
            <w:noWrap/>
            <w:vAlign w:val="center"/>
            <w:hideMark/>
          </w:tcPr>
          <w:p w14:paraId="05341F23"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-0,48%</w:t>
            </w:r>
          </w:p>
        </w:tc>
        <w:tc>
          <w:tcPr>
            <w:tcW w:w="871" w:type="dxa"/>
            <w:tcBorders>
              <w:top w:val="nil"/>
              <w:left w:val="nil"/>
              <w:bottom w:val="nil"/>
              <w:right w:val="nil"/>
            </w:tcBorders>
            <w:shd w:val="clear" w:color="auto" w:fill="auto"/>
            <w:noWrap/>
            <w:vAlign w:val="center"/>
            <w:hideMark/>
          </w:tcPr>
          <w:p w14:paraId="3B9B4394"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-0,69%</w:t>
            </w:r>
          </w:p>
        </w:tc>
        <w:tc>
          <w:tcPr>
            <w:tcW w:w="871" w:type="dxa"/>
            <w:tcBorders>
              <w:top w:val="nil"/>
              <w:left w:val="nil"/>
              <w:bottom w:val="nil"/>
              <w:right w:val="single" w:sz="4" w:space="0" w:color="auto"/>
            </w:tcBorders>
            <w:shd w:val="clear" w:color="auto" w:fill="auto"/>
            <w:noWrap/>
            <w:vAlign w:val="center"/>
            <w:hideMark/>
          </w:tcPr>
          <w:p w14:paraId="4E7C51A4"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-0,60%</w:t>
            </w:r>
          </w:p>
        </w:tc>
        <w:tc>
          <w:tcPr>
            <w:tcW w:w="784" w:type="dxa"/>
            <w:tcBorders>
              <w:top w:val="nil"/>
              <w:left w:val="nil"/>
              <w:bottom w:val="nil"/>
              <w:right w:val="nil"/>
            </w:tcBorders>
            <w:shd w:val="clear" w:color="auto" w:fill="auto"/>
            <w:noWrap/>
            <w:vAlign w:val="center"/>
            <w:hideMark/>
          </w:tcPr>
          <w:p w14:paraId="1254E85B"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89,2%</w:t>
            </w:r>
          </w:p>
        </w:tc>
        <w:tc>
          <w:tcPr>
            <w:tcW w:w="929" w:type="dxa"/>
            <w:tcBorders>
              <w:top w:val="nil"/>
              <w:left w:val="nil"/>
              <w:bottom w:val="nil"/>
              <w:right w:val="nil"/>
            </w:tcBorders>
            <w:shd w:val="clear" w:color="auto" w:fill="auto"/>
            <w:noWrap/>
            <w:vAlign w:val="center"/>
            <w:hideMark/>
          </w:tcPr>
          <w:p w14:paraId="5E62B47D"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91,7%</w:t>
            </w:r>
          </w:p>
        </w:tc>
        <w:tc>
          <w:tcPr>
            <w:tcW w:w="1480" w:type="dxa"/>
            <w:tcBorders>
              <w:top w:val="nil"/>
              <w:left w:val="single" w:sz="4" w:space="0" w:color="auto"/>
              <w:bottom w:val="nil"/>
              <w:right w:val="nil"/>
            </w:tcBorders>
            <w:shd w:val="clear" w:color="auto" w:fill="auto"/>
            <w:noWrap/>
            <w:vAlign w:val="center"/>
            <w:hideMark/>
          </w:tcPr>
          <w:p w14:paraId="0BB2F98D"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99,9%</w:t>
            </w:r>
          </w:p>
        </w:tc>
        <w:tc>
          <w:tcPr>
            <w:tcW w:w="1494" w:type="dxa"/>
            <w:tcBorders>
              <w:top w:val="nil"/>
              <w:left w:val="nil"/>
              <w:bottom w:val="nil"/>
              <w:right w:val="single" w:sz="8" w:space="0" w:color="auto"/>
            </w:tcBorders>
            <w:shd w:val="clear" w:color="auto" w:fill="auto"/>
            <w:noWrap/>
            <w:vAlign w:val="center"/>
            <w:hideMark/>
          </w:tcPr>
          <w:p w14:paraId="6C1C5D67"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99,5%</w:t>
            </w:r>
          </w:p>
        </w:tc>
      </w:tr>
      <w:tr w:rsidR="00FE213A" w:rsidRPr="00FE213A" w14:paraId="2397C4AB" w14:textId="77777777" w:rsidTr="00FE213A">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575ABC"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Class B</w:t>
            </w:r>
          </w:p>
        </w:tc>
        <w:tc>
          <w:tcPr>
            <w:tcW w:w="871" w:type="dxa"/>
            <w:tcBorders>
              <w:top w:val="nil"/>
              <w:left w:val="nil"/>
              <w:bottom w:val="nil"/>
              <w:right w:val="nil"/>
            </w:tcBorders>
            <w:shd w:val="clear" w:color="auto" w:fill="auto"/>
            <w:noWrap/>
            <w:vAlign w:val="center"/>
            <w:hideMark/>
          </w:tcPr>
          <w:p w14:paraId="1240C94C"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-0,30%</w:t>
            </w:r>
          </w:p>
        </w:tc>
        <w:tc>
          <w:tcPr>
            <w:tcW w:w="871" w:type="dxa"/>
            <w:tcBorders>
              <w:top w:val="nil"/>
              <w:left w:val="nil"/>
              <w:bottom w:val="nil"/>
              <w:right w:val="nil"/>
            </w:tcBorders>
            <w:shd w:val="clear" w:color="auto" w:fill="auto"/>
            <w:noWrap/>
            <w:vAlign w:val="center"/>
            <w:hideMark/>
          </w:tcPr>
          <w:p w14:paraId="5A772AC5"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-0,43%</w:t>
            </w:r>
          </w:p>
        </w:tc>
        <w:tc>
          <w:tcPr>
            <w:tcW w:w="871" w:type="dxa"/>
            <w:tcBorders>
              <w:top w:val="nil"/>
              <w:left w:val="nil"/>
              <w:bottom w:val="nil"/>
              <w:right w:val="single" w:sz="4" w:space="0" w:color="auto"/>
            </w:tcBorders>
            <w:shd w:val="clear" w:color="auto" w:fill="auto"/>
            <w:noWrap/>
            <w:vAlign w:val="center"/>
            <w:hideMark/>
          </w:tcPr>
          <w:p w14:paraId="28B0B051"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-0,32%</w:t>
            </w:r>
          </w:p>
        </w:tc>
        <w:tc>
          <w:tcPr>
            <w:tcW w:w="784" w:type="dxa"/>
            <w:tcBorders>
              <w:top w:val="nil"/>
              <w:left w:val="nil"/>
              <w:bottom w:val="nil"/>
              <w:right w:val="nil"/>
            </w:tcBorders>
            <w:shd w:val="clear" w:color="auto" w:fill="auto"/>
            <w:noWrap/>
            <w:vAlign w:val="center"/>
            <w:hideMark/>
          </w:tcPr>
          <w:p w14:paraId="1D68EAB8"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83,3%</w:t>
            </w:r>
          </w:p>
        </w:tc>
        <w:tc>
          <w:tcPr>
            <w:tcW w:w="929" w:type="dxa"/>
            <w:tcBorders>
              <w:top w:val="nil"/>
              <w:left w:val="nil"/>
              <w:bottom w:val="nil"/>
              <w:right w:val="nil"/>
            </w:tcBorders>
            <w:shd w:val="clear" w:color="auto" w:fill="auto"/>
            <w:noWrap/>
            <w:vAlign w:val="center"/>
            <w:hideMark/>
          </w:tcPr>
          <w:p w14:paraId="5D015FC5"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90,8%</w:t>
            </w:r>
          </w:p>
        </w:tc>
        <w:tc>
          <w:tcPr>
            <w:tcW w:w="1480" w:type="dxa"/>
            <w:tcBorders>
              <w:top w:val="nil"/>
              <w:left w:val="single" w:sz="4" w:space="0" w:color="auto"/>
              <w:bottom w:val="nil"/>
              <w:right w:val="nil"/>
            </w:tcBorders>
            <w:shd w:val="clear" w:color="auto" w:fill="auto"/>
            <w:noWrap/>
            <w:vAlign w:val="center"/>
            <w:hideMark/>
          </w:tcPr>
          <w:p w14:paraId="18C3FAFC"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100,7%</w:t>
            </w:r>
          </w:p>
        </w:tc>
        <w:tc>
          <w:tcPr>
            <w:tcW w:w="1494" w:type="dxa"/>
            <w:tcBorders>
              <w:top w:val="nil"/>
              <w:left w:val="nil"/>
              <w:bottom w:val="nil"/>
              <w:right w:val="single" w:sz="8" w:space="0" w:color="auto"/>
            </w:tcBorders>
            <w:shd w:val="clear" w:color="auto" w:fill="auto"/>
            <w:noWrap/>
            <w:vAlign w:val="center"/>
            <w:hideMark/>
          </w:tcPr>
          <w:p w14:paraId="31805709"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100,3%</w:t>
            </w:r>
          </w:p>
        </w:tc>
      </w:tr>
      <w:tr w:rsidR="00FE213A" w:rsidRPr="00FE213A" w14:paraId="37A3F472" w14:textId="77777777" w:rsidTr="00FE213A">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060AA24"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Class C</w:t>
            </w:r>
          </w:p>
        </w:tc>
        <w:tc>
          <w:tcPr>
            <w:tcW w:w="871" w:type="dxa"/>
            <w:tcBorders>
              <w:top w:val="nil"/>
              <w:left w:val="nil"/>
              <w:bottom w:val="nil"/>
              <w:right w:val="nil"/>
            </w:tcBorders>
            <w:shd w:val="clear" w:color="auto" w:fill="auto"/>
            <w:noWrap/>
            <w:vAlign w:val="center"/>
            <w:hideMark/>
          </w:tcPr>
          <w:p w14:paraId="676BEEA2"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-0,27%</w:t>
            </w:r>
          </w:p>
        </w:tc>
        <w:tc>
          <w:tcPr>
            <w:tcW w:w="871" w:type="dxa"/>
            <w:tcBorders>
              <w:top w:val="nil"/>
              <w:left w:val="nil"/>
              <w:bottom w:val="nil"/>
              <w:right w:val="nil"/>
            </w:tcBorders>
            <w:shd w:val="clear" w:color="auto" w:fill="auto"/>
            <w:noWrap/>
            <w:vAlign w:val="center"/>
            <w:hideMark/>
          </w:tcPr>
          <w:p w14:paraId="32AEA899"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-0,30%</w:t>
            </w:r>
          </w:p>
        </w:tc>
        <w:tc>
          <w:tcPr>
            <w:tcW w:w="871" w:type="dxa"/>
            <w:tcBorders>
              <w:top w:val="nil"/>
              <w:left w:val="nil"/>
              <w:bottom w:val="nil"/>
              <w:right w:val="single" w:sz="4" w:space="0" w:color="auto"/>
            </w:tcBorders>
            <w:shd w:val="clear" w:color="auto" w:fill="auto"/>
            <w:noWrap/>
            <w:vAlign w:val="center"/>
            <w:hideMark/>
          </w:tcPr>
          <w:p w14:paraId="7186D710"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-0,36%</w:t>
            </w:r>
          </w:p>
        </w:tc>
        <w:tc>
          <w:tcPr>
            <w:tcW w:w="784" w:type="dxa"/>
            <w:tcBorders>
              <w:top w:val="nil"/>
              <w:left w:val="nil"/>
              <w:bottom w:val="nil"/>
              <w:right w:val="nil"/>
            </w:tcBorders>
            <w:shd w:val="clear" w:color="auto" w:fill="auto"/>
            <w:noWrap/>
            <w:vAlign w:val="center"/>
            <w:hideMark/>
          </w:tcPr>
          <w:p w14:paraId="5CF566B7"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74,0%</w:t>
            </w:r>
          </w:p>
        </w:tc>
        <w:tc>
          <w:tcPr>
            <w:tcW w:w="929" w:type="dxa"/>
            <w:tcBorders>
              <w:top w:val="nil"/>
              <w:left w:val="nil"/>
              <w:bottom w:val="nil"/>
              <w:right w:val="nil"/>
            </w:tcBorders>
            <w:shd w:val="clear" w:color="auto" w:fill="auto"/>
            <w:noWrap/>
            <w:vAlign w:val="center"/>
            <w:hideMark/>
          </w:tcPr>
          <w:p w14:paraId="4D725585"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72,3%</w:t>
            </w:r>
          </w:p>
        </w:tc>
        <w:tc>
          <w:tcPr>
            <w:tcW w:w="1480" w:type="dxa"/>
            <w:tcBorders>
              <w:top w:val="nil"/>
              <w:left w:val="single" w:sz="4" w:space="0" w:color="auto"/>
              <w:bottom w:val="nil"/>
              <w:right w:val="nil"/>
            </w:tcBorders>
            <w:shd w:val="clear" w:color="auto" w:fill="auto"/>
            <w:noWrap/>
            <w:vAlign w:val="center"/>
            <w:hideMark/>
          </w:tcPr>
          <w:p w14:paraId="36479D65"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100,4%</w:t>
            </w:r>
          </w:p>
        </w:tc>
        <w:tc>
          <w:tcPr>
            <w:tcW w:w="1494" w:type="dxa"/>
            <w:tcBorders>
              <w:top w:val="nil"/>
              <w:left w:val="nil"/>
              <w:bottom w:val="nil"/>
              <w:right w:val="single" w:sz="8" w:space="0" w:color="auto"/>
            </w:tcBorders>
            <w:shd w:val="clear" w:color="auto" w:fill="auto"/>
            <w:noWrap/>
            <w:vAlign w:val="center"/>
            <w:hideMark/>
          </w:tcPr>
          <w:p w14:paraId="746DE981"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99,7%</w:t>
            </w:r>
          </w:p>
        </w:tc>
      </w:tr>
      <w:tr w:rsidR="00FE213A" w:rsidRPr="00FE213A" w14:paraId="4C0BEF86" w14:textId="77777777" w:rsidTr="00FE213A">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7E5998D"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Class E</w:t>
            </w:r>
          </w:p>
        </w:tc>
        <w:tc>
          <w:tcPr>
            <w:tcW w:w="871" w:type="dxa"/>
            <w:tcBorders>
              <w:top w:val="nil"/>
              <w:left w:val="nil"/>
              <w:bottom w:val="nil"/>
              <w:right w:val="nil"/>
            </w:tcBorders>
            <w:shd w:val="clear" w:color="auto" w:fill="auto"/>
            <w:noWrap/>
            <w:vAlign w:val="center"/>
            <w:hideMark/>
          </w:tcPr>
          <w:p w14:paraId="2E406B6C"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 </w:t>
            </w:r>
          </w:p>
        </w:tc>
        <w:tc>
          <w:tcPr>
            <w:tcW w:w="871" w:type="dxa"/>
            <w:tcBorders>
              <w:top w:val="nil"/>
              <w:left w:val="nil"/>
              <w:bottom w:val="nil"/>
              <w:right w:val="nil"/>
            </w:tcBorders>
            <w:shd w:val="clear" w:color="auto" w:fill="auto"/>
            <w:noWrap/>
            <w:vAlign w:val="center"/>
            <w:hideMark/>
          </w:tcPr>
          <w:p w14:paraId="7865E6B9"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71" w:type="dxa"/>
            <w:tcBorders>
              <w:top w:val="nil"/>
              <w:left w:val="nil"/>
              <w:bottom w:val="nil"/>
              <w:right w:val="single" w:sz="4" w:space="0" w:color="auto"/>
            </w:tcBorders>
            <w:shd w:val="clear" w:color="auto" w:fill="auto"/>
            <w:noWrap/>
            <w:vAlign w:val="center"/>
            <w:hideMark/>
          </w:tcPr>
          <w:p w14:paraId="785134E6"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 </w:t>
            </w:r>
          </w:p>
        </w:tc>
        <w:tc>
          <w:tcPr>
            <w:tcW w:w="784" w:type="dxa"/>
            <w:tcBorders>
              <w:top w:val="nil"/>
              <w:left w:val="nil"/>
              <w:bottom w:val="nil"/>
              <w:right w:val="nil"/>
            </w:tcBorders>
            <w:shd w:val="clear" w:color="auto" w:fill="auto"/>
            <w:noWrap/>
            <w:vAlign w:val="center"/>
            <w:hideMark/>
          </w:tcPr>
          <w:p w14:paraId="5E6758C2"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 </w:t>
            </w:r>
          </w:p>
        </w:tc>
        <w:tc>
          <w:tcPr>
            <w:tcW w:w="929" w:type="dxa"/>
            <w:tcBorders>
              <w:top w:val="nil"/>
              <w:left w:val="nil"/>
              <w:bottom w:val="nil"/>
              <w:right w:val="nil"/>
            </w:tcBorders>
            <w:shd w:val="clear" w:color="auto" w:fill="auto"/>
            <w:noWrap/>
            <w:vAlign w:val="center"/>
            <w:hideMark/>
          </w:tcPr>
          <w:p w14:paraId="3DC4F866"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480" w:type="dxa"/>
            <w:tcBorders>
              <w:top w:val="nil"/>
              <w:left w:val="single" w:sz="4" w:space="0" w:color="auto"/>
              <w:bottom w:val="nil"/>
              <w:right w:val="nil"/>
            </w:tcBorders>
            <w:shd w:val="clear" w:color="auto" w:fill="auto"/>
            <w:noWrap/>
            <w:vAlign w:val="center"/>
            <w:hideMark/>
          </w:tcPr>
          <w:p w14:paraId="487A2670"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 </w:t>
            </w:r>
          </w:p>
        </w:tc>
        <w:tc>
          <w:tcPr>
            <w:tcW w:w="1494" w:type="dxa"/>
            <w:tcBorders>
              <w:top w:val="nil"/>
              <w:left w:val="nil"/>
              <w:bottom w:val="nil"/>
              <w:right w:val="single" w:sz="8" w:space="0" w:color="auto"/>
            </w:tcBorders>
            <w:shd w:val="clear" w:color="auto" w:fill="auto"/>
            <w:noWrap/>
            <w:vAlign w:val="center"/>
            <w:hideMark/>
          </w:tcPr>
          <w:p w14:paraId="1121782C"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 </w:t>
            </w:r>
          </w:p>
        </w:tc>
      </w:tr>
      <w:tr w:rsidR="00FE213A" w:rsidRPr="00FE213A" w14:paraId="3BC233F2" w14:textId="77777777" w:rsidTr="00FE213A">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F0C2B9"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E213A">
              <w:rPr>
                <w:rFonts w:ascii="Arial" w:hAnsi="Arial" w:cs="Arial"/>
                <w:b/>
                <w:bCs/>
                <w:color w:val="000000"/>
                <w:sz w:val="18"/>
                <w:szCs w:val="18"/>
                <w:lang w:val="en-SE" w:eastAsia="en-SE"/>
              </w:rPr>
              <w:t>Overall</w:t>
            </w:r>
          </w:p>
        </w:tc>
        <w:tc>
          <w:tcPr>
            <w:tcW w:w="871" w:type="dxa"/>
            <w:tcBorders>
              <w:top w:val="single" w:sz="8" w:space="0" w:color="auto"/>
              <w:left w:val="nil"/>
              <w:bottom w:val="nil"/>
              <w:right w:val="nil"/>
            </w:tcBorders>
            <w:shd w:val="clear" w:color="auto" w:fill="auto"/>
            <w:noWrap/>
            <w:vAlign w:val="center"/>
            <w:hideMark/>
          </w:tcPr>
          <w:p w14:paraId="2F6ADAEC"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-0,35%</w:t>
            </w:r>
          </w:p>
        </w:tc>
        <w:tc>
          <w:tcPr>
            <w:tcW w:w="871" w:type="dxa"/>
            <w:tcBorders>
              <w:top w:val="single" w:sz="8" w:space="0" w:color="auto"/>
              <w:left w:val="nil"/>
              <w:bottom w:val="nil"/>
              <w:right w:val="nil"/>
            </w:tcBorders>
            <w:shd w:val="clear" w:color="auto" w:fill="auto"/>
            <w:noWrap/>
            <w:vAlign w:val="center"/>
            <w:hideMark/>
          </w:tcPr>
          <w:p w14:paraId="315D4D8D"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-0,49%</w:t>
            </w:r>
          </w:p>
        </w:tc>
        <w:tc>
          <w:tcPr>
            <w:tcW w:w="871" w:type="dxa"/>
            <w:tcBorders>
              <w:top w:val="single" w:sz="8" w:space="0" w:color="auto"/>
              <w:left w:val="nil"/>
              <w:bottom w:val="nil"/>
              <w:right w:val="single" w:sz="4" w:space="0" w:color="auto"/>
            </w:tcBorders>
            <w:shd w:val="clear" w:color="auto" w:fill="auto"/>
            <w:noWrap/>
            <w:vAlign w:val="center"/>
            <w:hideMark/>
          </w:tcPr>
          <w:p w14:paraId="6374F9F1"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-0,44%</w:t>
            </w:r>
          </w:p>
        </w:tc>
        <w:tc>
          <w:tcPr>
            <w:tcW w:w="784" w:type="dxa"/>
            <w:tcBorders>
              <w:top w:val="single" w:sz="8" w:space="0" w:color="auto"/>
              <w:left w:val="nil"/>
              <w:bottom w:val="nil"/>
              <w:right w:val="nil"/>
            </w:tcBorders>
            <w:shd w:val="clear" w:color="auto" w:fill="auto"/>
            <w:noWrap/>
            <w:vAlign w:val="center"/>
            <w:hideMark/>
          </w:tcPr>
          <w:p w14:paraId="19A58156"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83,6%</w:t>
            </w:r>
          </w:p>
        </w:tc>
        <w:tc>
          <w:tcPr>
            <w:tcW w:w="929" w:type="dxa"/>
            <w:tcBorders>
              <w:top w:val="single" w:sz="8" w:space="0" w:color="auto"/>
              <w:left w:val="nil"/>
              <w:bottom w:val="nil"/>
              <w:right w:val="nil"/>
            </w:tcBorders>
            <w:shd w:val="clear" w:color="auto" w:fill="auto"/>
            <w:noWrap/>
            <w:vAlign w:val="center"/>
            <w:hideMark/>
          </w:tcPr>
          <w:p w14:paraId="7D5F75E3"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88,9%</w:t>
            </w:r>
          </w:p>
        </w:tc>
        <w:tc>
          <w:tcPr>
            <w:tcW w:w="1480" w:type="dxa"/>
            <w:tcBorders>
              <w:top w:val="single" w:sz="8" w:space="0" w:color="auto"/>
              <w:left w:val="single" w:sz="4" w:space="0" w:color="auto"/>
              <w:bottom w:val="single" w:sz="8" w:space="0" w:color="auto"/>
              <w:right w:val="nil"/>
            </w:tcBorders>
            <w:shd w:val="clear" w:color="auto" w:fill="auto"/>
            <w:noWrap/>
            <w:vAlign w:val="center"/>
            <w:hideMark/>
          </w:tcPr>
          <w:p w14:paraId="523A87C4"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100,3%</w:t>
            </w:r>
          </w:p>
        </w:tc>
        <w:tc>
          <w:tcPr>
            <w:tcW w:w="1494" w:type="dxa"/>
            <w:tcBorders>
              <w:top w:val="single" w:sz="8" w:space="0" w:color="auto"/>
              <w:left w:val="nil"/>
              <w:bottom w:val="single" w:sz="8" w:space="0" w:color="auto"/>
              <w:right w:val="single" w:sz="8" w:space="0" w:color="auto"/>
            </w:tcBorders>
            <w:shd w:val="clear" w:color="auto" w:fill="auto"/>
            <w:noWrap/>
            <w:vAlign w:val="center"/>
            <w:hideMark/>
          </w:tcPr>
          <w:p w14:paraId="2A773F40" w14:textId="77777777" w:rsidR="00FE213A" w:rsidRPr="00FE213A" w:rsidRDefault="00FE213A" w:rsidP="009338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99,9%</w:t>
            </w:r>
          </w:p>
        </w:tc>
      </w:tr>
      <w:tr w:rsidR="00FE213A" w:rsidRPr="00FE213A" w14:paraId="73D663F4" w14:textId="77777777" w:rsidTr="00FE213A">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44F9F83" w14:textId="77777777" w:rsidR="00FE213A" w:rsidRPr="00FE213A" w:rsidRDefault="00FE213A" w:rsidP="00FE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Class D</w:t>
            </w:r>
          </w:p>
        </w:tc>
        <w:tc>
          <w:tcPr>
            <w:tcW w:w="871" w:type="dxa"/>
            <w:tcBorders>
              <w:top w:val="single" w:sz="8" w:space="0" w:color="auto"/>
              <w:left w:val="nil"/>
              <w:bottom w:val="nil"/>
              <w:right w:val="nil"/>
            </w:tcBorders>
            <w:shd w:val="clear" w:color="auto" w:fill="auto"/>
            <w:noWrap/>
            <w:vAlign w:val="center"/>
            <w:hideMark/>
          </w:tcPr>
          <w:p w14:paraId="1DA71AD7" w14:textId="77777777" w:rsidR="00FE213A" w:rsidRPr="00FE213A" w:rsidRDefault="00FE213A" w:rsidP="00FE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-0,09%</w:t>
            </w:r>
          </w:p>
        </w:tc>
        <w:tc>
          <w:tcPr>
            <w:tcW w:w="871" w:type="dxa"/>
            <w:tcBorders>
              <w:top w:val="single" w:sz="8" w:space="0" w:color="auto"/>
              <w:left w:val="nil"/>
              <w:bottom w:val="nil"/>
              <w:right w:val="nil"/>
            </w:tcBorders>
            <w:shd w:val="clear" w:color="auto" w:fill="auto"/>
            <w:noWrap/>
            <w:vAlign w:val="center"/>
            <w:hideMark/>
          </w:tcPr>
          <w:p w14:paraId="2EBD7110" w14:textId="77777777" w:rsidR="00FE213A" w:rsidRPr="00FE213A" w:rsidRDefault="00FE213A" w:rsidP="00FE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-0,06%</w:t>
            </w:r>
          </w:p>
        </w:tc>
        <w:tc>
          <w:tcPr>
            <w:tcW w:w="871" w:type="dxa"/>
            <w:tcBorders>
              <w:top w:val="single" w:sz="8" w:space="0" w:color="auto"/>
              <w:left w:val="nil"/>
              <w:bottom w:val="nil"/>
              <w:right w:val="single" w:sz="4" w:space="0" w:color="auto"/>
            </w:tcBorders>
            <w:shd w:val="clear" w:color="auto" w:fill="auto"/>
            <w:noWrap/>
            <w:vAlign w:val="center"/>
            <w:hideMark/>
          </w:tcPr>
          <w:p w14:paraId="34A74D2D" w14:textId="77777777" w:rsidR="00FE213A" w:rsidRPr="00FE213A" w:rsidRDefault="00FE213A" w:rsidP="00FE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-0,17%</w:t>
            </w:r>
          </w:p>
        </w:tc>
        <w:tc>
          <w:tcPr>
            <w:tcW w:w="784" w:type="dxa"/>
            <w:tcBorders>
              <w:top w:val="single" w:sz="8" w:space="0" w:color="auto"/>
              <w:left w:val="nil"/>
              <w:bottom w:val="nil"/>
              <w:right w:val="nil"/>
            </w:tcBorders>
            <w:shd w:val="clear" w:color="auto" w:fill="auto"/>
            <w:noWrap/>
            <w:vAlign w:val="center"/>
            <w:hideMark/>
          </w:tcPr>
          <w:p w14:paraId="11489370" w14:textId="77777777" w:rsidR="00FE213A" w:rsidRPr="00FE213A" w:rsidRDefault="00FE213A" w:rsidP="00FE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75,3%</w:t>
            </w:r>
          </w:p>
        </w:tc>
        <w:tc>
          <w:tcPr>
            <w:tcW w:w="929" w:type="dxa"/>
            <w:tcBorders>
              <w:top w:val="single" w:sz="8" w:space="0" w:color="auto"/>
              <w:left w:val="nil"/>
              <w:bottom w:val="nil"/>
              <w:right w:val="nil"/>
            </w:tcBorders>
            <w:shd w:val="clear" w:color="auto" w:fill="auto"/>
            <w:noWrap/>
            <w:vAlign w:val="center"/>
            <w:hideMark/>
          </w:tcPr>
          <w:p w14:paraId="284CEC3B" w14:textId="77777777" w:rsidR="00FE213A" w:rsidRPr="00FE213A" w:rsidRDefault="00FE213A" w:rsidP="00FE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102,9%</w:t>
            </w:r>
          </w:p>
        </w:tc>
        <w:tc>
          <w:tcPr>
            <w:tcW w:w="1480" w:type="dxa"/>
            <w:tcBorders>
              <w:top w:val="nil"/>
              <w:left w:val="single" w:sz="4" w:space="0" w:color="auto"/>
              <w:bottom w:val="nil"/>
              <w:right w:val="nil"/>
            </w:tcBorders>
            <w:shd w:val="clear" w:color="auto" w:fill="auto"/>
            <w:noWrap/>
            <w:vAlign w:val="center"/>
            <w:hideMark/>
          </w:tcPr>
          <w:p w14:paraId="2A0F6448" w14:textId="77777777" w:rsidR="00FE213A" w:rsidRPr="00FE213A" w:rsidRDefault="00FE213A" w:rsidP="00FE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100,0%</w:t>
            </w:r>
          </w:p>
        </w:tc>
        <w:tc>
          <w:tcPr>
            <w:tcW w:w="1494" w:type="dxa"/>
            <w:tcBorders>
              <w:top w:val="nil"/>
              <w:left w:val="nil"/>
              <w:bottom w:val="nil"/>
              <w:right w:val="single" w:sz="8" w:space="0" w:color="auto"/>
            </w:tcBorders>
            <w:shd w:val="clear" w:color="auto" w:fill="auto"/>
            <w:noWrap/>
            <w:vAlign w:val="center"/>
            <w:hideMark/>
          </w:tcPr>
          <w:p w14:paraId="2B86F79F" w14:textId="77777777" w:rsidR="00FE213A" w:rsidRPr="00FE213A" w:rsidRDefault="00FE213A" w:rsidP="00FE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E213A">
              <w:rPr>
                <w:rFonts w:ascii="Arial" w:hAnsi="Arial" w:cs="Arial"/>
                <w:color w:val="000000"/>
                <w:sz w:val="18"/>
                <w:szCs w:val="18"/>
                <w:lang w:val="en-SE" w:eastAsia="en-SE"/>
              </w:rPr>
              <w:t>100,0%</w:t>
            </w:r>
          </w:p>
        </w:tc>
      </w:tr>
    </w:tbl>
    <w:p w14:paraId="1F6721DD" w14:textId="77777777" w:rsidR="00FE213A" w:rsidRDefault="00FE213A" w:rsidP="00E02F59">
      <w:pPr>
        <w:rPr>
          <w:lang w:val="en-CA"/>
        </w:rPr>
      </w:pPr>
    </w:p>
    <w:p w14:paraId="1EFDB576" w14:textId="2CF8C793" w:rsidR="00D513D1" w:rsidRDefault="00D513D1" w:rsidP="00E11923">
      <w:pPr>
        <w:pStyle w:val="Heading1"/>
        <w:rPr>
          <w:lang w:val="en-CA"/>
        </w:rPr>
      </w:pPr>
      <w:r>
        <w:rPr>
          <w:lang w:val="en-CA"/>
        </w:rPr>
        <w:t>Conclusions</w:t>
      </w:r>
    </w:p>
    <w:p w14:paraId="7B172581" w14:textId="7DCA8BB0" w:rsidR="00E02F59" w:rsidRPr="00E02F59" w:rsidRDefault="00D434E7" w:rsidP="00E02F59">
      <w:pPr>
        <w:rPr>
          <w:lang w:val="en-CA"/>
        </w:rPr>
      </w:pPr>
      <w:r>
        <w:rPr>
          <w:lang w:val="en-CA"/>
        </w:rPr>
        <w:t xml:space="preserve">It has been shown that hierarchical subblock based DMVR can provide a small objective benefit compared to ECM for CTC and a notable gain for higher QPs. </w:t>
      </w:r>
      <w:r w:rsidR="005802F6">
        <w:rPr>
          <w:lang w:val="en-CA"/>
        </w:rPr>
        <w:t>When used</w:t>
      </w:r>
      <w:r w:rsidR="00CA0292">
        <w:rPr>
          <w:lang w:val="en-CA"/>
        </w:rPr>
        <w:t>,</w:t>
      </w:r>
      <w:r w:rsidR="005802F6">
        <w:rPr>
          <w:lang w:val="en-CA"/>
        </w:rPr>
        <w:t xml:space="preserve"> t</w:t>
      </w:r>
      <w:r>
        <w:rPr>
          <w:lang w:val="en-CA"/>
        </w:rPr>
        <w:t>he proposal use</w:t>
      </w:r>
      <w:r w:rsidR="009C7477">
        <w:rPr>
          <w:lang w:val="en-CA"/>
        </w:rPr>
        <w:t>s</w:t>
      </w:r>
      <w:r>
        <w:rPr>
          <w:lang w:val="en-CA"/>
        </w:rPr>
        <w:t xml:space="preserve"> </w:t>
      </w:r>
      <w:r w:rsidR="00CA0292">
        <w:rPr>
          <w:lang w:val="en-CA"/>
        </w:rPr>
        <w:t>a smaller</w:t>
      </w:r>
      <w:r>
        <w:rPr>
          <w:lang w:val="en-CA"/>
        </w:rPr>
        <w:t xml:space="preserve"> number of integer searches per subblock</w:t>
      </w:r>
      <w:r w:rsidR="009C7477">
        <w:rPr>
          <w:lang w:val="en-CA"/>
        </w:rPr>
        <w:t xml:space="preserve"> than DMVR in ECM</w:t>
      </w:r>
      <w:r>
        <w:rPr>
          <w:lang w:val="en-CA"/>
        </w:rPr>
        <w:t xml:space="preserve">. </w:t>
      </w:r>
      <w:r w:rsidR="00E02F59">
        <w:rPr>
          <w:lang w:val="en-CA"/>
        </w:rPr>
        <w:t xml:space="preserve">It </w:t>
      </w:r>
      <w:r>
        <w:rPr>
          <w:lang w:val="en-CA"/>
        </w:rPr>
        <w:t>is</w:t>
      </w:r>
      <w:r w:rsidR="00E02F59">
        <w:rPr>
          <w:lang w:val="en-CA"/>
        </w:rPr>
        <w:t xml:space="preserve"> proposed to study</w:t>
      </w:r>
      <w:r w:rsidR="00261154">
        <w:rPr>
          <w:lang w:val="en-CA"/>
        </w:rPr>
        <w:t xml:space="preserve"> </w:t>
      </w:r>
      <w:r w:rsidR="00E02F59">
        <w:rPr>
          <w:lang w:val="en-CA"/>
        </w:rPr>
        <w:t xml:space="preserve">the </w:t>
      </w:r>
      <w:r w:rsidR="00FE213A">
        <w:rPr>
          <w:lang w:val="en-CA"/>
        </w:rPr>
        <w:t xml:space="preserve">hierarchical subblock based DMVR </w:t>
      </w:r>
      <w:r w:rsidR="00E02F59">
        <w:rPr>
          <w:lang w:val="en-CA"/>
        </w:rPr>
        <w:t>for</w:t>
      </w:r>
      <w:r w:rsidR="00FE213A">
        <w:rPr>
          <w:lang w:val="en-CA"/>
        </w:rPr>
        <w:t xml:space="preserve"> the next round of EEs</w:t>
      </w:r>
      <w:r w:rsidR="00E02F59">
        <w:rPr>
          <w:lang w:val="en-CA"/>
        </w:rPr>
        <w:t xml:space="preserve">. </w:t>
      </w:r>
    </w:p>
    <w:p w14:paraId="2B36589D" w14:textId="08A9DCF5" w:rsidR="00D513D1" w:rsidRDefault="00D513D1" w:rsidP="00E11923">
      <w:pPr>
        <w:pStyle w:val="Heading1"/>
        <w:rPr>
          <w:lang w:val="en-CA"/>
        </w:rPr>
      </w:pPr>
      <w:r>
        <w:rPr>
          <w:lang w:val="en-CA"/>
        </w:rPr>
        <w:t>References</w:t>
      </w:r>
    </w:p>
    <w:p w14:paraId="764B3E53" w14:textId="79F1FBF9" w:rsidR="00415F39" w:rsidRDefault="00E02F59" w:rsidP="00E02F59">
      <w:pPr>
        <w:rPr>
          <w:lang w:val="en-CA"/>
        </w:rPr>
      </w:pPr>
      <w:r>
        <w:rPr>
          <w:lang w:val="en-CA"/>
        </w:rPr>
        <w:t>[1]</w:t>
      </w:r>
      <w:r w:rsidR="00415F39">
        <w:rPr>
          <w:lang w:val="en-CA"/>
        </w:rPr>
        <w:t xml:space="preserve"> K. Andersson, C. Hollma</w:t>
      </w:r>
      <w:r w:rsidR="00154F64">
        <w:rPr>
          <w:lang w:val="en-CA"/>
        </w:rPr>
        <w:t>n</w:t>
      </w:r>
      <w:r w:rsidR="00415F39">
        <w:rPr>
          <w:lang w:val="en-CA"/>
        </w:rPr>
        <w:t>n, “</w:t>
      </w:r>
      <w:r w:rsidR="00415F39" w:rsidRPr="00415F39">
        <w:rPr>
          <w:lang w:val="en-CA"/>
        </w:rPr>
        <w:t>AHG12: Hierarchical Subblock based DMVR</w:t>
      </w:r>
      <w:r w:rsidR="00415F39">
        <w:rPr>
          <w:lang w:val="en-CA"/>
        </w:rPr>
        <w:t>”, JVE</w:t>
      </w:r>
      <w:r w:rsidR="007B64C2">
        <w:rPr>
          <w:lang w:val="en-CA"/>
        </w:rPr>
        <w:t>T</w:t>
      </w:r>
      <w:r w:rsidR="00415F39">
        <w:rPr>
          <w:lang w:val="en-CA"/>
        </w:rPr>
        <w:t>-AH0144, Rennes, France, April 2024.</w:t>
      </w:r>
    </w:p>
    <w:p w14:paraId="37586AAF" w14:textId="1FC563A2" w:rsidR="00E02F59" w:rsidRDefault="00205037" w:rsidP="00E02F59">
      <w:pPr>
        <w:rPr>
          <w:lang w:val="en-CA"/>
        </w:rPr>
      </w:pPr>
      <w:r>
        <w:rPr>
          <w:lang w:val="en-CA"/>
        </w:rPr>
        <w:t xml:space="preserve">[2] </w:t>
      </w:r>
      <w:r w:rsidR="00E02F59" w:rsidRPr="00814A6E">
        <w:rPr>
          <w:lang w:val="en-CA"/>
        </w:rPr>
        <w:t>M.</w:t>
      </w:r>
      <w:r w:rsidR="00FD1848">
        <w:rPr>
          <w:lang w:val="en-CA"/>
        </w:rPr>
        <w:t xml:space="preserve"> </w:t>
      </w:r>
      <w:proofErr w:type="spellStart"/>
      <w:r w:rsidR="00942B2B">
        <w:t>Karczewicz</w:t>
      </w:r>
      <w:proofErr w:type="spellEnd"/>
      <w:r w:rsidR="00E02F59" w:rsidRPr="00814A6E">
        <w:rPr>
          <w:lang w:val="en-CA"/>
        </w:rPr>
        <w:t>, Y. Yan, “Common Test Conditions and evaluation procedures for enhanced compression tool testing”, JVET-AF2017, Hannover, Germany, October 2023.</w:t>
      </w:r>
    </w:p>
    <w:p w14:paraId="124AC4EE" w14:textId="2A72BED9" w:rsidR="00E02F59" w:rsidRPr="00E02F59" w:rsidRDefault="00E02F59" w:rsidP="00E02F59">
      <w:pPr>
        <w:rPr>
          <w:lang w:val="en-CA"/>
        </w:rPr>
      </w:pPr>
      <w:r>
        <w:rPr>
          <w:lang w:val="en-CA"/>
        </w:rPr>
        <w:t>[</w:t>
      </w:r>
      <w:r w:rsidR="00205037">
        <w:rPr>
          <w:lang w:val="en-CA"/>
        </w:rPr>
        <w:t>3</w:t>
      </w:r>
      <w:r>
        <w:rPr>
          <w:lang w:val="en-CA"/>
        </w:rPr>
        <w:t xml:space="preserve">] </w:t>
      </w:r>
      <w:r w:rsidRPr="00AC25E4">
        <w:rPr>
          <w:lang w:val="en-CA"/>
        </w:rPr>
        <w:t>ECM-1</w:t>
      </w:r>
      <w:r>
        <w:rPr>
          <w:lang w:val="en-CA"/>
        </w:rPr>
        <w:t>3</w:t>
      </w:r>
      <w:r w:rsidRPr="00AC25E4">
        <w:rPr>
          <w:lang w:val="en-CA"/>
        </w:rPr>
        <w:t>.0, available at https://vcgit.hhi.fraunhofer.de/ecm/ECM/-/tags/ECM-1</w:t>
      </w:r>
      <w:r>
        <w:rPr>
          <w:lang w:val="en-CA"/>
        </w:rPr>
        <w:t>3</w:t>
      </w:r>
      <w:r w:rsidRPr="00AC25E4">
        <w:rPr>
          <w:lang w:val="en-CA"/>
        </w:rPr>
        <w:t>.0</w:t>
      </w:r>
    </w:p>
    <w:p w14:paraId="5F0CF8E4" w14:textId="46BBBC5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A22AFB0" w:rsidR="007F1F8B" w:rsidRPr="005B217D" w:rsidRDefault="00E02F59"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76B5E" w14:textId="77777777" w:rsidR="00137E28" w:rsidRDefault="00137E28">
      <w:r>
        <w:separator/>
      </w:r>
    </w:p>
  </w:endnote>
  <w:endnote w:type="continuationSeparator" w:id="0">
    <w:p w14:paraId="60A2DB27" w14:textId="77777777" w:rsidR="00137E28" w:rsidRDefault="00137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8C042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338A9">
      <w:rPr>
        <w:rStyle w:val="PageNumber"/>
        <w:noProof/>
      </w:rPr>
      <w:t>2024-07-04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CB4E9" w14:textId="77777777" w:rsidR="00137E28" w:rsidRDefault="00137E28">
      <w:r>
        <w:separator/>
      </w:r>
    </w:p>
  </w:footnote>
  <w:footnote w:type="continuationSeparator" w:id="0">
    <w:p w14:paraId="1BA313F8" w14:textId="77777777" w:rsidR="00137E28" w:rsidRDefault="00137E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B53CEF"/>
    <w:multiLevelType w:val="hybridMultilevel"/>
    <w:tmpl w:val="D2A0C180"/>
    <w:lvl w:ilvl="0" w:tplc="C1823CAA">
      <w:start w:val="1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603578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6537990">
    <w:abstractNumId w:val="10"/>
  </w:num>
  <w:num w:numId="3" w16cid:durableId="1311596379">
    <w:abstractNumId w:val="9"/>
  </w:num>
  <w:num w:numId="4" w16cid:durableId="362023543">
    <w:abstractNumId w:val="7"/>
  </w:num>
  <w:num w:numId="5" w16cid:durableId="1530335964">
    <w:abstractNumId w:val="8"/>
  </w:num>
  <w:num w:numId="6" w16cid:durableId="1276328775">
    <w:abstractNumId w:val="4"/>
  </w:num>
  <w:num w:numId="7" w16cid:durableId="298457214">
    <w:abstractNumId w:val="6"/>
  </w:num>
  <w:num w:numId="8" w16cid:durableId="6518851">
    <w:abstractNumId w:val="4"/>
  </w:num>
  <w:num w:numId="9" w16cid:durableId="900559012">
    <w:abstractNumId w:val="1"/>
  </w:num>
  <w:num w:numId="10" w16cid:durableId="1255092191">
    <w:abstractNumId w:val="3"/>
  </w:num>
  <w:num w:numId="11" w16cid:durableId="1199201251">
    <w:abstractNumId w:val="2"/>
  </w:num>
  <w:num w:numId="12" w16cid:durableId="18123618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261A"/>
    <w:rsid w:val="0007614F"/>
    <w:rsid w:val="00081398"/>
    <w:rsid w:val="000832F1"/>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06D4"/>
    <w:rsid w:val="00131F90"/>
    <w:rsid w:val="0013458C"/>
    <w:rsid w:val="0013526E"/>
    <w:rsid w:val="00137E28"/>
    <w:rsid w:val="00146152"/>
    <w:rsid w:val="00154F64"/>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037"/>
    <w:rsid w:val="002055A6"/>
    <w:rsid w:val="00206460"/>
    <w:rsid w:val="002069B4"/>
    <w:rsid w:val="00215DFC"/>
    <w:rsid w:val="002212DF"/>
    <w:rsid w:val="00222CD4"/>
    <w:rsid w:val="00225016"/>
    <w:rsid w:val="002253CA"/>
    <w:rsid w:val="002264A6"/>
    <w:rsid w:val="00227BA7"/>
    <w:rsid w:val="0023011C"/>
    <w:rsid w:val="002375C1"/>
    <w:rsid w:val="00247E1E"/>
    <w:rsid w:val="00261154"/>
    <w:rsid w:val="00263398"/>
    <w:rsid w:val="00263B99"/>
    <w:rsid w:val="002647D8"/>
    <w:rsid w:val="00266F06"/>
    <w:rsid w:val="00275BCF"/>
    <w:rsid w:val="00280613"/>
    <w:rsid w:val="00291E36"/>
    <w:rsid w:val="00292257"/>
    <w:rsid w:val="002959B3"/>
    <w:rsid w:val="002A54E0"/>
    <w:rsid w:val="002A7E0A"/>
    <w:rsid w:val="002B1595"/>
    <w:rsid w:val="002B191D"/>
    <w:rsid w:val="002B2E83"/>
    <w:rsid w:val="002D0AF6"/>
    <w:rsid w:val="002F0D32"/>
    <w:rsid w:val="002F164D"/>
    <w:rsid w:val="003021BC"/>
    <w:rsid w:val="00306206"/>
    <w:rsid w:val="00317D85"/>
    <w:rsid w:val="00327C56"/>
    <w:rsid w:val="003315A1"/>
    <w:rsid w:val="003373EC"/>
    <w:rsid w:val="00342FF4"/>
    <w:rsid w:val="00344E5A"/>
    <w:rsid w:val="00346148"/>
    <w:rsid w:val="003669EA"/>
    <w:rsid w:val="003706CC"/>
    <w:rsid w:val="00377710"/>
    <w:rsid w:val="00397BA1"/>
    <w:rsid w:val="003A25F5"/>
    <w:rsid w:val="003A2D8E"/>
    <w:rsid w:val="003A7CE6"/>
    <w:rsid w:val="003C20E4"/>
    <w:rsid w:val="003D2B7C"/>
    <w:rsid w:val="003D6342"/>
    <w:rsid w:val="003E6F90"/>
    <w:rsid w:val="003E73ED"/>
    <w:rsid w:val="003F5D0F"/>
    <w:rsid w:val="00411231"/>
    <w:rsid w:val="00414101"/>
    <w:rsid w:val="00415F39"/>
    <w:rsid w:val="00420E23"/>
    <w:rsid w:val="004219CF"/>
    <w:rsid w:val="004234F0"/>
    <w:rsid w:val="00427EEC"/>
    <w:rsid w:val="00433DDB"/>
    <w:rsid w:val="00435A29"/>
    <w:rsid w:val="00437619"/>
    <w:rsid w:val="00454FED"/>
    <w:rsid w:val="004642E1"/>
    <w:rsid w:val="00465A1E"/>
    <w:rsid w:val="0049445A"/>
    <w:rsid w:val="004957D9"/>
    <w:rsid w:val="004A2A63"/>
    <w:rsid w:val="004A4B2A"/>
    <w:rsid w:val="004B210C"/>
    <w:rsid w:val="004B6170"/>
    <w:rsid w:val="004C72BC"/>
    <w:rsid w:val="004D199B"/>
    <w:rsid w:val="004D405F"/>
    <w:rsid w:val="004E4F4F"/>
    <w:rsid w:val="004E6789"/>
    <w:rsid w:val="004F61E3"/>
    <w:rsid w:val="00502E10"/>
    <w:rsid w:val="0050354E"/>
    <w:rsid w:val="005053FD"/>
    <w:rsid w:val="0051015C"/>
    <w:rsid w:val="00516CF1"/>
    <w:rsid w:val="00531AE9"/>
    <w:rsid w:val="00536188"/>
    <w:rsid w:val="00544819"/>
    <w:rsid w:val="00550A66"/>
    <w:rsid w:val="00562B7A"/>
    <w:rsid w:val="00567EC7"/>
    <w:rsid w:val="00570013"/>
    <w:rsid w:val="005753EC"/>
    <w:rsid w:val="005801A2"/>
    <w:rsid w:val="005802F6"/>
    <w:rsid w:val="005952A5"/>
    <w:rsid w:val="005A33A1"/>
    <w:rsid w:val="005B217D"/>
    <w:rsid w:val="005B75CE"/>
    <w:rsid w:val="005C385F"/>
    <w:rsid w:val="005C6BAE"/>
    <w:rsid w:val="005C7634"/>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B492E"/>
    <w:rsid w:val="006C5D39"/>
    <w:rsid w:val="006C6F00"/>
    <w:rsid w:val="006D5884"/>
    <w:rsid w:val="006D6D9B"/>
    <w:rsid w:val="006E2810"/>
    <w:rsid w:val="006E5417"/>
    <w:rsid w:val="006F0794"/>
    <w:rsid w:val="006F2822"/>
    <w:rsid w:val="006F6E01"/>
    <w:rsid w:val="006F7528"/>
    <w:rsid w:val="007023DE"/>
    <w:rsid w:val="00712F60"/>
    <w:rsid w:val="00720E3B"/>
    <w:rsid w:val="00720E7F"/>
    <w:rsid w:val="00735925"/>
    <w:rsid w:val="0074393F"/>
    <w:rsid w:val="00745F6B"/>
    <w:rsid w:val="0075175B"/>
    <w:rsid w:val="0075585E"/>
    <w:rsid w:val="00770571"/>
    <w:rsid w:val="007768FF"/>
    <w:rsid w:val="00777075"/>
    <w:rsid w:val="007824D3"/>
    <w:rsid w:val="00796EE3"/>
    <w:rsid w:val="007A7D29"/>
    <w:rsid w:val="007B4AB8"/>
    <w:rsid w:val="007B64C2"/>
    <w:rsid w:val="007C081C"/>
    <w:rsid w:val="007D1181"/>
    <w:rsid w:val="007E01A3"/>
    <w:rsid w:val="007F1F8B"/>
    <w:rsid w:val="007F6205"/>
    <w:rsid w:val="007F67A1"/>
    <w:rsid w:val="00801A7B"/>
    <w:rsid w:val="00807145"/>
    <w:rsid w:val="00811C05"/>
    <w:rsid w:val="008206C8"/>
    <w:rsid w:val="008364A7"/>
    <w:rsid w:val="0086387C"/>
    <w:rsid w:val="00874A6C"/>
    <w:rsid w:val="00876C65"/>
    <w:rsid w:val="00882F72"/>
    <w:rsid w:val="00893DC4"/>
    <w:rsid w:val="008A147E"/>
    <w:rsid w:val="008A42F1"/>
    <w:rsid w:val="008A4B4C"/>
    <w:rsid w:val="008A7CD6"/>
    <w:rsid w:val="008C239F"/>
    <w:rsid w:val="008D4822"/>
    <w:rsid w:val="008E480C"/>
    <w:rsid w:val="00907757"/>
    <w:rsid w:val="009212B0"/>
    <w:rsid w:val="00921FA1"/>
    <w:rsid w:val="009234A5"/>
    <w:rsid w:val="00925CE2"/>
    <w:rsid w:val="00933453"/>
    <w:rsid w:val="009336F7"/>
    <w:rsid w:val="009338A9"/>
    <w:rsid w:val="0093636C"/>
    <w:rsid w:val="009374A7"/>
    <w:rsid w:val="00937F03"/>
    <w:rsid w:val="00942B2B"/>
    <w:rsid w:val="00955F6D"/>
    <w:rsid w:val="00977C16"/>
    <w:rsid w:val="00980F04"/>
    <w:rsid w:val="0098551D"/>
    <w:rsid w:val="00985DCB"/>
    <w:rsid w:val="0099518F"/>
    <w:rsid w:val="009A523D"/>
    <w:rsid w:val="009B02A1"/>
    <w:rsid w:val="009B3361"/>
    <w:rsid w:val="009B7F3F"/>
    <w:rsid w:val="009C7477"/>
    <w:rsid w:val="009D7CE6"/>
    <w:rsid w:val="009E448E"/>
    <w:rsid w:val="009F496B"/>
    <w:rsid w:val="00A01439"/>
    <w:rsid w:val="00A01890"/>
    <w:rsid w:val="00A02E61"/>
    <w:rsid w:val="00A05CFF"/>
    <w:rsid w:val="00A13048"/>
    <w:rsid w:val="00A17B2D"/>
    <w:rsid w:val="00A46843"/>
    <w:rsid w:val="00A52B0A"/>
    <w:rsid w:val="00A56B97"/>
    <w:rsid w:val="00A6093D"/>
    <w:rsid w:val="00A703CE"/>
    <w:rsid w:val="00A72017"/>
    <w:rsid w:val="00A75F84"/>
    <w:rsid w:val="00A767DC"/>
    <w:rsid w:val="00A76A6D"/>
    <w:rsid w:val="00A83253"/>
    <w:rsid w:val="00AA6E84"/>
    <w:rsid w:val="00AB1A1C"/>
    <w:rsid w:val="00AB4721"/>
    <w:rsid w:val="00AB7405"/>
    <w:rsid w:val="00AC354F"/>
    <w:rsid w:val="00AC3829"/>
    <w:rsid w:val="00AD05A8"/>
    <w:rsid w:val="00AE14AC"/>
    <w:rsid w:val="00AE341B"/>
    <w:rsid w:val="00AE4EA0"/>
    <w:rsid w:val="00AF51C5"/>
    <w:rsid w:val="00B01905"/>
    <w:rsid w:val="00B07CA7"/>
    <w:rsid w:val="00B1279A"/>
    <w:rsid w:val="00B3640F"/>
    <w:rsid w:val="00B4194A"/>
    <w:rsid w:val="00B419FC"/>
    <w:rsid w:val="00B437E8"/>
    <w:rsid w:val="00B51F2C"/>
    <w:rsid w:val="00B5222E"/>
    <w:rsid w:val="00B53179"/>
    <w:rsid w:val="00B532EA"/>
    <w:rsid w:val="00B57A23"/>
    <w:rsid w:val="00B600CD"/>
    <w:rsid w:val="00B61C96"/>
    <w:rsid w:val="00B73A2A"/>
    <w:rsid w:val="00B75A51"/>
    <w:rsid w:val="00B827C6"/>
    <w:rsid w:val="00B94B06"/>
    <w:rsid w:val="00B94C28"/>
    <w:rsid w:val="00BB24FF"/>
    <w:rsid w:val="00BC10BA"/>
    <w:rsid w:val="00BC5AFD"/>
    <w:rsid w:val="00C00DDE"/>
    <w:rsid w:val="00C04F43"/>
    <w:rsid w:val="00C05271"/>
    <w:rsid w:val="00C0609D"/>
    <w:rsid w:val="00C115AB"/>
    <w:rsid w:val="00C11670"/>
    <w:rsid w:val="00C25C1A"/>
    <w:rsid w:val="00C26CCB"/>
    <w:rsid w:val="00C30249"/>
    <w:rsid w:val="00C35F74"/>
    <w:rsid w:val="00C3723B"/>
    <w:rsid w:val="00C42466"/>
    <w:rsid w:val="00C606C9"/>
    <w:rsid w:val="00C6321F"/>
    <w:rsid w:val="00C716C3"/>
    <w:rsid w:val="00C80288"/>
    <w:rsid w:val="00C82489"/>
    <w:rsid w:val="00C836F0"/>
    <w:rsid w:val="00C84003"/>
    <w:rsid w:val="00C90650"/>
    <w:rsid w:val="00C97D78"/>
    <w:rsid w:val="00CA0292"/>
    <w:rsid w:val="00CC2AAE"/>
    <w:rsid w:val="00CC5A42"/>
    <w:rsid w:val="00CD0EAB"/>
    <w:rsid w:val="00CE5E02"/>
    <w:rsid w:val="00CF34DB"/>
    <w:rsid w:val="00CF3917"/>
    <w:rsid w:val="00CF558F"/>
    <w:rsid w:val="00CF7FDB"/>
    <w:rsid w:val="00D010C0"/>
    <w:rsid w:val="00D06B8B"/>
    <w:rsid w:val="00D073E2"/>
    <w:rsid w:val="00D1511D"/>
    <w:rsid w:val="00D1555A"/>
    <w:rsid w:val="00D178B8"/>
    <w:rsid w:val="00D312F7"/>
    <w:rsid w:val="00D434E7"/>
    <w:rsid w:val="00D446EC"/>
    <w:rsid w:val="00D513D1"/>
    <w:rsid w:val="00D51BF0"/>
    <w:rsid w:val="00D531DB"/>
    <w:rsid w:val="00D55942"/>
    <w:rsid w:val="00D61B3D"/>
    <w:rsid w:val="00D807BF"/>
    <w:rsid w:val="00D82FCC"/>
    <w:rsid w:val="00D86E28"/>
    <w:rsid w:val="00DA17FC"/>
    <w:rsid w:val="00DA7887"/>
    <w:rsid w:val="00DB2C26"/>
    <w:rsid w:val="00DB45C3"/>
    <w:rsid w:val="00DD02F4"/>
    <w:rsid w:val="00DD6622"/>
    <w:rsid w:val="00DE1C7C"/>
    <w:rsid w:val="00DE6B43"/>
    <w:rsid w:val="00E02F59"/>
    <w:rsid w:val="00E041C6"/>
    <w:rsid w:val="00E11923"/>
    <w:rsid w:val="00E207D8"/>
    <w:rsid w:val="00E262D4"/>
    <w:rsid w:val="00E36250"/>
    <w:rsid w:val="00E36841"/>
    <w:rsid w:val="00E4700C"/>
    <w:rsid w:val="00E47F2D"/>
    <w:rsid w:val="00E54511"/>
    <w:rsid w:val="00E60EDC"/>
    <w:rsid w:val="00E61DAC"/>
    <w:rsid w:val="00E72B80"/>
    <w:rsid w:val="00E75FE3"/>
    <w:rsid w:val="00E86C4C"/>
    <w:rsid w:val="00E907A3"/>
    <w:rsid w:val="00EA1181"/>
    <w:rsid w:val="00EA5AE0"/>
    <w:rsid w:val="00EB56E1"/>
    <w:rsid w:val="00EB7AB1"/>
    <w:rsid w:val="00EC32BD"/>
    <w:rsid w:val="00EC7FF8"/>
    <w:rsid w:val="00ED536F"/>
    <w:rsid w:val="00ED6660"/>
    <w:rsid w:val="00EE12C0"/>
    <w:rsid w:val="00EE7CD8"/>
    <w:rsid w:val="00EF37F6"/>
    <w:rsid w:val="00EF48CC"/>
    <w:rsid w:val="00F00801"/>
    <w:rsid w:val="00F2488D"/>
    <w:rsid w:val="00F42B19"/>
    <w:rsid w:val="00F601A0"/>
    <w:rsid w:val="00F712E9"/>
    <w:rsid w:val="00F73032"/>
    <w:rsid w:val="00F82AD3"/>
    <w:rsid w:val="00F848FC"/>
    <w:rsid w:val="00F906F6"/>
    <w:rsid w:val="00F9282A"/>
    <w:rsid w:val="00F96BAD"/>
    <w:rsid w:val="00FA139D"/>
    <w:rsid w:val="00FA1A29"/>
    <w:rsid w:val="00FA60F5"/>
    <w:rsid w:val="00FB0E84"/>
    <w:rsid w:val="00FC2405"/>
    <w:rsid w:val="00FD01C2"/>
    <w:rsid w:val="00FD1848"/>
    <w:rsid w:val="00FE213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312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813799">
      <w:bodyDiv w:val="1"/>
      <w:marLeft w:val="0"/>
      <w:marRight w:val="0"/>
      <w:marTop w:val="0"/>
      <w:marBottom w:val="0"/>
      <w:divBdr>
        <w:top w:val="none" w:sz="0" w:space="0" w:color="auto"/>
        <w:left w:val="none" w:sz="0" w:space="0" w:color="auto"/>
        <w:bottom w:val="none" w:sz="0" w:space="0" w:color="auto"/>
        <w:right w:val="none" w:sz="0" w:space="0" w:color="auto"/>
      </w:divBdr>
    </w:div>
    <w:div w:id="15996803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071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1020</Words>
  <Characters>5818</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Andersson R</cp:lastModifiedBy>
  <cp:revision>6</cp:revision>
  <cp:lastPrinted>1900-01-01T08:00:00Z</cp:lastPrinted>
  <dcterms:created xsi:type="dcterms:W3CDTF">2024-07-04T07:35:00Z</dcterms:created>
  <dcterms:modified xsi:type="dcterms:W3CDTF">2024-07-05T12:35:00Z</dcterms:modified>
</cp:coreProperties>
</file>