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75C93" w14:paraId="7E96CA4B" w14:textId="77777777" w:rsidTr="000962AC">
        <w:tc>
          <w:tcPr>
            <w:tcW w:w="6300" w:type="dxa"/>
          </w:tcPr>
          <w:p w14:paraId="18E03134" w14:textId="57BF9C51" w:rsidR="006C5D39" w:rsidRPr="00275C93" w:rsidRDefault="00EF37F6" w:rsidP="00C97D78">
            <w:pPr>
              <w:tabs>
                <w:tab w:val="left" w:pos="7200"/>
              </w:tabs>
              <w:spacing w:before="0"/>
              <w:rPr>
                <w:b/>
                <w:szCs w:val="22"/>
              </w:rPr>
            </w:pPr>
            <w:r w:rsidRPr="00275C93">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F3C2C9"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75C93">
              <w:rPr>
                <w:b/>
                <w:noProof/>
                <w:szCs w:val="22"/>
                <w:lang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75C93">
              <w:rPr>
                <w:b/>
                <w:noProof/>
                <w:szCs w:val="22"/>
                <w:lang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75C93">
              <w:rPr>
                <w:b/>
                <w:szCs w:val="22"/>
              </w:rPr>
              <w:t xml:space="preserve">Joint </w:t>
            </w:r>
            <w:r w:rsidR="006C5D39" w:rsidRPr="00275C93">
              <w:rPr>
                <w:b/>
                <w:szCs w:val="22"/>
              </w:rPr>
              <w:t xml:space="preserve">Video </w:t>
            </w:r>
            <w:r w:rsidR="00F712E9" w:rsidRPr="00275C93">
              <w:rPr>
                <w:b/>
                <w:szCs w:val="22"/>
              </w:rPr>
              <w:t>Experts</w:t>
            </w:r>
            <w:r w:rsidR="009D7CE6" w:rsidRPr="00275C93">
              <w:rPr>
                <w:b/>
                <w:szCs w:val="22"/>
              </w:rPr>
              <w:t xml:space="preserve"> Team</w:t>
            </w:r>
            <w:r w:rsidR="006C5D39" w:rsidRPr="00275C93">
              <w:rPr>
                <w:b/>
                <w:szCs w:val="22"/>
              </w:rPr>
              <w:t xml:space="preserve"> (</w:t>
            </w:r>
            <w:r w:rsidR="009D7CE6" w:rsidRPr="00275C93">
              <w:rPr>
                <w:b/>
                <w:szCs w:val="22"/>
              </w:rPr>
              <w:t>JVET</w:t>
            </w:r>
            <w:r w:rsidR="006C5D39" w:rsidRPr="00275C93">
              <w:rPr>
                <w:b/>
                <w:szCs w:val="22"/>
              </w:rPr>
              <w:t>)</w:t>
            </w:r>
          </w:p>
          <w:p w14:paraId="6BCC5973" w14:textId="0FCCD71D" w:rsidR="00E61DAC" w:rsidRPr="00275C93" w:rsidRDefault="00E54511" w:rsidP="00C97D78">
            <w:pPr>
              <w:tabs>
                <w:tab w:val="left" w:pos="7200"/>
              </w:tabs>
              <w:spacing w:before="0"/>
              <w:rPr>
                <w:b/>
                <w:szCs w:val="22"/>
              </w:rPr>
            </w:pPr>
            <w:r w:rsidRPr="00275C93">
              <w:rPr>
                <w:b/>
                <w:szCs w:val="22"/>
              </w:rPr>
              <w:t xml:space="preserve">of </w:t>
            </w:r>
            <w:r w:rsidR="007F1F8B" w:rsidRPr="00275C93">
              <w:rPr>
                <w:b/>
                <w:szCs w:val="22"/>
              </w:rPr>
              <w:t>ITU-T SG</w:t>
            </w:r>
            <w:r w:rsidR="005E1AC6" w:rsidRPr="00275C93">
              <w:rPr>
                <w:b/>
                <w:szCs w:val="22"/>
              </w:rPr>
              <w:t> </w:t>
            </w:r>
            <w:r w:rsidR="007F1F8B" w:rsidRPr="00275C93">
              <w:rPr>
                <w:b/>
                <w:szCs w:val="22"/>
              </w:rPr>
              <w:t>16 WP</w:t>
            </w:r>
            <w:r w:rsidR="005E1AC6" w:rsidRPr="00275C93">
              <w:rPr>
                <w:b/>
                <w:szCs w:val="22"/>
              </w:rPr>
              <w:t> </w:t>
            </w:r>
            <w:r w:rsidR="007F1F8B" w:rsidRPr="00275C93">
              <w:rPr>
                <w:b/>
                <w:szCs w:val="22"/>
              </w:rPr>
              <w:t>3 and ISO/IEC JTC</w:t>
            </w:r>
            <w:r w:rsidR="005E1AC6" w:rsidRPr="00275C93">
              <w:rPr>
                <w:b/>
                <w:szCs w:val="22"/>
              </w:rPr>
              <w:t> </w:t>
            </w:r>
            <w:r w:rsidR="007F1F8B" w:rsidRPr="00275C93">
              <w:rPr>
                <w:b/>
                <w:szCs w:val="22"/>
              </w:rPr>
              <w:t>1/SC</w:t>
            </w:r>
            <w:r w:rsidR="005E1AC6" w:rsidRPr="00275C93">
              <w:rPr>
                <w:b/>
                <w:szCs w:val="22"/>
              </w:rPr>
              <w:t> </w:t>
            </w:r>
            <w:r w:rsidR="007F1F8B" w:rsidRPr="00275C93">
              <w:rPr>
                <w:b/>
                <w:szCs w:val="22"/>
              </w:rPr>
              <w:t>29</w:t>
            </w:r>
          </w:p>
          <w:p w14:paraId="19908E82" w14:textId="2CA19CF2" w:rsidR="00E61DAC" w:rsidRPr="00275C93" w:rsidRDefault="00CA6C65" w:rsidP="00536188">
            <w:pPr>
              <w:tabs>
                <w:tab w:val="left" w:pos="7200"/>
              </w:tabs>
              <w:spacing w:before="0"/>
              <w:rPr>
                <w:b/>
                <w:szCs w:val="22"/>
              </w:rPr>
            </w:pPr>
            <w:proofErr w:type="gramStart"/>
            <w:r w:rsidRPr="00275C93">
              <w:t>3</w:t>
            </w:r>
            <w:r w:rsidR="00DB0028">
              <w:t>3</w:t>
            </w:r>
            <w:r w:rsidR="00D81499" w:rsidRPr="00275C93">
              <w:t>nd</w:t>
            </w:r>
            <w:proofErr w:type="gramEnd"/>
            <w:r w:rsidR="00084393" w:rsidRPr="00275C93">
              <w:t xml:space="preserve"> Meeting, </w:t>
            </w:r>
            <w:r w:rsidR="00DB0028">
              <w:t>teleconference,</w:t>
            </w:r>
            <w:r w:rsidRPr="00275C93">
              <w:t xml:space="preserve"> </w:t>
            </w:r>
            <w:r w:rsidR="00D81499" w:rsidRPr="00275C93">
              <w:t>1</w:t>
            </w:r>
            <w:r w:rsidR="00DB0028">
              <w:t>7</w:t>
            </w:r>
            <w:r w:rsidRPr="00275C93">
              <w:t>–</w:t>
            </w:r>
            <w:r w:rsidR="00D81499" w:rsidRPr="00275C93">
              <w:t>2</w:t>
            </w:r>
            <w:r w:rsidR="00DB0028">
              <w:t>6</w:t>
            </w:r>
            <w:r w:rsidRPr="00275C93">
              <w:t xml:space="preserve"> </w:t>
            </w:r>
            <w:r w:rsidR="00DB0028">
              <w:t>January</w:t>
            </w:r>
            <w:r w:rsidRPr="00275C93">
              <w:t xml:space="preserve"> 202</w:t>
            </w:r>
            <w:r w:rsidR="00DB0028">
              <w:t>4</w:t>
            </w:r>
          </w:p>
        </w:tc>
        <w:tc>
          <w:tcPr>
            <w:tcW w:w="3060" w:type="dxa"/>
          </w:tcPr>
          <w:p w14:paraId="59B7E346" w14:textId="4ABA983D" w:rsidR="008A4B4C" w:rsidRPr="00275C93" w:rsidRDefault="00E61DAC" w:rsidP="00536188">
            <w:pPr>
              <w:tabs>
                <w:tab w:val="left" w:pos="7200"/>
              </w:tabs>
              <w:rPr>
                <w:u w:val="single"/>
              </w:rPr>
            </w:pPr>
            <w:r w:rsidRPr="00275C93">
              <w:t>Document</w:t>
            </w:r>
            <w:r w:rsidR="006C5D39" w:rsidRPr="00275C93">
              <w:t xml:space="preserve">: </w:t>
            </w:r>
            <w:r w:rsidR="00110616" w:rsidRPr="00110616">
              <w:t>JVET-</w:t>
            </w:r>
            <w:r w:rsidR="00AE078F">
              <w:t>AG</w:t>
            </w:r>
            <w:r w:rsidR="000340D8">
              <w:t>0151</w:t>
            </w:r>
            <w:r w:rsidR="0048560F">
              <w:t>-v1</w:t>
            </w:r>
          </w:p>
        </w:tc>
      </w:tr>
    </w:tbl>
    <w:p w14:paraId="79DBA597" w14:textId="77777777" w:rsidR="00E61DAC" w:rsidRPr="00275C93" w:rsidRDefault="00E61DAC" w:rsidP="00531AE9">
      <w:pPr>
        <w:spacing w:before="0"/>
      </w:pPr>
    </w:p>
    <w:tbl>
      <w:tblPr>
        <w:tblW w:w="9498" w:type="dxa"/>
        <w:tblLayout w:type="fixed"/>
        <w:tblLook w:val="0000" w:firstRow="0" w:lastRow="0" w:firstColumn="0" w:lastColumn="0" w:noHBand="0" w:noVBand="0"/>
      </w:tblPr>
      <w:tblGrid>
        <w:gridCol w:w="1458"/>
        <w:gridCol w:w="3787"/>
        <w:gridCol w:w="851"/>
        <w:gridCol w:w="3402"/>
      </w:tblGrid>
      <w:tr w:rsidR="00E61DAC" w:rsidRPr="00275C93" w14:paraId="188D2B50" w14:textId="77777777" w:rsidTr="4A6B0BBC">
        <w:tc>
          <w:tcPr>
            <w:tcW w:w="1458" w:type="dxa"/>
          </w:tcPr>
          <w:p w14:paraId="7A6C85EB" w14:textId="77777777" w:rsidR="00E61DAC" w:rsidRPr="00275C93" w:rsidRDefault="00E61DAC">
            <w:pPr>
              <w:spacing w:before="60" w:after="60"/>
              <w:rPr>
                <w:i/>
                <w:szCs w:val="22"/>
              </w:rPr>
            </w:pPr>
            <w:r w:rsidRPr="00275C93">
              <w:rPr>
                <w:i/>
                <w:szCs w:val="22"/>
              </w:rPr>
              <w:t>Title:</w:t>
            </w:r>
          </w:p>
        </w:tc>
        <w:tc>
          <w:tcPr>
            <w:tcW w:w="8040" w:type="dxa"/>
            <w:gridSpan w:val="3"/>
          </w:tcPr>
          <w:p w14:paraId="305A7026" w14:textId="318AFA57" w:rsidR="00E61DAC" w:rsidRPr="00275C93" w:rsidRDefault="00AE078F" w:rsidP="009D7CE6">
            <w:pPr>
              <w:spacing w:before="60" w:after="60"/>
              <w:rPr>
                <w:b/>
                <w:szCs w:val="22"/>
              </w:rPr>
            </w:pPr>
            <w:r>
              <w:rPr>
                <w:b/>
                <w:szCs w:val="22"/>
              </w:rPr>
              <w:t>EE2-1.2</w:t>
            </w:r>
            <w:r w:rsidR="001157C2" w:rsidRPr="00275C93">
              <w:rPr>
                <w:b/>
                <w:szCs w:val="22"/>
              </w:rPr>
              <w:t xml:space="preserve">: </w:t>
            </w:r>
            <w:r w:rsidR="003E7E48">
              <w:rPr>
                <w:b/>
                <w:szCs w:val="22"/>
              </w:rPr>
              <w:t>IntraTMP with Merge Candidates</w:t>
            </w:r>
          </w:p>
        </w:tc>
      </w:tr>
      <w:tr w:rsidR="00E61DAC" w:rsidRPr="00275C93" w14:paraId="3D8B01B2" w14:textId="77777777" w:rsidTr="4A6B0BBC">
        <w:tc>
          <w:tcPr>
            <w:tcW w:w="1458" w:type="dxa"/>
          </w:tcPr>
          <w:p w14:paraId="7AC356CE" w14:textId="77777777" w:rsidR="00E61DAC" w:rsidRPr="00275C93" w:rsidRDefault="00E61DAC">
            <w:pPr>
              <w:spacing w:before="60" w:after="60"/>
              <w:rPr>
                <w:i/>
                <w:szCs w:val="22"/>
              </w:rPr>
            </w:pPr>
            <w:r w:rsidRPr="00275C93">
              <w:rPr>
                <w:i/>
                <w:szCs w:val="22"/>
              </w:rPr>
              <w:t>Status:</w:t>
            </w:r>
          </w:p>
        </w:tc>
        <w:tc>
          <w:tcPr>
            <w:tcW w:w="8040" w:type="dxa"/>
            <w:gridSpan w:val="3"/>
          </w:tcPr>
          <w:p w14:paraId="32E60643" w14:textId="4424031F" w:rsidR="00E61DAC" w:rsidRPr="00275C93" w:rsidRDefault="00ED1C8D" w:rsidP="009D7CE6">
            <w:pPr>
              <w:spacing w:before="60" w:after="60"/>
              <w:rPr>
                <w:szCs w:val="22"/>
              </w:rPr>
            </w:pPr>
            <w:r w:rsidRPr="00275C93">
              <w:t>Input document to JVET</w:t>
            </w:r>
          </w:p>
        </w:tc>
      </w:tr>
      <w:tr w:rsidR="00E61DAC" w:rsidRPr="00275C93" w14:paraId="7E6D99E3" w14:textId="77777777" w:rsidTr="4A6B0BBC">
        <w:tc>
          <w:tcPr>
            <w:tcW w:w="1458" w:type="dxa"/>
          </w:tcPr>
          <w:p w14:paraId="18CCDCD6" w14:textId="77777777" w:rsidR="00E61DAC" w:rsidRPr="00275C93" w:rsidRDefault="00E61DAC">
            <w:pPr>
              <w:spacing w:before="60" w:after="60"/>
              <w:rPr>
                <w:i/>
                <w:szCs w:val="22"/>
              </w:rPr>
            </w:pPr>
            <w:r w:rsidRPr="00275C93">
              <w:rPr>
                <w:i/>
                <w:szCs w:val="22"/>
              </w:rPr>
              <w:t>Purpose:</w:t>
            </w:r>
          </w:p>
        </w:tc>
        <w:tc>
          <w:tcPr>
            <w:tcW w:w="8040" w:type="dxa"/>
            <w:gridSpan w:val="3"/>
          </w:tcPr>
          <w:p w14:paraId="0640C90D" w14:textId="3BD913C8" w:rsidR="00E61DAC" w:rsidRPr="00275C93" w:rsidRDefault="00B77255" w:rsidP="005E1AC6">
            <w:pPr>
              <w:spacing w:before="60" w:after="60"/>
              <w:rPr>
                <w:szCs w:val="22"/>
              </w:rPr>
            </w:pPr>
            <w:r w:rsidRPr="00275C93">
              <w:rPr>
                <w:szCs w:val="22"/>
              </w:rPr>
              <w:t>Proposal</w:t>
            </w:r>
          </w:p>
        </w:tc>
      </w:tr>
      <w:tr w:rsidR="00E61DAC" w:rsidRPr="00275C93" w14:paraId="714CD808" w14:textId="77777777" w:rsidTr="4A6B0BBC">
        <w:tc>
          <w:tcPr>
            <w:tcW w:w="1458" w:type="dxa"/>
          </w:tcPr>
          <w:p w14:paraId="4DB59313" w14:textId="77777777" w:rsidR="00E61DAC" w:rsidRPr="00275C93" w:rsidRDefault="00E61DAC">
            <w:pPr>
              <w:spacing w:before="60" w:after="60"/>
              <w:rPr>
                <w:i/>
                <w:szCs w:val="22"/>
              </w:rPr>
            </w:pPr>
            <w:r w:rsidRPr="00275C93">
              <w:rPr>
                <w:i/>
                <w:szCs w:val="22"/>
              </w:rPr>
              <w:t>Author(s) or</w:t>
            </w:r>
            <w:r w:rsidRPr="00275C93">
              <w:rPr>
                <w:i/>
                <w:szCs w:val="22"/>
              </w:rPr>
              <w:br/>
              <w:t>Contact(s):</w:t>
            </w:r>
          </w:p>
        </w:tc>
        <w:tc>
          <w:tcPr>
            <w:tcW w:w="3787" w:type="dxa"/>
          </w:tcPr>
          <w:p w14:paraId="4933106A" w14:textId="77777777" w:rsidR="00670913" w:rsidRPr="005711B1" w:rsidRDefault="004806DC" w:rsidP="004806DC">
            <w:pPr>
              <w:spacing w:before="60" w:after="60"/>
              <w:rPr>
                <w:lang w:val="fr-FR"/>
              </w:rPr>
            </w:pPr>
            <w:r w:rsidRPr="005711B1">
              <w:rPr>
                <w:lang w:val="fr-FR"/>
              </w:rPr>
              <w:t>K</w:t>
            </w:r>
            <w:r w:rsidR="00670913" w:rsidRPr="005711B1">
              <w:rPr>
                <w:lang w:val="fr-FR"/>
              </w:rPr>
              <w:t>.</w:t>
            </w:r>
            <w:r w:rsidRPr="005711B1">
              <w:rPr>
                <w:lang w:val="fr-FR"/>
              </w:rPr>
              <w:t xml:space="preserve"> Naser, </w:t>
            </w:r>
          </w:p>
          <w:p w14:paraId="5C2C896A" w14:textId="77777777" w:rsidR="00670913" w:rsidRPr="005711B1" w:rsidRDefault="00670913" w:rsidP="00670913">
            <w:pPr>
              <w:spacing w:before="60" w:after="60"/>
              <w:rPr>
                <w:szCs w:val="22"/>
                <w:lang w:val="fr-FR"/>
              </w:rPr>
            </w:pPr>
            <w:r w:rsidRPr="005711B1">
              <w:rPr>
                <w:szCs w:val="22"/>
                <w:lang w:val="fr-FR"/>
              </w:rPr>
              <w:t>M. Radosavljević,</w:t>
            </w:r>
          </w:p>
          <w:p w14:paraId="24260957" w14:textId="77777777" w:rsidR="006244F8" w:rsidRPr="005831CD" w:rsidRDefault="006244F8" w:rsidP="006244F8">
            <w:pPr>
              <w:spacing w:before="60" w:after="60"/>
              <w:rPr>
                <w:lang w:val="fr-FR"/>
              </w:rPr>
            </w:pPr>
            <w:r w:rsidRPr="005831CD">
              <w:rPr>
                <w:lang w:val="fr-FR"/>
              </w:rPr>
              <w:t>F. Le Léannec</w:t>
            </w:r>
            <w:r>
              <w:rPr>
                <w:lang w:val="fr-FR"/>
              </w:rPr>
              <w:t>,</w:t>
            </w:r>
          </w:p>
          <w:p w14:paraId="10A82E1D" w14:textId="77777777" w:rsidR="00670913" w:rsidRPr="00DF0BE0" w:rsidRDefault="00670913" w:rsidP="004806DC">
            <w:pPr>
              <w:spacing w:before="60" w:after="60"/>
              <w:rPr>
                <w:lang w:val="fr-FR"/>
              </w:rPr>
            </w:pPr>
            <w:r w:rsidRPr="00DF0BE0">
              <w:rPr>
                <w:lang w:val="fr-FR"/>
              </w:rPr>
              <w:t>Y. Chen,</w:t>
            </w:r>
          </w:p>
          <w:p w14:paraId="39A99B2C" w14:textId="53690D1D" w:rsidR="00670913" w:rsidRPr="00DF0BE0" w:rsidRDefault="00670913" w:rsidP="004806DC">
            <w:pPr>
              <w:spacing w:before="60" w:after="60"/>
              <w:rPr>
                <w:lang w:val="fr-FR"/>
              </w:rPr>
            </w:pPr>
            <w:r w:rsidRPr="00DF0BE0">
              <w:rPr>
                <w:lang w:val="fr-FR"/>
              </w:rPr>
              <w:t>T</w:t>
            </w:r>
            <w:r w:rsidR="4DCDFAF7" w:rsidRPr="00DF0BE0">
              <w:rPr>
                <w:lang w:val="fr-FR"/>
              </w:rPr>
              <w:t>.</w:t>
            </w:r>
            <w:r w:rsidRPr="00DF0BE0">
              <w:rPr>
                <w:lang w:val="fr-FR"/>
              </w:rPr>
              <w:t xml:space="preserve"> Dumas,</w:t>
            </w:r>
          </w:p>
          <w:p w14:paraId="49D81240" w14:textId="1D7F9FA9" w:rsidR="00DB0028" w:rsidRPr="00DF0BE0" w:rsidRDefault="00670913" w:rsidP="004806DC">
            <w:pPr>
              <w:spacing w:before="60" w:after="60"/>
              <w:rPr>
                <w:lang w:val="fr-FR"/>
              </w:rPr>
            </w:pPr>
            <w:r w:rsidRPr="00DF0BE0">
              <w:rPr>
                <w:lang w:val="fr-FR"/>
              </w:rPr>
              <w:t>T. Poirier</w:t>
            </w:r>
          </w:p>
        </w:tc>
        <w:tc>
          <w:tcPr>
            <w:tcW w:w="851" w:type="dxa"/>
          </w:tcPr>
          <w:p w14:paraId="0140ECA2" w14:textId="322C06AE" w:rsidR="00E61DAC" w:rsidRPr="00275C93" w:rsidRDefault="00E61DAC">
            <w:pPr>
              <w:spacing w:before="60" w:after="60"/>
              <w:rPr>
                <w:szCs w:val="22"/>
              </w:rPr>
            </w:pPr>
            <w:r w:rsidRPr="00275C93">
              <w:rPr>
                <w:szCs w:val="22"/>
              </w:rPr>
              <w:t>Email:</w:t>
            </w:r>
          </w:p>
        </w:tc>
        <w:tc>
          <w:tcPr>
            <w:tcW w:w="3402" w:type="dxa"/>
          </w:tcPr>
          <w:p w14:paraId="313C0D5D" w14:textId="67BDFA73" w:rsidR="00E57239" w:rsidRPr="00275C93" w:rsidRDefault="00EC2BD6" w:rsidP="00E57239">
            <w:pPr>
              <w:spacing w:before="60" w:after="60"/>
              <w:rPr>
                <w:rStyle w:val="Hyperlink"/>
              </w:rPr>
            </w:pPr>
            <w:hyperlink r:id="rId13" w:history="1">
              <w:r w:rsidR="00E57239" w:rsidRPr="00275C93">
                <w:rPr>
                  <w:rStyle w:val="Hyperlink"/>
                </w:rPr>
                <w:t>karam.naser@interdigital.com</w:t>
              </w:r>
            </w:hyperlink>
          </w:p>
          <w:p w14:paraId="32C2ABFD" w14:textId="1A993BD0" w:rsidR="00E61DAC" w:rsidRPr="00275C93" w:rsidRDefault="00E61DAC" w:rsidP="006A5692">
            <w:pPr>
              <w:spacing w:before="60" w:after="60"/>
              <w:rPr>
                <w:szCs w:val="22"/>
              </w:rPr>
            </w:pPr>
          </w:p>
        </w:tc>
      </w:tr>
      <w:tr w:rsidR="00E61DAC" w:rsidRPr="00275C93" w14:paraId="49AFAA61" w14:textId="77777777" w:rsidTr="4A6B0BBC">
        <w:tc>
          <w:tcPr>
            <w:tcW w:w="1458" w:type="dxa"/>
          </w:tcPr>
          <w:p w14:paraId="2C08AF6B" w14:textId="77777777" w:rsidR="00E61DAC" w:rsidRPr="00275C93" w:rsidRDefault="00E61DAC">
            <w:pPr>
              <w:spacing w:before="60" w:after="60"/>
              <w:rPr>
                <w:i/>
                <w:szCs w:val="22"/>
              </w:rPr>
            </w:pPr>
            <w:r w:rsidRPr="00275C93">
              <w:rPr>
                <w:i/>
                <w:szCs w:val="22"/>
              </w:rPr>
              <w:t>Source:</w:t>
            </w:r>
          </w:p>
        </w:tc>
        <w:tc>
          <w:tcPr>
            <w:tcW w:w="8040" w:type="dxa"/>
            <w:gridSpan w:val="3"/>
          </w:tcPr>
          <w:p w14:paraId="643E6B85" w14:textId="7E1D5DA6" w:rsidR="00E61DAC" w:rsidRPr="00275C93" w:rsidRDefault="00806D09">
            <w:pPr>
              <w:spacing w:before="60" w:after="60"/>
              <w:rPr>
                <w:szCs w:val="22"/>
              </w:rPr>
            </w:pPr>
            <w:proofErr w:type="spellStart"/>
            <w:r w:rsidRPr="00275C93">
              <w:rPr>
                <w:szCs w:val="22"/>
              </w:rPr>
              <w:t>InterDigital</w:t>
            </w:r>
            <w:proofErr w:type="spellEnd"/>
          </w:p>
        </w:tc>
      </w:tr>
    </w:tbl>
    <w:p w14:paraId="732815A4" w14:textId="77777777" w:rsidR="00E61DAC" w:rsidRPr="00275C93" w:rsidRDefault="00E61DAC">
      <w:pPr>
        <w:tabs>
          <w:tab w:val="right" w:pos="9360"/>
        </w:tabs>
        <w:spacing w:before="120" w:after="240"/>
        <w:jc w:val="center"/>
        <w:rPr>
          <w:szCs w:val="22"/>
        </w:rPr>
      </w:pPr>
      <w:r w:rsidRPr="00275C93">
        <w:rPr>
          <w:szCs w:val="22"/>
          <w:u w:val="single"/>
        </w:rPr>
        <w:t>_____________________________</w:t>
      </w:r>
    </w:p>
    <w:p w14:paraId="63D31C94" w14:textId="77777777" w:rsidR="00275BCF" w:rsidRDefault="00275BCF" w:rsidP="009234A5">
      <w:pPr>
        <w:pStyle w:val="Heading1"/>
        <w:numPr>
          <w:ilvl w:val="0"/>
          <w:numId w:val="0"/>
        </w:numPr>
        <w:ind w:left="432" w:hanging="432"/>
      </w:pPr>
      <w:r w:rsidRPr="00275C93">
        <w:t>Abstract</w:t>
      </w:r>
    </w:p>
    <w:p w14:paraId="4BC24FC6" w14:textId="768367A6" w:rsidR="00A04690" w:rsidRDefault="0050470F" w:rsidP="0050470F">
      <w:pPr>
        <w:rPr>
          <w:szCs w:val="22"/>
        </w:rPr>
      </w:pPr>
      <w:r>
        <w:rPr>
          <w:lang w:val="en-CA"/>
        </w:rPr>
        <w:t xml:space="preserve">This contribution </w:t>
      </w:r>
      <w:r w:rsidR="00A04690">
        <w:rPr>
          <w:lang w:val="en-CA"/>
        </w:rPr>
        <w:t>reports</w:t>
      </w:r>
      <w:r>
        <w:rPr>
          <w:lang w:val="en-CA"/>
        </w:rPr>
        <w:t xml:space="preserve"> the results for EE2 Test 1.2 proposed in JVET-AE0137. </w:t>
      </w:r>
      <w:r w:rsidR="00A04690" w:rsidRPr="00A04690">
        <w:rPr>
          <w:lang w:val="en-CA"/>
        </w:rPr>
        <w:t>The method proposes to expand the list of candidates for IntraTMP with additional</w:t>
      </w:r>
      <w:r w:rsidR="006230AE">
        <w:t xml:space="preserve"> merge candidate block vectors.</w:t>
      </w:r>
      <w:r w:rsidR="00BB3964">
        <w:t xml:space="preserve"> Merge candidate block vectors (</w:t>
      </w:r>
      <w:proofErr w:type="gramStart"/>
      <w:r w:rsidR="00D767CC">
        <w:t>similar to</w:t>
      </w:r>
      <w:proofErr w:type="gramEnd"/>
      <w:r w:rsidR="00D767CC">
        <w:t xml:space="preserve"> IBC merge</w:t>
      </w:r>
      <w:r w:rsidR="00BB3964">
        <w:t xml:space="preserve">) are </w:t>
      </w:r>
      <w:r w:rsidR="0040456C">
        <w:rPr>
          <w:szCs w:val="22"/>
        </w:rPr>
        <w:t>acquired</w:t>
      </w:r>
      <w:r w:rsidR="00BB3964">
        <w:rPr>
          <w:szCs w:val="22"/>
        </w:rPr>
        <w:t xml:space="preserve"> from the neighboring PUs</w:t>
      </w:r>
      <w:r w:rsidR="00EB6C07">
        <w:rPr>
          <w:szCs w:val="22"/>
        </w:rPr>
        <w:t xml:space="preserve"> and are tested in the </w:t>
      </w:r>
      <w:r w:rsidR="007C67A6">
        <w:t>IntraTMP</w:t>
      </w:r>
      <w:r w:rsidR="007C67A6">
        <w:rPr>
          <w:szCs w:val="22"/>
        </w:rPr>
        <w:t xml:space="preserve"> search process</w:t>
      </w:r>
      <w:r w:rsidR="00BB3964">
        <w:rPr>
          <w:szCs w:val="22"/>
        </w:rPr>
        <w:t>.</w:t>
      </w:r>
      <w:r w:rsidR="00EB6C07">
        <w:rPr>
          <w:szCs w:val="22"/>
        </w:rPr>
        <w:t xml:space="preserve"> </w:t>
      </w:r>
      <w:r w:rsidR="003F5013">
        <w:rPr>
          <w:szCs w:val="22"/>
        </w:rPr>
        <w:t xml:space="preserve">They are </w:t>
      </w:r>
      <w:r w:rsidR="00DB4B64">
        <w:rPr>
          <w:szCs w:val="22"/>
        </w:rPr>
        <w:t xml:space="preserve">put in competition with other IntraTMP candidates </w:t>
      </w:r>
      <w:r w:rsidR="00E719BA">
        <w:rPr>
          <w:szCs w:val="22"/>
        </w:rPr>
        <w:t>They</w:t>
      </w:r>
      <w:r w:rsidR="00A04690" w:rsidRPr="00A04690">
        <w:rPr>
          <w:szCs w:val="22"/>
        </w:rPr>
        <w:t xml:space="preserve"> are ranked together with </w:t>
      </w:r>
      <w:r w:rsidR="00E719BA">
        <w:rPr>
          <w:szCs w:val="22"/>
        </w:rPr>
        <w:t xml:space="preserve">usual Intra TMP </w:t>
      </w:r>
      <w:proofErr w:type="gramStart"/>
      <w:r w:rsidR="00A04690" w:rsidRPr="00A04690">
        <w:rPr>
          <w:szCs w:val="22"/>
        </w:rPr>
        <w:t xml:space="preserve">candidates, </w:t>
      </w:r>
      <w:r w:rsidR="00E719BA">
        <w:rPr>
          <w:szCs w:val="22"/>
        </w:rPr>
        <w:t>before</w:t>
      </w:r>
      <w:proofErr w:type="gramEnd"/>
      <w:r w:rsidR="00E719BA">
        <w:rPr>
          <w:szCs w:val="22"/>
        </w:rPr>
        <w:t xml:space="preserve"> the BV</w:t>
      </w:r>
      <w:r w:rsidR="00A04690" w:rsidRPr="00A04690">
        <w:rPr>
          <w:szCs w:val="22"/>
        </w:rPr>
        <w:t xml:space="preserve"> refinement phase.</w:t>
      </w:r>
    </w:p>
    <w:p w14:paraId="2C68D2E5" w14:textId="3E4A8408" w:rsidR="0050470F" w:rsidRDefault="0050470F" w:rsidP="0050470F">
      <w:pPr>
        <w:rPr>
          <w:lang w:val="en-CA"/>
        </w:rPr>
      </w:pPr>
      <w:r>
        <w:rPr>
          <w:lang w:val="en-CA"/>
        </w:rPr>
        <w:t xml:space="preserve">The impact on coding efficiency and runtimes of the test over ECM-11.0 are </w:t>
      </w:r>
      <w:r w:rsidR="004F7911">
        <w:rPr>
          <w:lang w:val="en-CA"/>
        </w:rPr>
        <w:t xml:space="preserve">summarized </w:t>
      </w:r>
      <w:r w:rsidR="000F2915">
        <w:rPr>
          <w:lang w:val="en-CA"/>
        </w:rPr>
        <w:t>below {</w:t>
      </w:r>
      <w:r>
        <w:rPr>
          <w:lang w:val="en-CA"/>
        </w:rPr>
        <w:t>Y, U, V, EncT, DecT}</w:t>
      </w:r>
      <w:r w:rsidR="004F7911">
        <w:rPr>
          <w:lang w:val="en-CA"/>
        </w:rPr>
        <w:t>.</w:t>
      </w:r>
    </w:p>
    <w:p w14:paraId="1A020F07" w14:textId="027FAA1F" w:rsidR="004F7911" w:rsidRPr="0040456C" w:rsidRDefault="004F7911" w:rsidP="0050470F">
      <w:pPr>
        <w:rPr>
          <w:lang w:val="fr-FR"/>
        </w:rPr>
      </w:pPr>
      <w:r w:rsidRPr="0040456C">
        <w:rPr>
          <w:b/>
          <w:bCs/>
          <w:lang w:val="fr-FR"/>
        </w:rPr>
        <w:t>Test 1.2:</w:t>
      </w:r>
      <w:r w:rsidRPr="0040456C">
        <w:rPr>
          <w:lang w:val="fr-FR"/>
        </w:rPr>
        <w:t xml:space="preserve"> </w:t>
      </w:r>
    </w:p>
    <w:p w14:paraId="706A43B2" w14:textId="6FD6ADEB" w:rsidR="00E21F74" w:rsidRPr="0040456C" w:rsidRDefault="006A5692" w:rsidP="00740EAE">
      <w:pPr>
        <w:rPr>
          <w:lang w:val="fr-FR"/>
        </w:rPr>
      </w:pPr>
      <w:r w:rsidRPr="0040456C">
        <w:rPr>
          <w:lang w:val="fr-FR"/>
        </w:rPr>
        <w:t>AI</w:t>
      </w:r>
      <w:r w:rsidR="005D2DE8" w:rsidRPr="0040456C">
        <w:rPr>
          <w:lang w:val="fr-FR"/>
        </w:rPr>
        <w:t>-CTC</w:t>
      </w:r>
      <w:r w:rsidRPr="0040456C">
        <w:rPr>
          <w:lang w:val="fr-FR"/>
        </w:rPr>
        <w:t>:</w:t>
      </w:r>
      <w:r w:rsidR="00740EAE" w:rsidRPr="0040456C">
        <w:rPr>
          <w:lang w:val="fr-FR"/>
        </w:rPr>
        <w:t xml:space="preserve"> </w:t>
      </w:r>
      <w:r w:rsidR="005D2DE8" w:rsidRPr="0040456C">
        <w:rPr>
          <w:lang w:val="fr-FR"/>
        </w:rPr>
        <w:t>-0.07%</w:t>
      </w:r>
      <w:r w:rsidR="0040456C" w:rsidRPr="0040456C">
        <w:rPr>
          <w:lang w:val="fr-FR"/>
        </w:rPr>
        <w:t xml:space="preserve"> </w:t>
      </w:r>
      <w:r w:rsidR="005D2DE8" w:rsidRPr="0040456C">
        <w:rPr>
          <w:lang w:val="fr-FR"/>
        </w:rPr>
        <w:t>-0.04%</w:t>
      </w:r>
      <w:r w:rsidR="0040456C" w:rsidRPr="0040456C">
        <w:rPr>
          <w:lang w:val="fr-FR"/>
        </w:rPr>
        <w:t xml:space="preserve"> </w:t>
      </w:r>
      <w:r w:rsidR="005D2DE8" w:rsidRPr="0040456C">
        <w:rPr>
          <w:lang w:val="fr-FR"/>
        </w:rPr>
        <w:t>-0.05%</w:t>
      </w:r>
      <w:r w:rsidR="0040456C" w:rsidRPr="0040456C">
        <w:rPr>
          <w:lang w:val="fr-FR"/>
        </w:rPr>
        <w:t xml:space="preserve"> </w:t>
      </w:r>
      <w:r w:rsidR="005D2DE8" w:rsidRPr="0040456C">
        <w:rPr>
          <w:lang w:val="fr-FR"/>
        </w:rPr>
        <w:t>99.0%</w:t>
      </w:r>
      <w:r w:rsidR="005D2DE8" w:rsidRPr="0040456C">
        <w:rPr>
          <w:lang w:val="fr-FR"/>
        </w:rPr>
        <w:tab/>
        <w:t>100.3%</w:t>
      </w:r>
      <w:r w:rsidR="005D2DE8" w:rsidRPr="0040456C">
        <w:rPr>
          <w:lang w:val="fr-FR"/>
        </w:rPr>
        <w:tab/>
      </w:r>
    </w:p>
    <w:p w14:paraId="0AFC481A" w14:textId="7A861915" w:rsidR="0050470F" w:rsidRPr="0040456C" w:rsidRDefault="0050470F" w:rsidP="00740EAE">
      <w:pPr>
        <w:rPr>
          <w:lang w:val="fr-FR"/>
        </w:rPr>
      </w:pPr>
      <w:r w:rsidRPr="0040456C">
        <w:rPr>
          <w:highlight w:val="yellow"/>
          <w:lang w:val="fr-FR"/>
        </w:rPr>
        <w:t>RA</w:t>
      </w:r>
      <w:r w:rsidR="005D2DE8" w:rsidRPr="0040456C">
        <w:rPr>
          <w:highlight w:val="yellow"/>
          <w:lang w:val="fr-FR"/>
        </w:rPr>
        <w:t>-CTC</w:t>
      </w:r>
      <w:r w:rsidRPr="0040456C">
        <w:rPr>
          <w:highlight w:val="yellow"/>
          <w:lang w:val="fr-FR"/>
        </w:rPr>
        <w:t>:</w:t>
      </w:r>
    </w:p>
    <w:p w14:paraId="7D2AC1F0" w14:textId="1E88801F" w:rsidR="00745F6B" w:rsidRDefault="00745F6B" w:rsidP="00E11923">
      <w:pPr>
        <w:pStyle w:val="Heading1"/>
      </w:pPr>
      <w:r w:rsidRPr="00275C93">
        <w:t>Introduction</w:t>
      </w:r>
    </w:p>
    <w:p w14:paraId="778C18EF" w14:textId="7FBC8F57" w:rsidR="00EB6C07" w:rsidRPr="00A64486" w:rsidRDefault="00733FE3" w:rsidP="00EB6C07">
      <w:pPr>
        <w:rPr>
          <w:lang w:val="en-CA"/>
        </w:rPr>
      </w:pPr>
      <w:r>
        <w:rPr>
          <w:lang w:val="en-CA"/>
        </w:rPr>
        <w:t>IntraTMP mode</w:t>
      </w:r>
      <w:r w:rsidR="008B6977">
        <w:rPr>
          <w:lang w:val="en-CA"/>
        </w:rPr>
        <w:t xml:space="preserve"> search area consists of 6 regions</w:t>
      </w:r>
      <w:r w:rsidR="008B6977">
        <w:rPr>
          <w:lang w:val="en-CA" w:eastAsia="zh-CN"/>
        </w:rPr>
        <w:t xml:space="preserve"> R4, R5, R6, R1, R2, and R3 (see </w:t>
      </w:r>
      <w:r w:rsidR="008B6977">
        <w:rPr>
          <w:lang w:val="en-CA" w:eastAsia="zh-CN"/>
        </w:rPr>
        <w:fldChar w:fldCharType="begin"/>
      </w:r>
      <w:r w:rsidR="008B6977">
        <w:rPr>
          <w:lang w:val="en-CA" w:eastAsia="zh-CN"/>
        </w:rPr>
        <w:instrText xml:space="preserve"> REF _Ref155694946 \h </w:instrText>
      </w:r>
      <w:r w:rsidR="008B6977">
        <w:rPr>
          <w:lang w:val="en-CA" w:eastAsia="zh-CN"/>
        </w:rPr>
      </w:r>
      <w:r w:rsidR="008B6977">
        <w:rPr>
          <w:lang w:val="en-CA" w:eastAsia="zh-CN"/>
        </w:rPr>
        <w:fldChar w:fldCharType="separate"/>
      </w:r>
      <w:r w:rsidR="008B6977">
        <w:t xml:space="preserve">Figure </w:t>
      </w:r>
      <w:r w:rsidR="008B6977">
        <w:rPr>
          <w:noProof/>
        </w:rPr>
        <w:t>1</w:t>
      </w:r>
      <w:r w:rsidR="008B6977">
        <w:rPr>
          <w:lang w:val="en-CA" w:eastAsia="zh-CN"/>
        </w:rPr>
        <w:fldChar w:fldCharType="end"/>
      </w:r>
      <w:r w:rsidR="008B6977">
        <w:rPr>
          <w:lang w:val="en-CA" w:eastAsia="zh-CN"/>
        </w:rPr>
        <w:t>).</w:t>
      </w:r>
      <w:r w:rsidR="008B6977">
        <w:rPr>
          <w:lang w:val="en-CA"/>
        </w:rPr>
        <w:t xml:space="preserve"> </w:t>
      </w:r>
      <w:r w:rsidR="00A64486">
        <w:rPr>
          <w:lang w:val="en-CA" w:eastAsia="zh-CN"/>
        </w:rPr>
        <w:t>To build the candidate list, a</w:t>
      </w:r>
      <w:r w:rsidR="00A64486">
        <w:rPr>
          <w:lang w:val="en-CA"/>
        </w:rPr>
        <w:t xml:space="preserve"> s</w:t>
      </w:r>
      <w:r w:rsidR="00EB6C07">
        <w:rPr>
          <w:lang w:val="en-CA"/>
        </w:rPr>
        <w:t>parse search is utilized first</w:t>
      </w:r>
      <w:r w:rsidR="00115E2E">
        <w:rPr>
          <w:lang w:val="en-CA"/>
        </w:rPr>
        <w:t xml:space="preserve"> in which </w:t>
      </w:r>
      <w:r w:rsidR="00115E2E">
        <w:t>search region is subsampled by a factor of</w:t>
      </w:r>
      <w:r w:rsidR="00EA4089">
        <w:t xml:space="preserve"> 3</w:t>
      </w:r>
      <w:r w:rsidR="00115E2E">
        <w:t xml:space="preserve">. Sparse candidates are ranked </w:t>
      </w:r>
      <w:r w:rsidR="00A64486" w:rsidRPr="00B5650E">
        <w:rPr>
          <w:lang w:val="en-CA"/>
        </w:rPr>
        <w:t xml:space="preserve">in ascending order </w:t>
      </w:r>
      <w:r w:rsidR="00115E2E">
        <w:t>based on their template cost, and</w:t>
      </w:r>
      <w:r w:rsidR="00215AC0">
        <w:t xml:space="preserve"> top</w:t>
      </w:r>
      <w:r w:rsidR="00115E2E">
        <w:t xml:space="preserve"> 30 candidates are </w:t>
      </w:r>
      <w:r w:rsidR="00E3086C">
        <w:t>held</w:t>
      </w:r>
      <w:r w:rsidR="00115E2E">
        <w:t xml:space="preserve"> </w:t>
      </w:r>
      <w:r w:rsidR="00E3086C">
        <w:t>for</w:t>
      </w:r>
      <w:r w:rsidR="00115E2E">
        <w:t xml:space="preserve"> the second stage.</w:t>
      </w:r>
      <w:r w:rsidR="00DB0028">
        <w:rPr>
          <w:lang w:val="en-CA"/>
        </w:rPr>
        <w:t xml:space="preserve"> </w:t>
      </w:r>
      <w:r w:rsidR="00115E2E">
        <w:rPr>
          <w:lang w:val="en-CA"/>
        </w:rPr>
        <w:t>In the second stage</w:t>
      </w:r>
      <w:r w:rsidR="00A64486">
        <w:rPr>
          <w:lang w:val="en-CA"/>
        </w:rPr>
        <w:t>,</w:t>
      </w:r>
      <w:r w:rsidR="00115E2E">
        <w:rPr>
          <w:lang w:val="en-CA"/>
        </w:rPr>
        <w:t xml:space="preserve"> </w:t>
      </w:r>
      <w:r w:rsidR="00115E2E">
        <w:t xml:space="preserve">refinement process is </w:t>
      </w:r>
      <w:r w:rsidR="00E3086C" w:rsidRPr="00E3086C">
        <w:t>carried out</w:t>
      </w:r>
      <w:r w:rsidR="00115E2E">
        <w:t xml:space="preserve">. The refinement is </w:t>
      </w:r>
      <w:r w:rsidR="00E3086C">
        <w:t xml:space="preserve">performed </w:t>
      </w:r>
      <w:r w:rsidR="00EA0D6A">
        <w:t>using</w:t>
      </w:r>
      <w:r w:rsidR="00115E2E">
        <w:t xml:space="preserve"> a second template matching search around each of the</w:t>
      </w:r>
      <w:r w:rsidR="00EE4192">
        <w:t xml:space="preserve"> top</w:t>
      </w:r>
      <w:r w:rsidR="00115E2E">
        <w:t xml:space="preserve"> 30 candidates. </w:t>
      </w:r>
      <w:r w:rsidR="006D20B3">
        <w:t>A</w:t>
      </w:r>
      <w:r w:rsidR="008B6977">
        <w:rPr>
          <w:lang w:val="en-CA"/>
        </w:rPr>
        <w:t xml:space="preserve"> candidate list of up to 19 template matching block vectors </w:t>
      </w:r>
      <w:r w:rsidR="006D20B3">
        <w:rPr>
          <w:lang w:val="en-CA"/>
        </w:rPr>
        <w:t>is obtained</w:t>
      </w:r>
      <w:r w:rsidR="00EE4741">
        <w:rPr>
          <w:lang w:val="en-CA"/>
        </w:rPr>
        <w:t xml:space="preserve"> at the end</w:t>
      </w:r>
      <w:r w:rsidR="006D20B3">
        <w:rPr>
          <w:lang w:val="en-CA"/>
        </w:rPr>
        <w:t>. They</w:t>
      </w:r>
      <w:r w:rsidR="008B6977">
        <w:rPr>
          <w:lang w:val="en-CA"/>
        </w:rPr>
        <w:t xml:space="preserve"> are ranked in ascending order according </w:t>
      </w:r>
      <w:r w:rsidR="00064AFD">
        <w:rPr>
          <w:lang w:val="en-CA"/>
        </w:rPr>
        <w:t xml:space="preserve">to </w:t>
      </w:r>
      <w:r w:rsidR="00A64486">
        <w:rPr>
          <w:lang w:val="en-CA"/>
        </w:rPr>
        <w:t>their</w:t>
      </w:r>
      <w:r w:rsidR="008B6977">
        <w:rPr>
          <w:lang w:val="en-CA"/>
        </w:rPr>
        <w:t xml:space="preserve"> template cost.</w:t>
      </w:r>
      <w:r w:rsidR="00EB6C07" w:rsidRPr="00EB6C07">
        <w:t xml:space="preserve"> </w:t>
      </w:r>
      <w:r w:rsidR="00162888">
        <w:t>Finally</w:t>
      </w:r>
      <w:r w:rsidR="002F6E8E">
        <w:t>,</w:t>
      </w:r>
      <w:r w:rsidR="00A64486">
        <w:t xml:space="preserve"> a</w:t>
      </w:r>
      <w:r w:rsidR="00A64486">
        <w:rPr>
          <w:lang w:val="en-CA"/>
        </w:rPr>
        <w:t xml:space="preserve">n index is signaled in the bit-stream to indicate which </w:t>
      </w:r>
      <w:r w:rsidR="00EE4192" w:rsidRPr="00EE4192">
        <w:rPr>
          <w:lang w:val="en-CA"/>
        </w:rPr>
        <w:t xml:space="preserve">of the 19 BV candidates is </w:t>
      </w:r>
      <w:proofErr w:type="gramStart"/>
      <w:r w:rsidR="00EE4192" w:rsidRPr="00EE4192">
        <w:rPr>
          <w:lang w:val="en-CA"/>
        </w:rPr>
        <w:t>actually being</w:t>
      </w:r>
      <w:proofErr w:type="gramEnd"/>
      <w:r w:rsidR="00EE4192" w:rsidRPr="00EE4192">
        <w:rPr>
          <w:lang w:val="en-CA"/>
        </w:rPr>
        <w:t xml:space="preserve"> used for the current block.</w:t>
      </w:r>
    </w:p>
    <w:p w14:paraId="6FCB2C08" w14:textId="54A5826F" w:rsidR="008B6977" w:rsidRPr="00EB6C07" w:rsidRDefault="008B6977" w:rsidP="00E21F74"/>
    <w:p w14:paraId="20498AE9" w14:textId="77777777" w:rsidR="008B6977" w:rsidRDefault="008B6977" w:rsidP="00E21F74">
      <w:pPr>
        <w:rPr>
          <w:lang w:val="en-CA"/>
        </w:rPr>
      </w:pPr>
    </w:p>
    <w:p w14:paraId="29797F87" w14:textId="77777777" w:rsidR="008B6977" w:rsidRDefault="008B6977" w:rsidP="00E21F74">
      <w:pPr>
        <w:rPr>
          <w:lang w:val="en-CA"/>
        </w:rPr>
      </w:pPr>
    </w:p>
    <w:p w14:paraId="65DA93AB" w14:textId="77777777" w:rsidR="008B6977" w:rsidRDefault="008B6977" w:rsidP="00632166">
      <w:pPr>
        <w:keepNext/>
        <w:jc w:val="center"/>
      </w:pPr>
      <w:r>
        <w:rPr>
          <w:noProof/>
          <w:lang w:eastAsia="zh-CN"/>
        </w:rPr>
        <w:lastRenderedPageBreak/>
        <w:drawing>
          <wp:inline distT="0" distB="0" distL="0" distR="0" wp14:anchorId="51C0EF99" wp14:editId="1F522FC4">
            <wp:extent cx="3182116" cy="2133600"/>
            <wp:effectExtent l="0" t="0" r="0" b="0"/>
            <wp:docPr id="485892693" name="Picture 485892693"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892693" name="Picture 485892693" descr="A diagram of a diagram&#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82116" cy="2133600"/>
                    </a:xfrm>
                    <a:prstGeom prst="rect">
                      <a:avLst/>
                    </a:prstGeom>
                    <a:noFill/>
                    <a:ln>
                      <a:noFill/>
                    </a:ln>
                  </pic:spPr>
                </pic:pic>
              </a:graphicData>
            </a:graphic>
          </wp:inline>
        </w:drawing>
      </w:r>
    </w:p>
    <w:p w14:paraId="42240DBD" w14:textId="2E61FEA1" w:rsidR="006230AE" w:rsidRPr="002825D4" w:rsidRDefault="008B6977" w:rsidP="00632166">
      <w:pPr>
        <w:pStyle w:val="Caption"/>
        <w:jc w:val="center"/>
        <w:rPr>
          <w:lang w:val="en-CA"/>
        </w:rPr>
      </w:pPr>
      <w:bookmarkStart w:id="0" w:name="_Ref155694946"/>
      <w:r>
        <w:t xml:space="preserve">Figure </w:t>
      </w:r>
      <w:r>
        <w:fldChar w:fldCharType="begin"/>
      </w:r>
      <w:r>
        <w:instrText>SEQ Figure \* ARABIC</w:instrText>
      </w:r>
      <w:r>
        <w:fldChar w:fldCharType="separate"/>
      </w:r>
      <w:r>
        <w:rPr>
          <w:noProof/>
        </w:rPr>
        <w:t>1</w:t>
      </w:r>
      <w:r>
        <w:fldChar w:fldCharType="end"/>
      </w:r>
      <w:bookmarkEnd w:id="0"/>
      <w:r>
        <w:t>: IntraTMP search regions.</w:t>
      </w:r>
    </w:p>
    <w:p w14:paraId="009F69CD" w14:textId="77777777" w:rsidR="00BB3964" w:rsidRDefault="00E5550A" w:rsidP="00BB3964">
      <w:pPr>
        <w:pStyle w:val="Heading1"/>
      </w:pPr>
      <w:r w:rsidRPr="00275C93">
        <w:t>Propos</w:t>
      </w:r>
      <w:r w:rsidR="00BB3964">
        <w:t>ed method</w:t>
      </w:r>
    </w:p>
    <w:p w14:paraId="543F6526" w14:textId="7E62C853" w:rsidR="00CC6645" w:rsidRDefault="00012806" w:rsidP="00CC6645">
      <w:r>
        <w:rPr>
          <w:lang w:val="en-CA"/>
        </w:rPr>
        <w:t xml:space="preserve">IntraTMP </w:t>
      </w:r>
      <w:r w:rsidR="00CC6645">
        <w:rPr>
          <w:lang w:val="en-CA"/>
        </w:rPr>
        <w:t xml:space="preserve">template matching </w:t>
      </w:r>
      <w:r w:rsidR="00CC6645" w:rsidRPr="02261E0F">
        <w:rPr>
          <w:lang w:val="en-CA"/>
        </w:rPr>
        <w:t>search does not take into consideration block vector information</w:t>
      </w:r>
      <w:r w:rsidR="00CC6645">
        <w:rPr>
          <w:lang w:val="en-CA"/>
        </w:rPr>
        <w:t xml:space="preserve"> of </w:t>
      </w:r>
      <w:r w:rsidR="00CC6645" w:rsidRPr="02261E0F">
        <w:rPr>
          <w:lang w:val="en-CA"/>
        </w:rPr>
        <w:t>the neighboring PUs.</w:t>
      </w:r>
      <w:r w:rsidR="00CC6645">
        <w:rPr>
          <w:lang w:val="en-CA"/>
        </w:rPr>
        <w:t xml:space="preserve"> It is proposed to </w:t>
      </w:r>
      <w:r w:rsidR="008C319F">
        <w:rPr>
          <w:lang w:val="en-CA"/>
        </w:rPr>
        <w:t>enrich</w:t>
      </w:r>
      <w:r w:rsidR="00CC6645">
        <w:rPr>
          <w:lang w:val="en-CA"/>
        </w:rPr>
        <w:t xml:space="preserve"> the </w:t>
      </w:r>
      <w:r>
        <w:rPr>
          <w:lang w:val="en-CA"/>
        </w:rPr>
        <w:t xml:space="preserve">IntraTMP </w:t>
      </w:r>
      <w:r w:rsidR="00CC6645">
        <w:rPr>
          <w:lang w:val="en-CA"/>
        </w:rPr>
        <w:t xml:space="preserve">search with new candidates, </w:t>
      </w:r>
      <w:r w:rsidR="00215F4A">
        <w:rPr>
          <w:lang w:val="en-CA"/>
        </w:rPr>
        <w:t>consisting</w:t>
      </w:r>
      <w:r w:rsidR="00BB1919">
        <w:rPr>
          <w:lang w:val="en-CA"/>
        </w:rPr>
        <w:t xml:space="preserve"> of </w:t>
      </w:r>
      <w:r w:rsidR="00CC6645">
        <w:rPr>
          <w:lang w:val="en-CA"/>
        </w:rPr>
        <w:t xml:space="preserve">block vectors </w:t>
      </w:r>
      <w:r w:rsidR="00025E1C">
        <w:rPr>
          <w:lang w:val="en-CA"/>
        </w:rPr>
        <w:t xml:space="preserve">from </w:t>
      </w:r>
      <w:r w:rsidR="00CC6645">
        <w:rPr>
          <w:lang w:val="en-CA"/>
        </w:rPr>
        <w:t xml:space="preserve"> neighboring PUs coded </w:t>
      </w:r>
      <w:r w:rsidR="00E66A1B">
        <w:rPr>
          <w:lang w:val="en-CA"/>
        </w:rPr>
        <w:t>in</w:t>
      </w:r>
      <w:r w:rsidR="00CC6645">
        <w:rPr>
          <w:lang w:val="en-CA"/>
        </w:rPr>
        <w:t xml:space="preserve"> IBC or </w:t>
      </w:r>
      <w:r>
        <w:rPr>
          <w:lang w:val="en-CA"/>
        </w:rPr>
        <w:t>IntraTMP</w:t>
      </w:r>
      <w:r w:rsidR="00043FEA">
        <w:rPr>
          <w:lang w:val="en-CA"/>
        </w:rPr>
        <w:t xml:space="preserve"> mode</w:t>
      </w:r>
      <w:r w:rsidR="00CC6645" w:rsidRPr="00012806">
        <w:rPr>
          <w:lang w:val="en-CA"/>
        </w:rPr>
        <w:t xml:space="preserve">. These new candidates are called </w:t>
      </w:r>
      <w:r>
        <w:rPr>
          <w:lang w:val="en-CA"/>
        </w:rPr>
        <w:t>IntraTMP</w:t>
      </w:r>
      <w:r w:rsidRPr="00012806">
        <w:rPr>
          <w:lang w:val="en-CA"/>
        </w:rPr>
        <w:t xml:space="preserve"> </w:t>
      </w:r>
      <w:r w:rsidR="00CC6645" w:rsidRPr="00012806">
        <w:rPr>
          <w:lang w:val="en-CA"/>
        </w:rPr>
        <w:t>merge candidates.</w:t>
      </w:r>
      <w:r w:rsidR="00CC6645">
        <w:rPr>
          <w:lang w:val="en-CA"/>
        </w:rPr>
        <w:t xml:space="preserve"> The purpose is to improve </w:t>
      </w:r>
      <w:r>
        <w:rPr>
          <w:lang w:val="en-CA"/>
        </w:rPr>
        <w:t xml:space="preserve">IntraTMP </w:t>
      </w:r>
      <w:r w:rsidR="00CC6645">
        <w:rPr>
          <w:lang w:val="en-CA"/>
        </w:rPr>
        <w:t xml:space="preserve">by further including probable candidates during the </w:t>
      </w:r>
      <w:r>
        <w:rPr>
          <w:lang w:val="en-CA"/>
        </w:rPr>
        <w:t xml:space="preserve">IntraTMP </w:t>
      </w:r>
      <w:r w:rsidR="00CC6645">
        <w:rPr>
          <w:lang w:val="en-CA"/>
        </w:rPr>
        <w:t>search process. Previously</w:t>
      </w:r>
      <w:r w:rsidR="00CC6645">
        <w:t xml:space="preserve">, the readily available block vectors from neighboring blocks </w:t>
      </w:r>
      <w:r w:rsidR="0010330C">
        <w:t xml:space="preserve">were </w:t>
      </w:r>
      <w:r w:rsidR="00CC6645">
        <w:t xml:space="preserve">not explored in </w:t>
      </w:r>
      <w:r w:rsidR="0069213B">
        <w:rPr>
          <w:lang w:val="en-CA"/>
        </w:rPr>
        <w:t xml:space="preserve">IntraTMP </w:t>
      </w:r>
      <w:r w:rsidR="00CC6645">
        <w:t xml:space="preserve">mode despite being more correlated with the properties of the current block. </w:t>
      </w:r>
    </w:p>
    <w:p w14:paraId="50AB091F" w14:textId="625BBE89" w:rsidR="00CC6645" w:rsidRDefault="00CC6645" w:rsidP="00CC6645">
      <w:r>
        <w:t xml:space="preserve">With respect to the usual </w:t>
      </w:r>
      <w:r w:rsidR="00012806">
        <w:rPr>
          <w:lang w:val="en-CA"/>
        </w:rPr>
        <w:t>IntraTMP</w:t>
      </w:r>
      <w:r w:rsidR="00012806">
        <w:t xml:space="preserve"> </w:t>
      </w:r>
      <w:r>
        <w:t xml:space="preserve">mode, this means that not only BV coming from </w:t>
      </w:r>
      <w:r w:rsidR="00012806">
        <w:rPr>
          <w:lang w:val="en-CA"/>
        </w:rPr>
        <w:t>IntraTMP</w:t>
      </w:r>
      <w:r w:rsidR="00012806">
        <w:t xml:space="preserve"> </w:t>
      </w:r>
      <w:r>
        <w:t>sparse search and refinement</w:t>
      </w:r>
      <w:r w:rsidR="00012806">
        <w:t xml:space="preserve"> search</w:t>
      </w:r>
      <w:r>
        <w:t xml:space="preserve"> may be tested, but also BVs coming from outside typical </w:t>
      </w:r>
      <w:r w:rsidR="00012806">
        <w:rPr>
          <w:lang w:val="en-CA"/>
        </w:rPr>
        <w:t>IntraTMP</w:t>
      </w:r>
      <w:r w:rsidR="00012806">
        <w:t xml:space="preserve"> </w:t>
      </w:r>
      <w:r>
        <w:t xml:space="preserve">search range depicted in </w:t>
      </w:r>
      <w:r>
        <w:fldChar w:fldCharType="begin"/>
      </w:r>
      <w:r>
        <w:instrText xml:space="preserve"> REF _Ref75447395 \h </w:instrText>
      </w:r>
      <w:r>
        <w:fldChar w:fldCharType="separate"/>
      </w:r>
      <w:r>
        <w:t xml:space="preserve">Figure </w:t>
      </w:r>
      <w:r>
        <w:rPr>
          <w:noProof/>
        </w:rPr>
        <w:t>1</w:t>
      </w:r>
      <w:r>
        <w:fldChar w:fldCharType="end"/>
      </w:r>
      <w:r>
        <w:t>.</w:t>
      </w:r>
    </w:p>
    <w:p w14:paraId="36842AC6" w14:textId="2F93006B" w:rsidR="00FC60A5" w:rsidRPr="00012806" w:rsidRDefault="00FC60A5" w:rsidP="00FC60A5">
      <w:pPr>
        <w:rPr>
          <w:lang w:val="en-CA"/>
        </w:rPr>
      </w:pPr>
      <w:r>
        <w:rPr>
          <w:lang w:val="en-CA"/>
        </w:rPr>
        <w:t>Note, during IBC merge mode</w:t>
      </w:r>
      <w:r w:rsidRPr="02261E0F">
        <w:rPr>
          <w:lang w:val="en-CA"/>
        </w:rPr>
        <w:t xml:space="preserve">, the </w:t>
      </w:r>
      <w:r w:rsidR="00012806">
        <w:rPr>
          <w:lang w:val="en-CA"/>
        </w:rPr>
        <w:t>IntraTMP</w:t>
      </w:r>
      <w:r w:rsidR="00012806" w:rsidRPr="02261E0F">
        <w:rPr>
          <w:lang w:val="en-CA"/>
        </w:rPr>
        <w:t xml:space="preserve"> </w:t>
      </w:r>
      <w:r w:rsidRPr="02261E0F">
        <w:rPr>
          <w:lang w:val="en-CA"/>
        </w:rPr>
        <w:t>block vectors are used as IBC merge candidate</w:t>
      </w:r>
      <w:r>
        <w:rPr>
          <w:lang w:val="en-CA"/>
        </w:rPr>
        <w:t>s</w:t>
      </w:r>
      <w:r w:rsidRPr="02261E0F">
        <w:rPr>
          <w:lang w:val="en-CA"/>
        </w:rPr>
        <w:t xml:space="preserve">, but not the other way around. </w:t>
      </w:r>
      <w:r w:rsidRPr="00012806">
        <w:rPr>
          <w:lang w:val="en-CA"/>
        </w:rPr>
        <w:t xml:space="preserve">This is a limitation of </w:t>
      </w:r>
      <w:r w:rsidR="00012806">
        <w:rPr>
          <w:lang w:val="en-CA"/>
        </w:rPr>
        <w:t>IntraTMP</w:t>
      </w:r>
      <w:r w:rsidR="00012806" w:rsidRPr="00012806">
        <w:rPr>
          <w:lang w:val="en-CA"/>
        </w:rPr>
        <w:t xml:space="preserve"> </w:t>
      </w:r>
      <w:r w:rsidRPr="00012806">
        <w:rPr>
          <w:lang w:val="en-CA"/>
        </w:rPr>
        <w:t>process.</w:t>
      </w:r>
    </w:p>
    <w:p w14:paraId="493AE562" w14:textId="30EC7415" w:rsidR="00FC60A5" w:rsidRDefault="00FC60A5" w:rsidP="00FC60A5">
      <w:pPr>
        <w:rPr>
          <w:lang w:val="en-CA"/>
        </w:rPr>
      </w:pPr>
      <w:r w:rsidRPr="02261E0F">
        <w:rPr>
          <w:lang w:val="en-CA"/>
        </w:rPr>
        <w:t xml:space="preserve">The same </w:t>
      </w:r>
      <w:r>
        <w:rPr>
          <w:lang w:val="en-CA"/>
        </w:rPr>
        <w:t>template matching</w:t>
      </w:r>
      <w:r w:rsidRPr="02261E0F">
        <w:rPr>
          <w:lang w:val="en-CA"/>
        </w:rPr>
        <w:t xml:space="preserve"> cost </w:t>
      </w:r>
      <w:r>
        <w:rPr>
          <w:lang w:val="en-CA"/>
        </w:rPr>
        <w:t xml:space="preserve">process </w:t>
      </w:r>
      <w:r w:rsidRPr="02261E0F">
        <w:rPr>
          <w:lang w:val="en-CA"/>
        </w:rPr>
        <w:t xml:space="preserve">to rank the new candidates among the already computed </w:t>
      </w:r>
      <w:r>
        <w:rPr>
          <w:lang w:val="en-CA"/>
        </w:rPr>
        <w:t>candidates such as those coming from the sparse search</w:t>
      </w:r>
      <w:r w:rsidR="0069213B">
        <w:rPr>
          <w:lang w:val="en-CA"/>
        </w:rPr>
        <w:t xml:space="preserve"> is</w:t>
      </w:r>
      <w:r>
        <w:rPr>
          <w:lang w:val="en-CA"/>
        </w:rPr>
        <w:t xml:space="preserve"> </w:t>
      </w:r>
      <w:r w:rsidRPr="02261E0F">
        <w:rPr>
          <w:lang w:val="en-CA"/>
        </w:rPr>
        <w:t>used.</w:t>
      </w:r>
    </w:p>
    <w:p w14:paraId="3D92E873" w14:textId="43FCA4F3" w:rsidR="00FC60A5" w:rsidRDefault="00FC60A5" w:rsidP="00CC6645">
      <w:r>
        <w:t xml:space="preserve">There </w:t>
      </w:r>
      <w:r w:rsidRPr="00012806">
        <w:t>are up to 25</w:t>
      </w:r>
      <w:r>
        <w:t xml:space="preserve"> local and non-local PUs that may be </w:t>
      </w:r>
      <w:r w:rsidR="009E289D">
        <w:t>checked</w:t>
      </w:r>
      <w:r>
        <w:t xml:space="preserve"> during the selection of a new (merge) </w:t>
      </w:r>
      <w:r w:rsidR="00FD57AE">
        <w:t>candidate</w:t>
      </w:r>
      <w:r>
        <w:t xml:space="preserve">. Processing order of neighboring </w:t>
      </w:r>
      <w:r w:rsidR="00C64EE6">
        <w:t>PU</w:t>
      </w:r>
      <w:r>
        <w:t xml:space="preserve">s is the same as for IBC merge mode. Whenever a block vector is found within the local or non-local neighborhood of the current PU, it is added to the current </w:t>
      </w:r>
      <w:r w:rsidR="00012806">
        <w:rPr>
          <w:lang w:val="en-CA"/>
        </w:rPr>
        <w:t>IntraTMP</w:t>
      </w:r>
      <w:r w:rsidR="00012806">
        <w:t xml:space="preserve"> </w:t>
      </w:r>
      <w:r>
        <w:t>candidate list.</w:t>
      </w:r>
    </w:p>
    <w:p w14:paraId="1F9BE3CF" w14:textId="1D440112" w:rsidR="00064AFD" w:rsidRDefault="00FC60A5" w:rsidP="005711B1">
      <w:r>
        <w:t xml:space="preserve">Their template cost is obtained in the same way as for other </w:t>
      </w:r>
      <w:r w:rsidR="00C5445C">
        <w:rPr>
          <w:lang w:val="en-CA"/>
        </w:rPr>
        <w:t>IntraTMP</w:t>
      </w:r>
      <w:r w:rsidR="00C5445C">
        <w:t xml:space="preserve"> </w:t>
      </w:r>
      <w:r>
        <w:t>candidates. Merge candidates are ranked together with other candidates. Same as before, top 30 candidates are selected for further refinement.</w:t>
      </w:r>
      <w:r w:rsidR="00C64EE6">
        <w:t xml:space="preserve"> </w:t>
      </w:r>
    </w:p>
    <w:p w14:paraId="78231CDF" w14:textId="62FE1051" w:rsidR="00BB3964" w:rsidRPr="00BB3964" w:rsidRDefault="00BB3964" w:rsidP="008B6977">
      <w:pPr>
        <w:pStyle w:val="Heading1"/>
        <w:ind w:left="360" w:hanging="360"/>
      </w:pPr>
      <w:r>
        <w:t xml:space="preserve">Test 1.2 - </w:t>
      </w:r>
      <w:r w:rsidRPr="008B6977">
        <w:t>IntraTMP with Merge Candidates</w:t>
      </w:r>
    </w:p>
    <w:p w14:paraId="13B1D31A" w14:textId="303E9385" w:rsidR="00E5550A" w:rsidRDefault="00BF277D" w:rsidP="00E5550A">
      <w:r>
        <w:t>After addressing comments during the last meeting and reducing the complexity of the ee2</w:t>
      </w:r>
      <w:r w:rsidR="00060C20">
        <w:t xml:space="preserve"> test</w:t>
      </w:r>
      <w:r>
        <w:t>-1.2, the following is included in the final solution:</w:t>
      </w:r>
    </w:p>
    <w:p w14:paraId="4D9F1A70" w14:textId="1F41109A" w:rsidR="00BF277D" w:rsidRDefault="00BF277D" w:rsidP="00BF277D">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If neighboring PU is coded in bi-IBC mode, include both BVs in the </w:t>
      </w:r>
      <w:r>
        <w:rPr>
          <w:lang w:val="en-CA"/>
        </w:rPr>
        <w:t>IntraTMP</w:t>
      </w:r>
      <w:r>
        <w:t xml:space="preserve"> merge list.</w:t>
      </w:r>
      <w:r w:rsidR="00BD7C1E">
        <w:t xml:space="preserve"> Otherwise, include just </w:t>
      </w:r>
      <w:proofErr w:type="spellStart"/>
      <w:r w:rsidR="00BD7C1E">
        <w:t>uni</w:t>
      </w:r>
      <w:proofErr w:type="spellEnd"/>
      <w:r w:rsidR="00BD7C1E">
        <w:t xml:space="preserve">-IBC BV in the </w:t>
      </w:r>
      <w:r w:rsidR="00BD7C1E">
        <w:rPr>
          <w:lang w:val="en-CA"/>
        </w:rPr>
        <w:t>IntraTMP</w:t>
      </w:r>
      <w:r w:rsidR="00BD7C1E">
        <w:t xml:space="preserve"> merge list</w:t>
      </w:r>
      <w:r w:rsidR="00733E92">
        <w:t>.</w:t>
      </w:r>
    </w:p>
    <w:p w14:paraId="6BC622E9" w14:textId="07A3F73A" w:rsidR="00BF277D" w:rsidRDefault="00BF277D" w:rsidP="00BF277D">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If neighboring PU is coded in IntraTMP mode and </w:t>
      </w:r>
      <w:proofErr w:type="spellStart"/>
      <w:r w:rsidRPr="00C1049D">
        <w:rPr>
          <w:lang w:val="en-CA" w:eastAsia="zh-CN"/>
        </w:rPr>
        <w:t>intra_tmp_idx</w:t>
      </w:r>
      <w:proofErr w:type="spellEnd"/>
      <w:r>
        <w:t xml:space="preserve"> &gt; 0, besides a BV that is selected for that PU, include also best by cost </w:t>
      </w:r>
      <w:r>
        <w:rPr>
          <w:lang w:val="en-CA"/>
        </w:rPr>
        <w:t>IntraTMP</w:t>
      </w:r>
      <w:r>
        <w:t xml:space="preserve"> candidate in the </w:t>
      </w:r>
      <w:r>
        <w:rPr>
          <w:lang w:val="en-CA"/>
        </w:rPr>
        <w:t>IntraTMP</w:t>
      </w:r>
      <w:r>
        <w:t xml:space="preserve"> merge list.</w:t>
      </w:r>
      <w:r w:rsidR="001E404F">
        <w:t xml:space="preserve"> If </w:t>
      </w:r>
      <w:proofErr w:type="spellStart"/>
      <w:r w:rsidR="001E404F" w:rsidRPr="00C1049D">
        <w:rPr>
          <w:lang w:val="en-CA" w:eastAsia="zh-CN"/>
        </w:rPr>
        <w:t>intra_tmp_idx</w:t>
      </w:r>
      <w:proofErr w:type="spellEnd"/>
      <w:r w:rsidR="001E404F">
        <w:t xml:space="preserve"> is equal to 0, selected and best by cost </w:t>
      </w:r>
      <w:r w:rsidR="00120529">
        <w:t xml:space="preserve"> BVs </w:t>
      </w:r>
      <w:r w:rsidR="001E404F">
        <w:t>are the same so only one candidate is included in the IntraTMP list.</w:t>
      </w:r>
    </w:p>
    <w:p w14:paraId="699C00E8" w14:textId="6387C224" w:rsidR="00BF277D" w:rsidRDefault="00BF277D" w:rsidP="00BA3D4F">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Use only N out of M available merge candidates if M&gt;N and prioritize merge candidates outside the ITMP search range.</w:t>
      </w:r>
    </w:p>
    <w:p w14:paraId="14EA9E5D" w14:textId="4A2F93A3" w:rsidR="00E5550A" w:rsidRDefault="00BF277D" w:rsidP="00635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szCs w:val="22"/>
        </w:rPr>
      </w:pPr>
      <w:r>
        <w:lastRenderedPageBreak/>
        <w:t xml:space="preserve">By doing so, up to 50 </w:t>
      </w:r>
      <w:r>
        <w:rPr>
          <w:lang w:val="en-CA"/>
        </w:rPr>
        <w:t xml:space="preserve">IntraTMP merge candidates can be selected (M can be up to 50). However, in </w:t>
      </w:r>
      <w:r w:rsidR="00120529">
        <w:rPr>
          <w:lang w:val="en-CA"/>
        </w:rPr>
        <w:t xml:space="preserve">ee2 </w:t>
      </w:r>
      <w:r>
        <w:rPr>
          <w:lang w:val="en-CA"/>
        </w:rPr>
        <w:t>test</w:t>
      </w:r>
      <w:r w:rsidR="00120529">
        <w:rPr>
          <w:lang w:val="en-CA"/>
        </w:rPr>
        <w:t>-</w:t>
      </w:r>
      <w:r>
        <w:rPr>
          <w:lang w:val="en-CA"/>
        </w:rPr>
        <w:t>1.2 up to 10 candidates</w:t>
      </w:r>
      <w:r w:rsidR="00E70A71">
        <w:rPr>
          <w:lang w:val="en-CA"/>
        </w:rPr>
        <w:t xml:space="preserve"> are used</w:t>
      </w:r>
      <w:r>
        <w:rPr>
          <w:lang w:val="en-CA"/>
        </w:rPr>
        <w:t xml:space="preserve"> at the end</w:t>
      </w:r>
      <w:r w:rsidR="00BF7E9F">
        <w:rPr>
          <w:lang w:val="en-CA"/>
        </w:rPr>
        <w:t xml:space="preserve"> (N=10)</w:t>
      </w:r>
      <w:r>
        <w:rPr>
          <w:lang w:val="en-CA"/>
        </w:rPr>
        <w:t>.</w:t>
      </w:r>
      <w:r w:rsidR="00733E92">
        <w:rPr>
          <w:lang w:val="en-CA"/>
        </w:rPr>
        <w:t xml:space="preserve"> Hence only 10 candidates are tested and compared with other candidates.</w:t>
      </w:r>
    </w:p>
    <w:p w14:paraId="634F49E6" w14:textId="77777777" w:rsidR="00120D56" w:rsidRPr="00275C93" w:rsidRDefault="00120D56" w:rsidP="00120D56">
      <w:pPr>
        <w:pStyle w:val="Heading1"/>
      </w:pPr>
      <w:r w:rsidRPr="00275C93">
        <w:t>Experimental results</w:t>
      </w:r>
    </w:p>
    <w:p w14:paraId="6249FD5A" w14:textId="2590C4A0" w:rsidR="00AD0FAD" w:rsidRDefault="00C00598" w:rsidP="00A6219E">
      <w:pPr>
        <w:rPr>
          <w:szCs w:val="22"/>
          <w:lang w:val="en-CA"/>
        </w:rPr>
      </w:pPr>
      <w:r>
        <w:rPr>
          <w:szCs w:val="22"/>
          <w:lang w:val="en-CA"/>
        </w:rPr>
        <w:t xml:space="preserve">The proposal </w:t>
      </w:r>
      <w:r w:rsidR="00A6219E">
        <w:rPr>
          <w:szCs w:val="22"/>
          <w:lang w:val="en-CA"/>
        </w:rPr>
        <w:t xml:space="preserve">was </w:t>
      </w:r>
      <w:r>
        <w:rPr>
          <w:szCs w:val="22"/>
          <w:lang w:val="en-CA"/>
        </w:rPr>
        <w:t>implemented in ECM-1</w:t>
      </w:r>
      <w:r w:rsidR="006E46FE">
        <w:rPr>
          <w:szCs w:val="22"/>
          <w:lang w:val="en-CA"/>
        </w:rPr>
        <w:t>1</w:t>
      </w:r>
      <w:r>
        <w:rPr>
          <w:szCs w:val="22"/>
          <w:lang w:val="en-CA"/>
        </w:rPr>
        <w:t>.0 and tested with CTC-</w:t>
      </w:r>
      <w:r w:rsidR="00A6219E">
        <w:rPr>
          <w:szCs w:val="22"/>
          <w:lang w:val="en-CA"/>
        </w:rPr>
        <w:t xml:space="preserve">AI and </w:t>
      </w:r>
      <w:r w:rsidR="00227353">
        <w:rPr>
          <w:szCs w:val="22"/>
          <w:lang w:val="en-CA"/>
        </w:rPr>
        <w:t>CTC-</w:t>
      </w:r>
      <w:r w:rsidR="00A6219E">
        <w:rPr>
          <w:szCs w:val="22"/>
          <w:lang w:val="en-CA"/>
        </w:rPr>
        <w:t>RA</w:t>
      </w:r>
      <w:r>
        <w:rPr>
          <w:szCs w:val="22"/>
          <w:lang w:val="en-CA"/>
        </w:rPr>
        <w:t xml:space="preserve"> conditions</w:t>
      </w:r>
      <w:r w:rsidR="001556C6">
        <w:rPr>
          <w:szCs w:val="22"/>
          <w:lang w:val="en-CA"/>
        </w:rPr>
        <w:t>.</w:t>
      </w:r>
      <w:r w:rsidR="0034781D">
        <w:rPr>
          <w:szCs w:val="22"/>
          <w:lang w:val="en-CA"/>
        </w:rPr>
        <w:t xml:space="preserve"> Results for the screen content are also included.</w:t>
      </w:r>
      <w:r w:rsidR="000365C9">
        <w:rPr>
          <w:szCs w:val="22"/>
          <w:lang w:val="en-CA"/>
        </w:rPr>
        <w:t xml:space="preserve"> </w:t>
      </w:r>
      <w:r w:rsidR="00A6219E">
        <w:rPr>
          <w:szCs w:val="22"/>
          <w:lang w:val="en-CA"/>
        </w:rPr>
        <w:t>The following results are obtained</w:t>
      </w:r>
      <w:r w:rsidR="00120529">
        <w:rPr>
          <w:szCs w:val="22"/>
          <w:lang w:val="en-CA"/>
        </w:rPr>
        <w:t>.</w:t>
      </w:r>
    </w:p>
    <w:p w14:paraId="3DAD3505" w14:textId="77777777" w:rsidR="0087197C" w:rsidRDefault="0087197C" w:rsidP="00A6219E">
      <w:pPr>
        <w:rPr>
          <w:szCs w:val="22"/>
          <w:lang w:val="en-CA"/>
        </w:rPr>
      </w:pPr>
    </w:p>
    <w:p w14:paraId="06CD86B7" w14:textId="4BCE591D" w:rsidR="00740EAE" w:rsidRDefault="00097EFC" w:rsidP="00097EFC">
      <w:pPr>
        <w:pStyle w:val="Caption"/>
        <w:jc w:val="center"/>
        <w:rPr>
          <w:szCs w:val="22"/>
          <w:lang w:val="en-CA"/>
        </w:rPr>
      </w:pPr>
      <w:r>
        <w:t xml:space="preserve">Table </w:t>
      </w:r>
      <w:fldSimple w:instr=" SEQ Table \* ARABIC ">
        <w:r>
          <w:rPr>
            <w:noProof/>
          </w:rPr>
          <w:t>1</w:t>
        </w:r>
      </w:fldSimple>
      <w:r>
        <w:t>: performances of proposed test EE2-1.2 over ECM-11.0</w:t>
      </w:r>
    </w:p>
    <w:tbl>
      <w:tblPr>
        <w:tblW w:w="8480" w:type="dxa"/>
        <w:jc w:val="center"/>
        <w:tblCellMar>
          <w:left w:w="70" w:type="dxa"/>
          <w:right w:w="70" w:type="dxa"/>
        </w:tblCellMar>
        <w:tblLook w:val="04A0" w:firstRow="1" w:lastRow="0" w:firstColumn="1" w:lastColumn="0" w:noHBand="0" w:noVBand="1"/>
      </w:tblPr>
      <w:tblGrid>
        <w:gridCol w:w="1060"/>
        <w:gridCol w:w="868"/>
        <w:gridCol w:w="868"/>
        <w:gridCol w:w="868"/>
        <w:gridCol w:w="926"/>
        <w:gridCol w:w="926"/>
        <w:gridCol w:w="1475"/>
        <w:gridCol w:w="1489"/>
      </w:tblGrid>
      <w:tr w:rsidR="00B4723D" w:rsidRPr="00B4723D" w14:paraId="0719A85C" w14:textId="77777777" w:rsidTr="00B4723D">
        <w:trPr>
          <w:trHeight w:val="255"/>
          <w:jc w:val="center"/>
        </w:trPr>
        <w:tc>
          <w:tcPr>
            <w:tcW w:w="1060" w:type="dxa"/>
            <w:tcBorders>
              <w:top w:val="nil"/>
              <w:left w:val="nil"/>
              <w:bottom w:val="nil"/>
              <w:right w:val="nil"/>
            </w:tcBorders>
            <w:shd w:val="clear" w:color="auto" w:fill="auto"/>
            <w:noWrap/>
            <w:vAlign w:val="center"/>
            <w:hideMark/>
          </w:tcPr>
          <w:p w14:paraId="78D2B1E7" w14:textId="77777777" w:rsidR="00B4723D" w:rsidRPr="00097EFC"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FFF2FD"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4723D">
              <w:rPr>
                <w:rFonts w:ascii="Arial" w:hAnsi="Arial" w:cs="Arial"/>
                <w:b/>
                <w:bCs/>
                <w:color w:val="000000"/>
                <w:sz w:val="18"/>
                <w:szCs w:val="18"/>
                <w:lang w:val="fr-FR" w:eastAsia="fr-FR"/>
              </w:rPr>
              <w:t xml:space="preserve">All Intra Main 10 </w:t>
            </w:r>
          </w:p>
        </w:tc>
      </w:tr>
      <w:tr w:rsidR="00B4723D" w:rsidRPr="00B4723D" w14:paraId="513511D3" w14:textId="77777777" w:rsidTr="00B4723D">
        <w:trPr>
          <w:trHeight w:val="255"/>
          <w:jc w:val="center"/>
        </w:trPr>
        <w:tc>
          <w:tcPr>
            <w:tcW w:w="1060" w:type="dxa"/>
            <w:tcBorders>
              <w:top w:val="nil"/>
              <w:left w:val="nil"/>
              <w:bottom w:val="nil"/>
              <w:right w:val="nil"/>
            </w:tcBorders>
            <w:shd w:val="clear" w:color="auto" w:fill="auto"/>
            <w:noWrap/>
            <w:vAlign w:val="center"/>
            <w:hideMark/>
          </w:tcPr>
          <w:p w14:paraId="7E5C79BB"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CB6F07F"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4723D">
              <w:rPr>
                <w:rFonts w:ascii="Arial" w:hAnsi="Arial" w:cs="Arial"/>
                <w:b/>
                <w:bCs/>
                <w:color w:val="000000"/>
                <w:sz w:val="18"/>
                <w:szCs w:val="18"/>
                <w:lang w:val="fr-FR" w:eastAsia="fr-FR"/>
              </w:rPr>
              <w:t>Over ECM-11.0</w:t>
            </w:r>
          </w:p>
        </w:tc>
      </w:tr>
      <w:tr w:rsidR="00B4723D" w:rsidRPr="00B4723D" w14:paraId="764FB2F2" w14:textId="77777777" w:rsidTr="00B4723D">
        <w:trPr>
          <w:trHeight w:val="255"/>
          <w:jc w:val="center"/>
        </w:trPr>
        <w:tc>
          <w:tcPr>
            <w:tcW w:w="1060" w:type="dxa"/>
            <w:tcBorders>
              <w:top w:val="nil"/>
              <w:left w:val="nil"/>
              <w:bottom w:val="nil"/>
              <w:right w:val="nil"/>
            </w:tcBorders>
            <w:shd w:val="clear" w:color="auto" w:fill="auto"/>
            <w:noWrap/>
            <w:vAlign w:val="center"/>
            <w:hideMark/>
          </w:tcPr>
          <w:p w14:paraId="7BF9B5BF"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35BE6862"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Y</w:t>
            </w:r>
          </w:p>
        </w:tc>
        <w:tc>
          <w:tcPr>
            <w:tcW w:w="868" w:type="dxa"/>
            <w:tcBorders>
              <w:top w:val="nil"/>
              <w:left w:val="nil"/>
              <w:bottom w:val="single" w:sz="8" w:space="0" w:color="auto"/>
              <w:right w:val="nil"/>
            </w:tcBorders>
            <w:shd w:val="clear" w:color="auto" w:fill="auto"/>
            <w:noWrap/>
            <w:vAlign w:val="center"/>
            <w:hideMark/>
          </w:tcPr>
          <w:p w14:paraId="64B74527"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U</w:t>
            </w:r>
          </w:p>
        </w:tc>
        <w:tc>
          <w:tcPr>
            <w:tcW w:w="868" w:type="dxa"/>
            <w:tcBorders>
              <w:top w:val="nil"/>
              <w:left w:val="nil"/>
              <w:bottom w:val="single" w:sz="8" w:space="0" w:color="auto"/>
              <w:right w:val="single" w:sz="4" w:space="0" w:color="auto"/>
            </w:tcBorders>
            <w:shd w:val="clear" w:color="auto" w:fill="auto"/>
            <w:noWrap/>
            <w:vAlign w:val="center"/>
            <w:hideMark/>
          </w:tcPr>
          <w:p w14:paraId="65E4C2EE"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V</w:t>
            </w:r>
          </w:p>
        </w:tc>
        <w:tc>
          <w:tcPr>
            <w:tcW w:w="926" w:type="dxa"/>
            <w:tcBorders>
              <w:top w:val="nil"/>
              <w:left w:val="nil"/>
              <w:bottom w:val="single" w:sz="8" w:space="0" w:color="auto"/>
              <w:right w:val="nil"/>
            </w:tcBorders>
            <w:shd w:val="clear" w:color="auto" w:fill="auto"/>
            <w:noWrap/>
            <w:vAlign w:val="center"/>
            <w:hideMark/>
          </w:tcPr>
          <w:p w14:paraId="14171588"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EncT</w:t>
            </w:r>
          </w:p>
        </w:tc>
        <w:tc>
          <w:tcPr>
            <w:tcW w:w="926" w:type="dxa"/>
            <w:tcBorders>
              <w:top w:val="nil"/>
              <w:left w:val="nil"/>
              <w:bottom w:val="single" w:sz="8" w:space="0" w:color="auto"/>
              <w:right w:val="nil"/>
            </w:tcBorders>
            <w:shd w:val="clear" w:color="auto" w:fill="auto"/>
            <w:noWrap/>
            <w:vAlign w:val="center"/>
            <w:hideMark/>
          </w:tcPr>
          <w:p w14:paraId="54A1B98D"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DecT</w:t>
            </w:r>
          </w:p>
        </w:tc>
        <w:tc>
          <w:tcPr>
            <w:tcW w:w="1475" w:type="dxa"/>
            <w:tcBorders>
              <w:top w:val="nil"/>
              <w:left w:val="single" w:sz="4" w:space="0" w:color="auto"/>
              <w:bottom w:val="single" w:sz="8" w:space="0" w:color="auto"/>
              <w:right w:val="nil"/>
            </w:tcBorders>
            <w:shd w:val="clear" w:color="auto" w:fill="auto"/>
            <w:noWrap/>
            <w:vAlign w:val="center"/>
            <w:hideMark/>
          </w:tcPr>
          <w:p w14:paraId="5B584A6F"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EncVmPeak</w:t>
            </w:r>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652C79F6"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DecVmPeak</w:t>
            </w:r>
          </w:p>
        </w:tc>
      </w:tr>
      <w:tr w:rsidR="00B4723D" w:rsidRPr="00B4723D" w14:paraId="3E357C95" w14:textId="77777777" w:rsidTr="00B4723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A90F349"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Class A1</w:t>
            </w:r>
          </w:p>
        </w:tc>
        <w:tc>
          <w:tcPr>
            <w:tcW w:w="868" w:type="dxa"/>
            <w:tcBorders>
              <w:top w:val="nil"/>
              <w:left w:val="nil"/>
              <w:bottom w:val="nil"/>
              <w:right w:val="nil"/>
            </w:tcBorders>
            <w:shd w:val="clear" w:color="auto" w:fill="auto"/>
            <w:noWrap/>
            <w:vAlign w:val="center"/>
            <w:hideMark/>
          </w:tcPr>
          <w:p w14:paraId="55D21DA5"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-0,01%</w:t>
            </w:r>
          </w:p>
        </w:tc>
        <w:tc>
          <w:tcPr>
            <w:tcW w:w="868" w:type="dxa"/>
            <w:tcBorders>
              <w:top w:val="nil"/>
              <w:left w:val="nil"/>
              <w:bottom w:val="nil"/>
              <w:right w:val="nil"/>
            </w:tcBorders>
            <w:shd w:val="clear" w:color="auto" w:fill="auto"/>
            <w:noWrap/>
            <w:vAlign w:val="center"/>
            <w:hideMark/>
          </w:tcPr>
          <w:p w14:paraId="78C832E2"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-0,08%</w:t>
            </w:r>
          </w:p>
        </w:tc>
        <w:tc>
          <w:tcPr>
            <w:tcW w:w="868" w:type="dxa"/>
            <w:tcBorders>
              <w:top w:val="nil"/>
              <w:left w:val="nil"/>
              <w:bottom w:val="nil"/>
              <w:right w:val="single" w:sz="4" w:space="0" w:color="auto"/>
            </w:tcBorders>
            <w:shd w:val="clear" w:color="auto" w:fill="auto"/>
            <w:noWrap/>
            <w:vAlign w:val="center"/>
            <w:hideMark/>
          </w:tcPr>
          <w:p w14:paraId="3354F02E"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0,01%</w:t>
            </w:r>
          </w:p>
        </w:tc>
        <w:tc>
          <w:tcPr>
            <w:tcW w:w="926" w:type="dxa"/>
            <w:tcBorders>
              <w:top w:val="nil"/>
              <w:left w:val="nil"/>
              <w:bottom w:val="nil"/>
              <w:right w:val="nil"/>
            </w:tcBorders>
            <w:shd w:val="clear" w:color="auto" w:fill="auto"/>
            <w:noWrap/>
            <w:vAlign w:val="center"/>
            <w:hideMark/>
          </w:tcPr>
          <w:p w14:paraId="5C8ED3B9"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100,4%</w:t>
            </w:r>
          </w:p>
        </w:tc>
        <w:tc>
          <w:tcPr>
            <w:tcW w:w="926" w:type="dxa"/>
            <w:tcBorders>
              <w:top w:val="nil"/>
              <w:left w:val="nil"/>
              <w:bottom w:val="nil"/>
              <w:right w:val="nil"/>
            </w:tcBorders>
            <w:shd w:val="clear" w:color="auto" w:fill="auto"/>
            <w:noWrap/>
            <w:vAlign w:val="center"/>
            <w:hideMark/>
          </w:tcPr>
          <w:p w14:paraId="6E5D5731"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99,4%</w:t>
            </w:r>
          </w:p>
        </w:tc>
        <w:tc>
          <w:tcPr>
            <w:tcW w:w="1475" w:type="dxa"/>
            <w:tcBorders>
              <w:top w:val="nil"/>
              <w:left w:val="single" w:sz="4" w:space="0" w:color="auto"/>
              <w:bottom w:val="nil"/>
              <w:right w:val="nil"/>
            </w:tcBorders>
            <w:shd w:val="clear" w:color="auto" w:fill="auto"/>
            <w:noWrap/>
            <w:vAlign w:val="center"/>
            <w:hideMark/>
          </w:tcPr>
          <w:p w14:paraId="0DE6DDBA"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100,0%</w:t>
            </w:r>
          </w:p>
        </w:tc>
        <w:tc>
          <w:tcPr>
            <w:tcW w:w="1489" w:type="dxa"/>
            <w:tcBorders>
              <w:top w:val="nil"/>
              <w:left w:val="nil"/>
              <w:bottom w:val="nil"/>
              <w:right w:val="single" w:sz="8" w:space="0" w:color="auto"/>
            </w:tcBorders>
            <w:shd w:val="clear" w:color="auto" w:fill="auto"/>
            <w:noWrap/>
            <w:vAlign w:val="center"/>
            <w:hideMark/>
          </w:tcPr>
          <w:p w14:paraId="6CD4E3D6"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95,7%</w:t>
            </w:r>
          </w:p>
        </w:tc>
      </w:tr>
      <w:tr w:rsidR="00B4723D" w:rsidRPr="00B4723D" w14:paraId="68D8F3EF" w14:textId="77777777" w:rsidTr="00B4723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4F93314"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Class A2</w:t>
            </w:r>
          </w:p>
        </w:tc>
        <w:tc>
          <w:tcPr>
            <w:tcW w:w="868" w:type="dxa"/>
            <w:tcBorders>
              <w:top w:val="nil"/>
              <w:left w:val="nil"/>
              <w:bottom w:val="nil"/>
              <w:right w:val="nil"/>
            </w:tcBorders>
            <w:shd w:val="clear" w:color="auto" w:fill="auto"/>
            <w:noWrap/>
            <w:vAlign w:val="center"/>
            <w:hideMark/>
          </w:tcPr>
          <w:p w14:paraId="07293CAB"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-0,08%</w:t>
            </w:r>
          </w:p>
        </w:tc>
        <w:tc>
          <w:tcPr>
            <w:tcW w:w="868" w:type="dxa"/>
            <w:tcBorders>
              <w:top w:val="nil"/>
              <w:left w:val="nil"/>
              <w:bottom w:val="nil"/>
              <w:right w:val="nil"/>
            </w:tcBorders>
            <w:shd w:val="clear" w:color="auto" w:fill="auto"/>
            <w:noWrap/>
            <w:vAlign w:val="center"/>
            <w:hideMark/>
          </w:tcPr>
          <w:p w14:paraId="54091AA7"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-0,01%</w:t>
            </w:r>
          </w:p>
        </w:tc>
        <w:tc>
          <w:tcPr>
            <w:tcW w:w="868" w:type="dxa"/>
            <w:tcBorders>
              <w:top w:val="nil"/>
              <w:left w:val="nil"/>
              <w:bottom w:val="nil"/>
              <w:right w:val="single" w:sz="4" w:space="0" w:color="auto"/>
            </w:tcBorders>
            <w:shd w:val="clear" w:color="auto" w:fill="auto"/>
            <w:noWrap/>
            <w:vAlign w:val="center"/>
            <w:hideMark/>
          </w:tcPr>
          <w:p w14:paraId="7C504AC9"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-0,02%</w:t>
            </w:r>
          </w:p>
        </w:tc>
        <w:tc>
          <w:tcPr>
            <w:tcW w:w="926" w:type="dxa"/>
            <w:tcBorders>
              <w:top w:val="nil"/>
              <w:left w:val="nil"/>
              <w:bottom w:val="nil"/>
              <w:right w:val="nil"/>
            </w:tcBorders>
            <w:shd w:val="clear" w:color="auto" w:fill="auto"/>
            <w:noWrap/>
            <w:vAlign w:val="center"/>
            <w:hideMark/>
          </w:tcPr>
          <w:p w14:paraId="2F520438"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100,8%</w:t>
            </w:r>
          </w:p>
        </w:tc>
        <w:tc>
          <w:tcPr>
            <w:tcW w:w="926" w:type="dxa"/>
            <w:tcBorders>
              <w:top w:val="nil"/>
              <w:left w:val="nil"/>
              <w:bottom w:val="nil"/>
              <w:right w:val="nil"/>
            </w:tcBorders>
            <w:shd w:val="clear" w:color="auto" w:fill="auto"/>
            <w:noWrap/>
            <w:vAlign w:val="center"/>
            <w:hideMark/>
          </w:tcPr>
          <w:p w14:paraId="7878B447"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101,7%</w:t>
            </w:r>
          </w:p>
        </w:tc>
        <w:tc>
          <w:tcPr>
            <w:tcW w:w="1475" w:type="dxa"/>
            <w:tcBorders>
              <w:top w:val="nil"/>
              <w:left w:val="single" w:sz="4" w:space="0" w:color="auto"/>
              <w:bottom w:val="nil"/>
              <w:right w:val="nil"/>
            </w:tcBorders>
            <w:shd w:val="clear" w:color="auto" w:fill="auto"/>
            <w:noWrap/>
            <w:vAlign w:val="center"/>
            <w:hideMark/>
          </w:tcPr>
          <w:p w14:paraId="49A90320"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100,2%</w:t>
            </w:r>
          </w:p>
        </w:tc>
        <w:tc>
          <w:tcPr>
            <w:tcW w:w="1489" w:type="dxa"/>
            <w:tcBorders>
              <w:top w:val="nil"/>
              <w:left w:val="nil"/>
              <w:bottom w:val="nil"/>
              <w:right w:val="single" w:sz="8" w:space="0" w:color="auto"/>
            </w:tcBorders>
            <w:shd w:val="clear" w:color="auto" w:fill="auto"/>
            <w:noWrap/>
            <w:vAlign w:val="center"/>
            <w:hideMark/>
          </w:tcPr>
          <w:p w14:paraId="73E9BBDD"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94,9%</w:t>
            </w:r>
          </w:p>
        </w:tc>
      </w:tr>
      <w:tr w:rsidR="00B4723D" w:rsidRPr="00B4723D" w14:paraId="342D9DD4" w14:textId="77777777" w:rsidTr="00B4723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6131254"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Class B</w:t>
            </w:r>
          </w:p>
        </w:tc>
        <w:tc>
          <w:tcPr>
            <w:tcW w:w="868" w:type="dxa"/>
            <w:tcBorders>
              <w:top w:val="nil"/>
              <w:left w:val="nil"/>
              <w:bottom w:val="nil"/>
              <w:right w:val="nil"/>
            </w:tcBorders>
            <w:shd w:val="clear" w:color="auto" w:fill="auto"/>
            <w:noWrap/>
            <w:vAlign w:val="center"/>
            <w:hideMark/>
          </w:tcPr>
          <w:p w14:paraId="04B3200C"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-0,09%</w:t>
            </w:r>
          </w:p>
        </w:tc>
        <w:tc>
          <w:tcPr>
            <w:tcW w:w="868" w:type="dxa"/>
            <w:tcBorders>
              <w:top w:val="nil"/>
              <w:left w:val="nil"/>
              <w:bottom w:val="nil"/>
              <w:right w:val="nil"/>
            </w:tcBorders>
            <w:shd w:val="clear" w:color="auto" w:fill="auto"/>
            <w:noWrap/>
            <w:vAlign w:val="center"/>
            <w:hideMark/>
          </w:tcPr>
          <w:p w14:paraId="66E125AD"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0,03%</w:t>
            </w:r>
          </w:p>
        </w:tc>
        <w:tc>
          <w:tcPr>
            <w:tcW w:w="868" w:type="dxa"/>
            <w:tcBorders>
              <w:top w:val="nil"/>
              <w:left w:val="nil"/>
              <w:bottom w:val="nil"/>
              <w:right w:val="single" w:sz="4" w:space="0" w:color="auto"/>
            </w:tcBorders>
            <w:shd w:val="clear" w:color="auto" w:fill="auto"/>
            <w:noWrap/>
            <w:vAlign w:val="center"/>
            <w:hideMark/>
          </w:tcPr>
          <w:p w14:paraId="666F5C53"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-0,16%</w:t>
            </w:r>
          </w:p>
        </w:tc>
        <w:tc>
          <w:tcPr>
            <w:tcW w:w="926" w:type="dxa"/>
            <w:tcBorders>
              <w:top w:val="nil"/>
              <w:left w:val="nil"/>
              <w:bottom w:val="nil"/>
              <w:right w:val="nil"/>
            </w:tcBorders>
            <w:shd w:val="clear" w:color="auto" w:fill="auto"/>
            <w:noWrap/>
            <w:vAlign w:val="center"/>
            <w:hideMark/>
          </w:tcPr>
          <w:p w14:paraId="5935CD5E"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97,7%</w:t>
            </w:r>
          </w:p>
        </w:tc>
        <w:tc>
          <w:tcPr>
            <w:tcW w:w="926" w:type="dxa"/>
            <w:tcBorders>
              <w:top w:val="nil"/>
              <w:left w:val="nil"/>
              <w:bottom w:val="nil"/>
              <w:right w:val="nil"/>
            </w:tcBorders>
            <w:shd w:val="clear" w:color="auto" w:fill="auto"/>
            <w:noWrap/>
            <w:vAlign w:val="center"/>
            <w:hideMark/>
          </w:tcPr>
          <w:p w14:paraId="00147A9A"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100,3%</w:t>
            </w:r>
          </w:p>
        </w:tc>
        <w:tc>
          <w:tcPr>
            <w:tcW w:w="1475" w:type="dxa"/>
            <w:tcBorders>
              <w:top w:val="nil"/>
              <w:left w:val="single" w:sz="4" w:space="0" w:color="auto"/>
              <w:bottom w:val="nil"/>
              <w:right w:val="nil"/>
            </w:tcBorders>
            <w:shd w:val="clear" w:color="auto" w:fill="auto"/>
            <w:noWrap/>
            <w:vAlign w:val="center"/>
            <w:hideMark/>
          </w:tcPr>
          <w:p w14:paraId="2CB00531"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98,0%</w:t>
            </w:r>
          </w:p>
        </w:tc>
        <w:tc>
          <w:tcPr>
            <w:tcW w:w="1489" w:type="dxa"/>
            <w:tcBorders>
              <w:top w:val="nil"/>
              <w:left w:val="nil"/>
              <w:bottom w:val="nil"/>
              <w:right w:val="single" w:sz="8" w:space="0" w:color="auto"/>
            </w:tcBorders>
            <w:shd w:val="clear" w:color="auto" w:fill="auto"/>
            <w:noWrap/>
            <w:vAlign w:val="center"/>
            <w:hideMark/>
          </w:tcPr>
          <w:p w14:paraId="77C3F8D3"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94,9%</w:t>
            </w:r>
          </w:p>
        </w:tc>
      </w:tr>
      <w:tr w:rsidR="00B4723D" w:rsidRPr="00B4723D" w14:paraId="5F43C49E" w14:textId="77777777" w:rsidTr="00B4723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0CAC80"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Class C</w:t>
            </w:r>
          </w:p>
        </w:tc>
        <w:tc>
          <w:tcPr>
            <w:tcW w:w="868" w:type="dxa"/>
            <w:tcBorders>
              <w:top w:val="nil"/>
              <w:left w:val="nil"/>
              <w:bottom w:val="nil"/>
              <w:right w:val="nil"/>
            </w:tcBorders>
            <w:shd w:val="clear" w:color="auto" w:fill="auto"/>
            <w:noWrap/>
            <w:vAlign w:val="center"/>
            <w:hideMark/>
          </w:tcPr>
          <w:p w14:paraId="62428636"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-0,02%</w:t>
            </w:r>
          </w:p>
        </w:tc>
        <w:tc>
          <w:tcPr>
            <w:tcW w:w="868" w:type="dxa"/>
            <w:tcBorders>
              <w:top w:val="nil"/>
              <w:left w:val="nil"/>
              <w:bottom w:val="nil"/>
              <w:right w:val="nil"/>
            </w:tcBorders>
            <w:shd w:val="clear" w:color="auto" w:fill="auto"/>
            <w:noWrap/>
            <w:vAlign w:val="center"/>
            <w:hideMark/>
          </w:tcPr>
          <w:p w14:paraId="2D23AC0C"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-0,11%</w:t>
            </w:r>
          </w:p>
        </w:tc>
        <w:tc>
          <w:tcPr>
            <w:tcW w:w="868" w:type="dxa"/>
            <w:tcBorders>
              <w:top w:val="nil"/>
              <w:left w:val="nil"/>
              <w:bottom w:val="nil"/>
              <w:right w:val="single" w:sz="4" w:space="0" w:color="auto"/>
            </w:tcBorders>
            <w:shd w:val="clear" w:color="auto" w:fill="auto"/>
            <w:noWrap/>
            <w:vAlign w:val="center"/>
            <w:hideMark/>
          </w:tcPr>
          <w:p w14:paraId="4C8C0773"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0,09%</w:t>
            </w:r>
          </w:p>
        </w:tc>
        <w:tc>
          <w:tcPr>
            <w:tcW w:w="926" w:type="dxa"/>
            <w:tcBorders>
              <w:top w:val="nil"/>
              <w:left w:val="nil"/>
              <w:bottom w:val="nil"/>
              <w:right w:val="nil"/>
            </w:tcBorders>
            <w:shd w:val="clear" w:color="auto" w:fill="auto"/>
            <w:noWrap/>
            <w:vAlign w:val="center"/>
            <w:hideMark/>
          </w:tcPr>
          <w:p w14:paraId="33069E5F"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98,7%</w:t>
            </w:r>
          </w:p>
        </w:tc>
        <w:tc>
          <w:tcPr>
            <w:tcW w:w="926" w:type="dxa"/>
            <w:tcBorders>
              <w:top w:val="nil"/>
              <w:left w:val="nil"/>
              <w:bottom w:val="nil"/>
              <w:right w:val="nil"/>
            </w:tcBorders>
            <w:shd w:val="clear" w:color="auto" w:fill="auto"/>
            <w:noWrap/>
            <w:vAlign w:val="center"/>
            <w:hideMark/>
          </w:tcPr>
          <w:p w14:paraId="1FF662F4"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99,2%</w:t>
            </w:r>
          </w:p>
        </w:tc>
        <w:tc>
          <w:tcPr>
            <w:tcW w:w="1475" w:type="dxa"/>
            <w:tcBorders>
              <w:top w:val="nil"/>
              <w:left w:val="single" w:sz="4" w:space="0" w:color="auto"/>
              <w:bottom w:val="nil"/>
              <w:right w:val="nil"/>
            </w:tcBorders>
            <w:shd w:val="clear" w:color="auto" w:fill="auto"/>
            <w:noWrap/>
            <w:vAlign w:val="center"/>
            <w:hideMark/>
          </w:tcPr>
          <w:p w14:paraId="4A3EE635"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100,5%</w:t>
            </w:r>
          </w:p>
        </w:tc>
        <w:tc>
          <w:tcPr>
            <w:tcW w:w="1489" w:type="dxa"/>
            <w:tcBorders>
              <w:top w:val="nil"/>
              <w:left w:val="nil"/>
              <w:bottom w:val="nil"/>
              <w:right w:val="single" w:sz="8" w:space="0" w:color="auto"/>
            </w:tcBorders>
            <w:shd w:val="clear" w:color="auto" w:fill="auto"/>
            <w:noWrap/>
            <w:vAlign w:val="center"/>
            <w:hideMark/>
          </w:tcPr>
          <w:p w14:paraId="6A12689A"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91,1%</w:t>
            </w:r>
          </w:p>
        </w:tc>
      </w:tr>
      <w:tr w:rsidR="00B4723D" w:rsidRPr="00B4723D" w14:paraId="1A4D1BC4" w14:textId="77777777" w:rsidTr="00B4723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5DAD816"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Class E</w:t>
            </w:r>
          </w:p>
        </w:tc>
        <w:tc>
          <w:tcPr>
            <w:tcW w:w="868" w:type="dxa"/>
            <w:tcBorders>
              <w:top w:val="nil"/>
              <w:left w:val="nil"/>
              <w:bottom w:val="nil"/>
              <w:right w:val="nil"/>
            </w:tcBorders>
            <w:shd w:val="clear" w:color="auto" w:fill="auto"/>
            <w:noWrap/>
            <w:vAlign w:val="center"/>
            <w:hideMark/>
          </w:tcPr>
          <w:p w14:paraId="77A0930A"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-0,13%</w:t>
            </w:r>
          </w:p>
        </w:tc>
        <w:tc>
          <w:tcPr>
            <w:tcW w:w="868" w:type="dxa"/>
            <w:tcBorders>
              <w:top w:val="nil"/>
              <w:left w:val="nil"/>
              <w:bottom w:val="nil"/>
              <w:right w:val="nil"/>
            </w:tcBorders>
            <w:shd w:val="clear" w:color="auto" w:fill="auto"/>
            <w:noWrap/>
            <w:vAlign w:val="center"/>
            <w:hideMark/>
          </w:tcPr>
          <w:p w14:paraId="6635D8AC"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-0,04%</w:t>
            </w:r>
          </w:p>
        </w:tc>
        <w:tc>
          <w:tcPr>
            <w:tcW w:w="868" w:type="dxa"/>
            <w:tcBorders>
              <w:top w:val="nil"/>
              <w:left w:val="nil"/>
              <w:bottom w:val="nil"/>
              <w:right w:val="single" w:sz="4" w:space="0" w:color="auto"/>
            </w:tcBorders>
            <w:shd w:val="clear" w:color="auto" w:fill="auto"/>
            <w:noWrap/>
            <w:vAlign w:val="center"/>
            <w:hideMark/>
          </w:tcPr>
          <w:p w14:paraId="3AC62A02"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-0,11%</w:t>
            </w:r>
          </w:p>
        </w:tc>
        <w:tc>
          <w:tcPr>
            <w:tcW w:w="926" w:type="dxa"/>
            <w:tcBorders>
              <w:top w:val="nil"/>
              <w:left w:val="nil"/>
              <w:bottom w:val="nil"/>
              <w:right w:val="nil"/>
            </w:tcBorders>
            <w:shd w:val="clear" w:color="auto" w:fill="auto"/>
            <w:noWrap/>
            <w:vAlign w:val="center"/>
            <w:hideMark/>
          </w:tcPr>
          <w:p w14:paraId="5F465B4D"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98,6%</w:t>
            </w:r>
          </w:p>
        </w:tc>
        <w:tc>
          <w:tcPr>
            <w:tcW w:w="926" w:type="dxa"/>
            <w:tcBorders>
              <w:top w:val="nil"/>
              <w:left w:val="nil"/>
              <w:bottom w:val="nil"/>
              <w:right w:val="nil"/>
            </w:tcBorders>
            <w:shd w:val="clear" w:color="auto" w:fill="auto"/>
            <w:noWrap/>
            <w:vAlign w:val="center"/>
            <w:hideMark/>
          </w:tcPr>
          <w:p w14:paraId="29298B3D"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101,1%</w:t>
            </w:r>
          </w:p>
        </w:tc>
        <w:tc>
          <w:tcPr>
            <w:tcW w:w="1475" w:type="dxa"/>
            <w:tcBorders>
              <w:top w:val="nil"/>
              <w:left w:val="single" w:sz="4" w:space="0" w:color="auto"/>
              <w:bottom w:val="nil"/>
              <w:right w:val="nil"/>
            </w:tcBorders>
            <w:shd w:val="clear" w:color="auto" w:fill="auto"/>
            <w:noWrap/>
            <w:vAlign w:val="center"/>
            <w:hideMark/>
          </w:tcPr>
          <w:p w14:paraId="39CF7D13"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101,5%</w:t>
            </w:r>
          </w:p>
        </w:tc>
        <w:tc>
          <w:tcPr>
            <w:tcW w:w="1489" w:type="dxa"/>
            <w:tcBorders>
              <w:top w:val="nil"/>
              <w:left w:val="nil"/>
              <w:bottom w:val="nil"/>
              <w:right w:val="single" w:sz="8" w:space="0" w:color="auto"/>
            </w:tcBorders>
            <w:shd w:val="clear" w:color="auto" w:fill="auto"/>
            <w:noWrap/>
            <w:vAlign w:val="center"/>
            <w:hideMark/>
          </w:tcPr>
          <w:p w14:paraId="67FE1A8A"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89,4%</w:t>
            </w:r>
          </w:p>
        </w:tc>
      </w:tr>
      <w:tr w:rsidR="00B4723D" w:rsidRPr="00B4723D" w14:paraId="50CEA799" w14:textId="77777777" w:rsidTr="00B4723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B2EFCCE"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4723D">
              <w:rPr>
                <w:rFonts w:ascii="Arial" w:hAnsi="Arial" w:cs="Arial"/>
                <w:b/>
                <w:bCs/>
                <w:color w:val="000000"/>
                <w:sz w:val="18"/>
                <w:szCs w:val="18"/>
                <w:lang w:val="fr-FR" w:eastAsia="fr-FR"/>
              </w:rPr>
              <w:t xml:space="preserve">Overall </w:t>
            </w:r>
          </w:p>
        </w:tc>
        <w:tc>
          <w:tcPr>
            <w:tcW w:w="868" w:type="dxa"/>
            <w:tcBorders>
              <w:top w:val="single" w:sz="8" w:space="0" w:color="auto"/>
              <w:left w:val="nil"/>
              <w:bottom w:val="nil"/>
              <w:right w:val="nil"/>
            </w:tcBorders>
            <w:shd w:val="clear" w:color="auto" w:fill="auto"/>
            <w:noWrap/>
            <w:vAlign w:val="center"/>
            <w:hideMark/>
          </w:tcPr>
          <w:p w14:paraId="74A53310"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-0,07%</w:t>
            </w:r>
          </w:p>
        </w:tc>
        <w:tc>
          <w:tcPr>
            <w:tcW w:w="868" w:type="dxa"/>
            <w:tcBorders>
              <w:top w:val="single" w:sz="8" w:space="0" w:color="auto"/>
              <w:left w:val="nil"/>
              <w:bottom w:val="nil"/>
              <w:right w:val="nil"/>
            </w:tcBorders>
            <w:shd w:val="clear" w:color="auto" w:fill="auto"/>
            <w:noWrap/>
            <w:vAlign w:val="center"/>
            <w:hideMark/>
          </w:tcPr>
          <w:p w14:paraId="00A4F0EA"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-0,04%</w:t>
            </w:r>
          </w:p>
        </w:tc>
        <w:tc>
          <w:tcPr>
            <w:tcW w:w="868" w:type="dxa"/>
            <w:tcBorders>
              <w:top w:val="single" w:sz="8" w:space="0" w:color="auto"/>
              <w:left w:val="nil"/>
              <w:bottom w:val="nil"/>
              <w:right w:val="single" w:sz="4" w:space="0" w:color="auto"/>
            </w:tcBorders>
            <w:shd w:val="clear" w:color="auto" w:fill="auto"/>
            <w:noWrap/>
            <w:vAlign w:val="center"/>
            <w:hideMark/>
          </w:tcPr>
          <w:p w14:paraId="52BAFD79"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-0,05%</w:t>
            </w:r>
          </w:p>
        </w:tc>
        <w:tc>
          <w:tcPr>
            <w:tcW w:w="926" w:type="dxa"/>
            <w:tcBorders>
              <w:top w:val="single" w:sz="8" w:space="0" w:color="auto"/>
              <w:left w:val="nil"/>
              <w:bottom w:val="nil"/>
              <w:right w:val="nil"/>
            </w:tcBorders>
            <w:shd w:val="clear" w:color="auto" w:fill="auto"/>
            <w:noWrap/>
            <w:vAlign w:val="center"/>
            <w:hideMark/>
          </w:tcPr>
          <w:p w14:paraId="6A9AFB33"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99,0%</w:t>
            </w:r>
          </w:p>
        </w:tc>
        <w:tc>
          <w:tcPr>
            <w:tcW w:w="926" w:type="dxa"/>
            <w:tcBorders>
              <w:top w:val="single" w:sz="8" w:space="0" w:color="auto"/>
              <w:left w:val="nil"/>
              <w:bottom w:val="nil"/>
              <w:right w:val="nil"/>
            </w:tcBorders>
            <w:shd w:val="clear" w:color="auto" w:fill="auto"/>
            <w:noWrap/>
            <w:vAlign w:val="center"/>
            <w:hideMark/>
          </w:tcPr>
          <w:p w14:paraId="56A3BC93"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100,3%</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62864691"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99,8%</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544E097B"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93,2%</w:t>
            </w:r>
          </w:p>
        </w:tc>
      </w:tr>
      <w:tr w:rsidR="00B4723D" w:rsidRPr="00B4723D" w14:paraId="03537585" w14:textId="77777777" w:rsidTr="00B4723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3007259"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Class D</w:t>
            </w:r>
          </w:p>
        </w:tc>
        <w:tc>
          <w:tcPr>
            <w:tcW w:w="868" w:type="dxa"/>
            <w:tcBorders>
              <w:top w:val="single" w:sz="8" w:space="0" w:color="auto"/>
              <w:left w:val="nil"/>
              <w:bottom w:val="nil"/>
              <w:right w:val="nil"/>
            </w:tcBorders>
            <w:shd w:val="clear" w:color="auto" w:fill="auto"/>
            <w:noWrap/>
            <w:vAlign w:val="center"/>
            <w:hideMark/>
          </w:tcPr>
          <w:p w14:paraId="632F8B09"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-0,05%</w:t>
            </w:r>
          </w:p>
        </w:tc>
        <w:tc>
          <w:tcPr>
            <w:tcW w:w="868" w:type="dxa"/>
            <w:tcBorders>
              <w:top w:val="single" w:sz="8" w:space="0" w:color="auto"/>
              <w:left w:val="nil"/>
              <w:bottom w:val="nil"/>
              <w:right w:val="nil"/>
            </w:tcBorders>
            <w:shd w:val="clear" w:color="auto" w:fill="auto"/>
            <w:noWrap/>
            <w:vAlign w:val="center"/>
            <w:hideMark/>
          </w:tcPr>
          <w:p w14:paraId="31F5B5C8"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0,05%</w:t>
            </w:r>
          </w:p>
        </w:tc>
        <w:tc>
          <w:tcPr>
            <w:tcW w:w="868" w:type="dxa"/>
            <w:tcBorders>
              <w:top w:val="single" w:sz="8" w:space="0" w:color="auto"/>
              <w:left w:val="nil"/>
              <w:bottom w:val="nil"/>
              <w:right w:val="single" w:sz="4" w:space="0" w:color="auto"/>
            </w:tcBorders>
            <w:shd w:val="clear" w:color="auto" w:fill="auto"/>
            <w:noWrap/>
            <w:vAlign w:val="center"/>
            <w:hideMark/>
          </w:tcPr>
          <w:p w14:paraId="3A4B8782"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0,07%</w:t>
            </w:r>
          </w:p>
        </w:tc>
        <w:tc>
          <w:tcPr>
            <w:tcW w:w="926" w:type="dxa"/>
            <w:tcBorders>
              <w:top w:val="single" w:sz="8" w:space="0" w:color="auto"/>
              <w:left w:val="nil"/>
              <w:bottom w:val="nil"/>
              <w:right w:val="nil"/>
            </w:tcBorders>
            <w:shd w:val="clear" w:color="auto" w:fill="auto"/>
            <w:noWrap/>
            <w:vAlign w:val="center"/>
            <w:hideMark/>
          </w:tcPr>
          <w:p w14:paraId="7E9A557F"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98,1%</w:t>
            </w:r>
          </w:p>
        </w:tc>
        <w:tc>
          <w:tcPr>
            <w:tcW w:w="926" w:type="dxa"/>
            <w:tcBorders>
              <w:top w:val="single" w:sz="8" w:space="0" w:color="auto"/>
              <w:left w:val="nil"/>
              <w:bottom w:val="nil"/>
              <w:right w:val="nil"/>
            </w:tcBorders>
            <w:shd w:val="clear" w:color="auto" w:fill="auto"/>
            <w:noWrap/>
            <w:vAlign w:val="center"/>
            <w:hideMark/>
          </w:tcPr>
          <w:p w14:paraId="01CEF016"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99,6%</w:t>
            </w:r>
          </w:p>
        </w:tc>
        <w:tc>
          <w:tcPr>
            <w:tcW w:w="1475" w:type="dxa"/>
            <w:tcBorders>
              <w:top w:val="nil"/>
              <w:left w:val="single" w:sz="4" w:space="0" w:color="auto"/>
              <w:bottom w:val="nil"/>
              <w:right w:val="nil"/>
            </w:tcBorders>
            <w:shd w:val="clear" w:color="auto" w:fill="auto"/>
            <w:noWrap/>
            <w:vAlign w:val="center"/>
            <w:hideMark/>
          </w:tcPr>
          <w:p w14:paraId="7ADD34B6"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99,7%</w:t>
            </w:r>
          </w:p>
        </w:tc>
        <w:tc>
          <w:tcPr>
            <w:tcW w:w="1489" w:type="dxa"/>
            <w:tcBorders>
              <w:top w:val="nil"/>
              <w:left w:val="nil"/>
              <w:bottom w:val="nil"/>
              <w:right w:val="single" w:sz="8" w:space="0" w:color="auto"/>
            </w:tcBorders>
            <w:shd w:val="clear" w:color="auto" w:fill="auto"/>
            <w:noWrap/>
            <w:vAlign w:val="center"/>
            <w:hideMark/>
          </w:tcPr>
          <w:p w14:paraId="133C1738"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91,0%</w:t>
            </w:r>
          </w:p>
        </w:tc>
      </w:tr>
      <w:tr w:rsidR="00B4723D" w:rsidRPr="00B4723D" w14:paraId="4D5B45E6" w14:textId="77777777" w:rsidTr="00B4723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3D02F4E"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Class F</w:t>
            </w:r>
          </w:p>
        </w:tc>
        <w:tc>
          <w:tcPr>
            <w:tcW w:w="868" w:type="dxa"/>
            <w:tcBorders>
              <w:top w:val="nil"/>
              <w:left w:val="nil"/>
              <w:bottom w:val="nil"/>
              <w:right w:val="nil"/>
            </w:tcBorders>
            <w:shd w:val="clear" w:color="auto" w:fill="auto"/>
            <w:noWrap/>
            <w:vAlign w:val="center"/>
            <w:hideMark/>
          </w:tcPr>
          <w:p w14:paraId="54B3A1D2"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-0,08%</w:t>
            </w:r>
          </w:p>
        </w:tc>
        <w:tc>
          <w:tcPr>
            <w:tcW w:w="868" w:type="dxa"/>
            <w:tcBorders>
              <w:top w:val="nil"/>
              <w:left w:val="nil"/>
              <w:bottom w:val="nil"/>
              <w:right w:val="nil"/>
            </w:tcBorders>
            <w:shd w:val="clear" w:color="auto" w:fill="auto"/>
            <w:noWrap/>
            <w:vAlign w:val="center"/>
            <w:hideMark/>
          </w:tcPr>
          <w:p w14:paraId="0A53E802"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-0,22%</w:t>
            </w:r>
          </w:p>
        </w:tc>
        <w:tc>
          <w:tcPr>
            <w:tcW w:w="868" w:type="dxa"/>
            <w:tcBorders>
              <w:top w:val="nil"/>
              <w:left w:val="nil"/>
              <w:bottom w:val="nil"/>
              <w:right w:val="single" w:sz="4" w:space="0" w:color="auto"/>
            </w:tcBorders>
            <w:shd w:val="clear" w:color="auto" w:fill="auto"/>
            <w:noWrap/>
            <w:vAlign w:val="center"/>
            <w:hideMark/>
          </w:tcPr>
          <w:p w14:paraId="4FF84BB9"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0,13%</w:t>
            </w:r>
          </w:p>
        </w:tc>
        <w:tc>
          <w:tcPr>
            <w:tcW w:w="926" w:type="dxa"/>
            <w:tcBorders>
              <w:top w:val="nil"/>
              <w:left w:val="nil"/>
              <w:bottom w:val="nil"/>
              <w:right w:val="nil"/>
            </w:tcBorders>
            <w:shd w:val="clear" w:color="auto" w:fill="auto"/>
            <w:noWrap/>
            <w:vAlign w:val="center"/>
            <w:hideMark/>
          </w:tcPr>
          <w:p w14:paraId="037DDE7D"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99,3%</w:t>
            </w:r>
          </w:p>
        </w:tc>
        <w:tc>
          <w:tcPr>
            <w:tcW w:w="926" w:type="dxa"/>
            <w:tcBorders>
              <w:top w:val="nil"/>
              <w:left w:val="nil"/>
              <w:bottom w:val="nil"/>
              <w:right w:val="nil"/>
            </w:tcBorders>
            <w:shd w:val="clear" w:color="auto" w:fill="auto"/>
            <w:noWrap/>
            <w:vAlign w:val="center"/>
            <w:hideMark/>
          </w:tcPr>
          <w:p w14:paraId="0ECD1291"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101,5%</w:t>
            </w:r>
          </w:p>
        </w:tc>
        <w:tc>
          <w:tcPr>
            <w:tcW w:w="1475" w:type="dxa"/>
            <w:tcBorders>
              <w:top w:val="nil"/>
              <w:left w:val="single" w:sz="4" w:space="0" w:color="auto"/>
              <w:bottom w:val="nil"/>
              <w:right w:val="nil"/>
            </w:tcBorders>
            <w:shd w:val="clear" w:color="auto" w:fill="auto"/>
            <w:noWrap/>
            <w:vAlign w:val="center"/>
            <w:hideMark/>
          </w:tcPr>
          <w:p w14:paraId="6C4DFE25"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97,2%</w:t>
            </w:r>
          </w:p>
        </w:tc>
        <w:tc>
          <w:tcPr>
            <w:tcW w:w="1489" w:type="dxa"/>
            <w:tcBorders>
              <w:top w:val="nil"/>
              <w:left w:val="nil"/>
              <w:bottom w:val="nil"/>
              <w:right w:val="single" w:sz="8" w:space="0" w:color="auto"/>
            </w:tcBorders>
            <w:shd w:val="clear" w:color="auto" w:fill="auto"/>
            <w:noWrap/>
            <w:vAlign w:val="center"/>
            <w:hideMark/>
          </w:tcPr>
          <w:p w14:paraId="071BB77F"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89,9%</w:t>
            </w:r>
          </w:p>
        </w:tc>
      </w:tr>
      <w:tr w:rsidR="00B4723D" w:rsidRPr="00B4723D" w14:paraId="72BB2851" w14:textId="77777777" w:rsidTr="00B4723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1955C53"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Class TGM</w:t>
            </w:r>
          </w:p>
        </w:tc>
        <w:tc>
          <w:tcPr>
            <w:tcW w:w="868" w:type="dxa"/>
            <w:tcBorders>
              <w:top w:val="nil"/>
              <w:left w:val="nil"/>
              <w:bottom w:val="single" w:sz="8" w:space="0" w:color="auto"/>
              <w:right w:val="nil"/>
            </w:tcBorders>
            <w:shd w:val="clear" w:color="auto" w:fill="auto"/>
            <w:noWrap/>
            <w:vAlign w:val="center"/>
            <w:hideMark/>
          </w:tcPr>
          <w:p w14:paraId="1A03B8D7"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-0,18%</w:t>
            </w:r>
          </w:p>
        </w:tc>
        <w:tc>
          <w:tcPr>
            <w:tcW w:w="868" w:type="dxa"/>
            <w:tcBorders>
              <w:top w:val="nil"/>
              <w:left w:val="nil"/>
              <w:bottom w:val="single" w:sz="8" w:space="0" w:color="auto"/>
              <w:right w:val="nil"/>
            </w:tcBorders>
            <w:shd w:val="clear" w:color="auto" w:fill="auto"/>
            <w:noWrap/>
            <w:vAlign w:val="center"/>
            <w:hideMark/>
          </w:tcPr>
          <w:p w14:paraId="1BD6DE09"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-0,19%</w:t>
            </w:r>
          </w:p>
        </w:tc>
        <w:tc>
          <w:tcPr>
            <w:tcW w:w="868" w:type="dxa"/>
            <w:tcBorders>
              <w:top w:val="nil"/>
              <w:left w:val="nil"/>
              <w:bottom w:val="single" w:sz="8" w:space="0" w:color="auto"/>
              <w:right w:val="single" w:sz="4" w:space="0" w:color="auto"/>
            </w:tcBorders>
            <w:shd w:val="clear" w:color="auto" w:fill="auto"/>
            <w:noWrap/>
            <w:vAlign w:val="center"/>
            <w:hideMark/>
          </w:tcPr>
          <w:p w14:paraId="1D10AF27"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-0,19%</w:t>
            </w:r>
          </w:p>
        </w:tc>
        <w:tc>
          <w:tcPr>
            <w:tcW w:w="926" w:type="dxa"/>
            <w:tcBorders>
              <w:top w:val="nil"/>
              <w:left w:val="nil"/>
              <w:bottom w:val="single" w:sz="8" w:space="0" w:color="auto"/>
              <w:right w:val="nil"/>
            </w:tcBorders>
            <w:shd w:val="clear" w:color="auto" w:fill="auto"/>
            <w:noWrap/>
            <w:vAlign w:val="center"/>
            <w:hideMark/>
          </w:tcPr>
          <w:p w14:paraId="241C2145"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98,2%</w:t>
            </w:r>
          </w:p>
        </w:tc>
        <w:tc>
          <w:tcPr>
            <w:tcW w:w="926" w:type="dxa"/>
            <w:tcBorders>
              <w:top w:val="nil"/>
              <w:left w:val="nil"/>
              <w:bottom w:val="single" w:sz="8" w:space="0" w:color="auto"/>
              <w:right w:val="nil"/>
            </w:tcBorders>
            <w:shd w:val="clear" w:color="auto" w:fill="auto"/>
            <w:noWrap/>
            <w:vAlign w:val="center"/>
            <w:hideMark/>
          </w:tcPr>
          <w:p w14:paraId="66350D16"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101,6%</w:t>
            </w:r>
          </w:p>
        </w:tc>
        <w:tc>
          <w:tcPr>
            <w:tcW w:w="1475" w:type="dxa"/>
            <w:tcBorders>
              <w:top w:val="nil"/>
              <w:left w:val="single" w:sz="4" w:space="0" w:color="auto"/>
              <w:bottom w:val="single" w:sz="8" w:space="0" w:color="auto"/>
              <w:right w:val="nil"/>
            </w:tcBorders>
            <w:shd w:val="clear" w:color="auto" w:fill="auto"/>
            <w:noWrap/>
            <w:vAlign w:val="center"/>
            <w:hideMark/>
          </w:tcPr>
          <w:p w14:paraId="1C43E79A"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99,8%</w:t>
            </w:r>
          </w:p>
        </w:tc>
        <w:tc>
          <w:tcPr>
            <w:tcW w:w="1489" w:type="dxa"/>
            <w:tcBorders>
              <w:top w:val="nil"/>
              <w:left w:val="nil"/>
              <w:bottom w:val="single" w:sz="8" w:space="0" w:color="auto"/>
              <w:right w:val="single" w:sz="8" w:space="0" w:color="auto"/>
            </w:tcBorders>
            <w:shd w:val="clear" w:color="auto" w:fill="auto"/>
            <w:noWrap/>
            <w:vAlign w:val="center"/>
            <w:hideMark/>
          </w:tcPr>
          <w:p w14:paraId="7418B3EB" w14:textId="77777777" w:rsidR="00B4723D" w:rsidRPr="00B4723D" w:rsidRDefault="00B4723D" w:rsidP="00B4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4723D">
              <w:rPr>
                <w:rFonts w:ascii="Arial" w:hAnsi="Arial" w:cs="Arial"/>
                <w:color w:val="000000"/>
                <w:sz w:val="18"/>
                <w:szCs w:val="18"/>
                <w:lang w:val="fr-FR" w:eastAsia="fr-FR"/>
              </w:rPr>
              <w:t>92,8%</w:t>
            </w:r>
          </w:p>
        </w:tc>
      </w:tr>
    </w:tbl>
    <w:p w14:paraId="71A52014" w14:textId="77777777" w:rsidR="00B4723D" w:rsidRDefault="00B4723D" w:rsidP="00A6219E">
      <w:pPr>
        <w:rPr>
          <w:szCs w:val="22"/>
          <w:lang w:val="en-CA"/>
        </w:rPr>
      </w:pPr>
    </w:p>
    <w:tbl>
      <w:tblPr>
        <w:tblW w:w="8481" w:type="dxa"/>
        <w:jc w:val="center"/>
        <w:tblLook w:val="04A0" w:firstRow="1" w:lastRow="0" w:firstColumn="1" w:lastColumn="0" w:noHBand="0" w:noVBand="1"/>
      </w:tblPr>
      <w:tblGrid>
        <w:gridCol w:w="1060"/>
        <w:gridCol w:w="1015"/>
        <w:gridCol w:w="1015"/>
        <w:gridCol w:w="1015"/>
        <w:gridCol w:w="844"/>
        <w:gridCol w:w="831"/>
        <w:gridCol w:w="1344"/>
        <w:gridCol w:w="1357"/>
      </w:tblGrid>
      <w:tr w:rsidR="00FF0DA3" w:rsidRPr="00FF0DA3" w14:paraId="2F1D2363" w14:textId="77777777" w:rsidTr="006512B1">
        <w:trPr>
          <w:trHeight w:val="255"/>
          <w:jc w:val="center"/>
        </w:trPr>
        <w:tc>
          <w:tcPr>
            <w:tcW w:w="1060" w:type="dxa"/>
            <w:tcBorders>
              <w:top w:val="nil"/>
              <w:left w:val="nil"/>
              <w:bottom w:val="nil"/>
              <w:right w:val="nil"/>
            </w:tcBorders>
            <w:shd w:val="clear" w:color="auto" w:fill="auto"/>
            <w:noWrap/>
            <w:vAlign w:val="center"/>
            <w:hideMark/>
          </w:tcPr>
          <w:p w14:paraId="0CEBA297"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1"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C92F01"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F0DA3">
              <w:rPr>
                <w:rFonts w:ascii="Arial" w:hAnsi="Arial" w:cs="Arial"/>
                <w:b/>
                <w:bCs/>
                <w:color w:val="000000"/>
                <w:sz w:val="18"/>
                <w:szCs w:val="18"/>
              </w:rPr>
              <w:t>Random Access Main 10</w:t>
            </w:r>
          </w:p>
        </w:tc>
      </w:tr>
      <w:tr w:rsidR="00FF0DA3" w:rsidRPr="00FF0DA3" w14:paraId="04FEE76B" w14:textId="77777777" w:rsidTr="006512B1">
        <w:trPr>
          <w:trHeight w:val="255"/>
          <w:jc w:val="center"/>
        </w:trPr>
        <w:tc>
          <w:tcPr>
            <w:tcW w:w="1060" w:type="dxa"/>
            <w:tcBorders>
              <w:top w:val="nil"/>
              <w:left w:val="nil"/>
              <w:bottom w:val="nil"/>
              <w:right w:val="nil"/>
            </w:tcBorders>
            <w:shd w:val="clear" w:color="auto" w:fill="auto"/>
            <w:noWrap/>
            <w:vAlign w:val="center"/>
            <w:hideMark/>
          </w:tcPr>
          <w:p w14:paraId="0BE367A2"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1" w:type="dxa"/>
            <w:gridSpan w:val="7"/>
            <w:tcBorders>
              <w:top w:val="nil"/>
              <w:left w:val="single" w:sz="8" w:space="0" w:color="auto"/>
              <w:bottom w:val="nil"/>
              <w:right w:val="single" w:sz="8" w:space="0" w:color="auto"/>
            </w:tcBorders>
            <w:shd w:val="clear" w:color="auto" w:fill="auto"/>
            <w:noWrap/>
            <w:vAlign w:val="center"/>
            <w:hideMark/>
          </w:tcPr>
          <w:p w14:paraId="2E0B5D16" w14:textId="23032471"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F0DA3">
              <w:rPr>
                <w:rFonts w:ascii="Arial" w:hAnsi="Arial" w:cs="Arial"/>
                <w:b/>
                <w:bCs/>
                <w:color w:val="000000"/>
                <w:sz w:val="18"/>
                <w:szCs w:val="18"/>
              </w:rPr>
              <w:t>Over ECM-1</w:t>
            </w:r>
            <w:r w:rsidR="00B37713">
              <w:rPr>
                <w:rFonts w:ascii="Arial" w:hAnsi="Arial" w:cs="Arial"/>
                <w:b/>
                <w:bCs/>
                <w:color w:val="000000"/>
                <w:sz w:val="18"/>
                <w:szCs w:val="18"/>
              </w:rPr>
              <w:t>1</w:t>
            </w:r>
            <w:r w:rsidRPr="00FF0DA3">
              <w:rPr>
                <w:rFonts w:ascii="Arial" w:hAnsi="Arial" w:cs="Arial"/>
                <w:b/>
                <w:bCs/>
                <w:color w:val="000000"/>
                <w:sz w:val="18"/>
                <w:szCs w:val="18"/>
              </w:rPr>
              <w:t>.0</w:t>
            </w:r>
          </w:p>
        </w:tc>
      </w:tr>
      <w:tr w:rsidR="00FF0DA3" w:rsidRPr="00FF0DA3" w14:paraId="719ABED1" w14:textId="77777777" w:rsidTr="006512B1">
        <w:trPr>
          <w:trHeight w:val="255"/>
          <w:jc w:val="center"/>
        </w:trPr>
        <w:tc>
          <w:tcPr>
            <w:tcW w:w="1060" w:type="dxa"/>
            <w:tcBorders>
              <w:top w:val="nil"/>
              <w:left w:val="nil"/>
              <w:bottom w:val="nil"/>
              <w:right w:val="nil"/>
            </w:tcBorders>
            <w:shd w:val="clear" w:color="auto" w:fill="auto"/>
            <w:noWrap/>
            <w:vAlign w:val="center"/>
            <w:hideMark/>
          </w:tcPr>
          <w:p w14:paraId="42009FDB"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5" w:type="dxa"/>
            <w:tcBorders>
              <w:top w:val="nil"/>
              <w:left w:val="single" w:sz="8" w:space="0" w:color="auto"/>
              <w:bottom w:val="single" w:sz="8" w:space="0" w:color="auto"/>
              <w:right w:val="nil"/>
            </w:tcBorders>
            <w:shd w:val="clear" w:color="auto" w:fill="auto"/>
            <w:noWrap/>
            <w:vAlign w:val="center"/>
            <w:hideMark/>
          </w:tcPr>
          <w:p w14:paraId="2D015FF0"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Y</w:t>
            </w:r>
          </w:p>
        </w:tc>
        <w:tc>
          <w:tcPr>
            <w:tcW w:w="1015" w:type="dxa"/>
            <w:tcBorders>
              <w:top w:val="nil"/>
              <w:left w:val="nil"/>
              <w:bottom w:val="single" w:sz="8" w:space="0" w:color="auto"/>
              <w:right w:val="nil"/>
            </w:tcBorders>
            <w:shd w:val="clear" w:color="auto" w:fill="auto"/>
            <w:noWrap/>
            <w:vAlign w:val="center"/>
            <w:hideMark/>
          </w:tcPr>
          <w:p w14:paraId="28CA49B0"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U</w:t>
            </w:r>
          </w:p>
        </w:tc>
        <w:tc>
          <w:tcPr>
            <w:tcW w:w="1015" w:type="dxa"/>
            <w:tcBorders>
              <w:top w:val="nil"/>
              <w:left w:val="nil"/>
              <w:bottom w:val="single" w:sz="8" w:space="0" w:color="auto"/>
              <w:right w:val="single" w:sz="4" w:space="0" w:color="auto"/>
            </w:tcBorders>
            <w:shd w:val="clear" w:color="auto" w:fill="auto"/>
            <w:noWrap/>
            <w:vAlign w:val="center"/>
            <w:hideMark/>
          </w:tcPr>
          <w:p w14:paraId="7379B40F"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V</w:t>
            </w:r>
          </w:p>
        </w:tc>
        <w:tc>
          <w:tcPr>
            <w:tcW w:w="844" w:type="dxa"/>
            <w:tcBorders>
              <w:top w:val="nil"/>
              <w:left w:val="nil"/>
              <w:bottom w:val="single" w:sz="8" w:space="0" w:color="auto"/>
              <w:right w:val="nil"/>
            </w:tcBorders>
            <w:shd w:val="clear" w:color="auto" w:fill="auto"/>
            <w:noWrap/>
            <w:vAlign w:val="center"/>
            <w:hideMark/>
          </w:tcPr>
          <w:p w14:paraId="1EFD9C76"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F0DA3">
              <w:rPr>
                <w:rFonts w:ascii="Arial" w:hAnsi="Arial" w:cs="Arial"/>
                <w:color w:val="000000"/>
                <w:sz w:val="18"/>
                <w:szCs w:val="18"/>
              </w:rPr>
              <w:t>EncT</w:t>
            </w:r>
            <w:proofErr w:type="spellEnd"/>
          </w:p>
        </w:tc>
        <w:tc>
          <w:tcPr>
            <w:tcW w:w="831" w:type="dxa"/>
            <w:tcBorders>
              <w:top w:val="nil"/>
              <w:left w:val="nil"/>
              <w:bottom w:val="single" w:sz="8" w:space="0" w:color="auto"/>
              <w:right w:val="nil"/>
            </w:tcBorders>
            <w:shd w:val="clear" w:color="auto" w:fill="auto"/>
            <w:noWrap/>
            <w:vAlign w:val="center"/>
            <w:hideMark/>
          </w:tcPr>
          <w:p w14:paraId="02681BD6"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F0DA3">
              <w:rPr>
                <w:rFonts w:ascii="Arial" w:hAnsi="Arial" w:cs="Arial"/>
                <w:color w:val="000000"/>
                <w:sz w:val="18"/>
                <w:szCs w:val="18"/>
              </w:rPr>
              <w:t>DecT</w:t>
            </w:r>
            <w:proofErr w:type="spellEnd"/>
          </w:p>
        </w:tc>
        <w:tc>
          <w:tcPr>
            <w:tcW w:w="1344" w:type="dxa"/>
            <w:tcBorders>
              <w:top w:val="nil"/>
              <w:left w:val="single" w:sz="4" w:space="0" w:color="auto"/>
              <w:bottom w:val="single" w:sz="8" w:space="0" w:color="auto"/>
              <w:right w:val="nil"/>
            </w:tcBorders>
            <w:shd w:val="clear" w:color="auto" w:fill="auto"/>
            <w:noWrap/>
            <w:vAlign w:val="center"/>
            <w:hideMark/>
          </w:tcPr>
          <w:p w14:paraId="6F00805C"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F0DA3">
              <w:rPr>
                <w:rFonts w:ascii="Arial" w:hAnsi="Arial" w:cs="Arial"/>
                <w:color w:val="000000"/>
                <w:sz w:val="18"/>
                <w:szCs w:val="18"/>
              </w:rPr>
              <w:t>EncVmPeak</w:t>
            </w:r>
            <w:proofErr w:type="spellEnd"/>
          </w:p>
        </w:tc>
        <w:tc>
          <w:tcPr>
            <w:tcW w:w="1357" w:type="dxa"/>
            <w:tcBorders>
              <w:top w:val="nil"/>
              <w:left w:val="single" w:sz="4" w:space="0" w:color="auto"/>
              <w:bottom w:val="single" w:sz="8" w:space="0" w:color="auto"/>
              <w:right w:val="single" w:sz="8" w:space="0" w:color="auto"/>
            </w:tcBorders>
            <w:shd w:val="clear" w:color="auto" w:fill="auto"/>
            <w:noWrap/>
            <w:vAlign w:val="center"/>
            <w:hideMark/>
          </w:tcPr>
          <w:p w14:paraId="01493C4B"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F0DA3">
              <w:rPr>
                <w:rFonts w:ascii="Arial" w:hAnsi="Arial" w:cs="Arial"/>
                <w:color w:val="000000"/>
                <w:sz w:val="18"/>
                <w:szCs w:val="18"/>
              </w:rPr>
              <w:t>DecVmPeak</w:t>
            </w:r>
            <w:proofErr w:type="spellEnd"/>
          </w:p>
        </w:tc>
      </w:tr>
      <w:tr w:rsidR="00FF0DA3" w:rsidRPr="00FF0DA3" w14:paraId="71E5B679" w14:textId="77777777" w:rsidTr="006512B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975342"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Class A1</w:t>
            </w:r>
          </w:p>
        </w:tc>
        <w:tc>
          <w:tcPr>
            <w:tcW w:w="1015" w:type="dxa"/>
            <w:tcBorders>
              <w:top w:val="nil"/>
              <w:left w:val="nil"/>
              <w:bottom w:val="nil"/>
              <w:right w:val="nil"/>
            </w:tcBorders>
            <w:shd w:val="clear" w:color="auto" w:fill="auto"/>
            <w:noWrap/>
            <w:vAlign w:val="center"/>
            <w:hideMark/>
          </w:tcPr>
          <w:p w14:paraId="4061EF9B" w14:textId="77777777" w:rsidR="00FF0DA3" w:rsidRPr="004B3BF8"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sidRPr="004B3BF8">
              <w:rPr>
                <w:rFonts w:ascii="Arial" w:hAnsi="Arial" w:cs="Arial"/>
                <w:color w:val="000000"/>
                <w:sz w:val="18"/>
                <w:szCs w:val="18"/>
                <w:highlight w:val="yellow"/>
              </w:rPr>
              <w:t>#VALUE!</w:t>
            </w:r>
          </w:p>
        </w:tc>
        <w:tc>
          <w:tcPr>
            <w:tcW w:w="1015" w:type="dxa"/>
            <w:tcBorders>
              <w:top w:val="nil"/>
              <w:left w:val="nil"/>
              <w:bottom w:val="nil"/>
              <w:right w:val="nil"/>
            </w:tcBorders>
            <w:shd w:val="clear" w:color="auto" w:fill="auto"/>
            <w:noWrap/>
            <w:vAlign w:val="center"/>
            <w:hideMark/>
          </w:tcPr>
          <w:p w14:paraId="0831E4FA" w14:textId="77777777" w:rsidR="00FF0DA3" w:rsidRPr="004B3BF8"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sidRPr="004B3BF8">
              <w:rPr>
                <w:rFonts w:ascii="Arial" w:hAnsi="Arial" w:cs="Arial"/>
                <w:color w:val="000000"/>
                <w:sz w:val="18"/>
                <w:szCs w:val="18"/>
                <w:highlight w:val="yellow"/>
              </w:rPr>
              <w:t>#VALUE!</w:t>
            </w:r>
          </w:p>
        </w:tc>
        <w:tc>
          <w:tcPr>
            <w:tcW w:w="1015" w:type="dxa"/>
            <w:tcBorders>
              <w:top w:val="nil"/>
              <w:left w:val="nil"/>
              <w:bottom w:val="nil"/>
              <w:right w:val="single" w:sz="4" w:space="0" w:color="auto"/>
            </w:tcBorders>
            <w:shd w:val="clear" w:color="auto" w:fill="auto"/>
            <w:noWrap/>
            <w:vAlign w:val="center"/>
            <w:hideMark/>
          </w:tcPr>
          <w:p w14:paraId="7D2A1239" w14:textId="77777777" w:rsidR="00FF0DA3" w:rsidRPr="004B3BF8"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sidRPr="004B3BF8">
              <w:rPr>
                <w:rFonts w:ascii="Arial" w:hAnsi="Arial" w:cs="Arial"/>
                <w:color w:val="000000"/>
                <w:sz w:val="18"/>
                <w:szCs w:val="18"/>
                <w:highlight w:val="yellow"/>
              </w:rPr>
              <w:t>#VALUE!</w:t>
            </w:r>
          </w:p>
        </w:tc>
        <w:tc>
          <w:tcPr>
            <w:tcW w:w="844" w:type="dxa"/>
            <w:tcBorders>
              <w:top w:val="nil"/>
              <w:left w:val="nil"/>
              <w:bottom w:val="nil"/>
              <w:right w:val="nil"/>
            </w:tcBorders>
            <w:shd w:val="clear" w:color="auto" w:fill="auto"/>
            <w:noWrap/>
            <w:vAlign w:val="center"/>
            <w:hideMark/>
          </w:tcPr>
          <w:p w14:paraId="520A18E1" w14:textId="77777777" w:rsidR="00FF0DA3" w:rsidRPr="004B3BF8"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sidRPr="004B3BF8">
              <w:rPr>
                <w:rFonts w:ascii="Arial" w:hAnsi="Arial" w:cs="Arial"/>
                <w:color w:val="000000"/>
                <w:sz w:val="18"/>
                <w:szCs w:val="18"/>
                <w:highlight w:val="yellow"/>
              </w:rPr>
              <w:t>#DIV/0!</w:t>
            </w:r>
          </w:p>
        </w:tc>
        <w:tc>
          <w:tcPr>
            <w:tcW w:w="831" w:type="dxa"/>
            <w:tcBorders>
              <w:top w:val="nil"/>
              <w:left w:val="nil"/>
              <w:bottom w:val="nil"/>
              <w:right w:val="nil"/>
            </w:tcBorders>
            <w:shd w:val="clear" w:color="auto" w:fill="auto"/>
            <w:noWrap/>
            <w:vAlign w:val="center"/>
            <w:hideMark/>
          </w:tcPr>
          <w:p w14:paraId="68695976" w14:textId="77777777" w:rsidR="00FF0DA3" w:rsidRPr="004B3BF8"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sidRPr="004B3BF8">
              <w:rPr>
                <w:rFonts w:ascii="Arial" w:hAnsi="Arial" w:cs="Arial"/>
                <w:color w:val="000000"/>
                <w:sz w:val="18"/>
                <w:szCs w:val="18"/>
                <w:highlight w:val="yellow"/>
              </w:rPr>
              <w:t>#DIV/0!</w:t>
            </w:r>
          </w:p>
        </w:tc>
        <w:tc>
          <w:tcPr>
            <w:tcW w:w="1344" w:type="dxa"/>
            <w:tcBorders>
              <w:top w:val="nil"/>
              <w:left w:val="single" w:sz="4" w:space="0" w:color="auto"/>
              <w:bottom w:val="nil"/>
              <w:right w:val="nil"/>
            </w:tcBorders>
            <w:shd w:val="clear" w:color="auto" w:fill="auto"/>
            <w:noWrap/>
            <w:vAlign w:val="center"/>
            <w:hideMark/>
          </w:tcPr>
          <w:p w14:paraId="2C99E906" w14:textId="77777777" w:rsidR="00FF0DA3" w:rsidRPr="004B3BF8"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sidRPr="004B3BF8">
              <w:rPr>
                <w:rFonts w:ascii="Arial" w:hAnsi="Arial" w:cs="Arial"/>
                <w:color w:val="000000"/>
                <w:sz w:val="18"/>
                <w:szCs w:val="18"/>
                <w:highlight w:val="yellow"/>
              </w:rPr>
              <w:t>#DIV/0!</w:t>
            </w:r>
          </w:p>
        </w:tc>
        <w:tc>
          <w:tcPr>
            <w:tcW w:w="1357" w:type="dxa"/>
            <w:tcBorders>
              <w:top w:val="nil"/>
              <w:left w:val="nil"/>
              <w:bottom w:val="nil"/>
              <w:right w:val="single" w:sz="8" w:space="0" w:color="auto"/>
            </w:tcBorders>
            <w:shd w:val="clear" w:color="auto" w:fill="auto"/>
            <w:noWrap/>
            <w:vAlign w:val="center"/>
            <w:hideMark/>
          </w:tcPr>
          <w:p w14:paraId="278D46E6" w14:textId="77777777" w:rsidR="00FF0DA3" w:rsidRPr="004B3BF8"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sidRPr="004B3BF8">
              <w:rPr>
                <w:rFonts w:ascii="Arial" w:hAnsi="Arial" w:cs="Arial"/>
                <w:color w:val="000000"/>
                <w:sz w:val="18"/>
                <w:szCs w:val="18"/>
                <w:highlight w:val="yellow"/>
              </w:rPr>
              <w:t>#DIV/0!</w:t>
            </w:r>
          </w:p>
        </w:tc>
      </w:tr>
      <w:tr w:rsidR="00FF0DA3" w:rsidRPr="00FF0DA3" w14:paraId="12D3A092" w14:textId="77777777" w:rsidTr="006512B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49646C2"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Class A2</w:t>
            </w:r>
          </w:p>
        </w:tc>
        <w:tc>
          <w:tcPr>
            <w:tcW w:w="1015" w:type="dxa"/>
            <w:tcBorders>
              <w:top w:val="nil"/>
              <w:left w:val="nil"/>
              <w:bottom w:val="nil"/>
              <w:right w:val="nil"/>
            </w:tcBorders>
            <w:shd w:val="clear" w:color="auto" w:fill="auto"/>
            <w:noWrap/>
            <w:vAlign w:val="center"/>
            <w:hideMark/>
          </w:tcPr>
          <w:p w14:paraId="64252B42" w14:textId="77777777" w:rsidR="00FF0DA3" w:rsidRPr="004B3BF8"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sidRPr="004B3BF8">
              <w:rPr>
                <w:rFonts w:ascii="Arial" w:hAnsi="Arial" w:cs="Arial"/>
                <w:color w:val="000000"/>
                <w:sz w:val="18"/>
                <w:szCs w:val="18"/>
                <w:highlight w:val="yellow"/>
              </w:rPr>
              <w:t>#VALUE!</w:t>
            </w:r>
          </w:p>
        </w:tc>
        <w:tc>
          <w:tcPr>
            <w:tcW w:w="1015" w:type="dxa"/>
            <w:tcBorders>
              <w:top w:val="nil"/>
              <w:left w:val="nil"/>
              <w:bottom w:val="nil"/>
              <w:right w:val="nil"/>
            </w:tcBorders>
            <w:shd w:val="clear" w:color="auto" w:fill="auto"/>
            <w:noWrap/>
            <w:vAlign w:val="center"/>
            <w:hideMark/>
          </w:tcPr>
          <w:p w14:paraId="00F97852" w14:textId="77777777" w:rsidR="00FF0DA3" w:rsidRPr="004B3BF8"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sidRPr="004B3BF8">
              <w:rPr>
                <w:rFonts w:ascii="Arial" w:hAnsi="Arial" w:cs="Arial"/>
                <w:color w:val="000000"/>
                <w:sz w:val="18"/>
                <w:szCs w:val="18"/>
                <w:highlight w:val="yellow"/>
              </w:rPr>
              <w:t>#VALUE!</w:t>
            </w:r>
          </w:p>
        </w:tc>
        <w:tc>
          <w:tcPr>
            <w:tcW w:w="1015" w:type="dxa"/>
            <w:tcBorders>
              <w:top w:val="nil"/>
              <w:left w:val="nil"/>
              <w:bottom w:val="nil"/>
              <w:right w:val="single" w:sz="4" w:space="0" w:color="auto"/>
            </w:tcBorders>
            <w:shd w:val="clear" w:color="auto" w:fill="auto"/>
            <w:noWrap/>
            <w:vAlign w:val="center"/>
            <w:hideMark/>
          </w:tcPr>
          <w:p w14:paraId="7D898022" w14:textId="77777777" w:rsidR="00FF0DA3" w:rsidRPr="004B3BF8"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sidRPr="004B3BF8">
              <w:rPr>
                <w:rFonts w:ascii="Arial" w:hAnsi="Arial" w:cs="Arial"/>
                <w:color w:val="000000"/>
                <w:sz w:val="18"/>
                <w:szCs w:val="18"/>
                <w:highlight w:val="yellow"/>
              </w:rPr>
              <w:t>#VALUE!</w:t>
            </w:r>
          </w:p>
        </w:tc>
        <w:tc>
          <w:tcPr>
            <w:tcW w:w="844" w:type="dxa"/>
            <w:tcBorders>
              <w:top w:val="nil"/>
              <w:left w:val="nil"/>
              <w:bottom w:val="nil"/>
              <w:right w:val="nil"/>
            </w:tcBorders>
            <w:shd w:val="clear" w:color="auto" w:fill="auto"/>
            <w:noWrap/>
            <w:vAlign w:val="center"/>
            <w:hideMark/>
          </w:tcPr>
          <w:p w14:paraId="1F0587D9" w14:textId="77777777" w:rsidR="00FF0DA3" w:rsidRPr="004B3BF8"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sidRPr="004B3BF8">
              <w:rPr>
                <w:rFonts w:ascii="Arial" w:hAnsi="Arial" w:cs="Arial"/>
                <w:color w:val="000000"/>
                <w:sz w:val="18"/>
                <w:szCs w:val="18"/>
                <w:highlight w:val="yellow"/>
              </w:rPr>
              <w:t>#DIV/0!</w:t>
            </w:r>
          </w:p>
        </w:tc>
        <w:tc>
          <w:tcPr>
            <w:tcW w:w="831" w:type="dxa"/>
            <w:tcBorders>
              <w:top w:val="nil"/>
              <w:left w:val="nil"/>
              <w:bottom w:val="nil"/>
              <w:right w:val="nil"/>
            </w:tcBorders>
            <w:shd w:val="clear" w:color="auto" w:fill="auto"/>
            <w:noWrap/>
            <w:vAlign w:val="center"/>
            <w:hideMark/>
          </w:tcPr>
          <w:p w14:paraId="323959A3" w14:textId="77777777" w:rsidR="00FF0DA3" w:rsidRPr="004B3BF8"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sidRPr="004B3BF8">
              <w:rPr>
                <w:rFonts w:ascii="Arial" w:hAnsi="Arial" w:cs="Arial"/>
                <w:color w:val="000000"/>
                <w:sz w:val="18"/>
                <w:szCs w:val="18"/>
                <w:highlight w:val="yellow"/>
              </w:rPr>
              <w:t>#DIV/0!</w:t>
            </w:r>
          </w:p>
        </w:tc>
        <w:tc>
          <w:tcPr>
            <w:tcW w:w="1344" w:type="dxa"/>
            <w:tcBorders>
              <w:top w:val="nil"/>
              <w:left w:val="single" w:sz="4" w:space="0" w:color="auto"/>
              <w:bottom w:val="nil"/>
              <w:right w:val="nil"/>
            </w:tcBorders>
            <w:shd w:val="clear" w:color="auto" w:fill="auto"/>
            <w:noWrap/>
            <w:vAlign w:val="center"/>
            <w:hideMark/>
          </w:tcPr>
          <w:p w14:paraId="5D3098D5" w14:textId="77777777" w:rsidR="00FF0DA3" w:rsidRPr="004B3BF8"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sidRPr="004B3BF8">
              <w:rPr>
                <w:rFonts w:ascii="Arial" w:hAnsi="Arial" w:cs="Arial"/>
                <w:color w:val="000000"/>
                <w:sz w:val="18"/>
                <w:szCs w:val="18"/>
                <w:highlight w:val="yellow"/>
              </w:rPr>
              <w:t>#DIV/0!</w:t>
            </w:r>
          </w:p>
        </w:tc>
        <w:tc>
          <w:tcPr>
            <w:tcW w:w="1357" w:type="dxa"/>
            <w:tcBorders>
              <w:top w:val="nil"/>
              <w:left w:val="nil"/>
              <w:bottom w:val="nil"/>
              <w:right w:val="single" w:sz="8" w:space="0" w:color="auto"/>
            </w:tcBorders>
            <w:shd w:val="clear" w:color="auto" w:fill="auto"/>
            <w:noWrap/>
            <w:vAlign w:val="center"/>
            <w:hideMark/>
          </w:tcPr>
          <w:p w14:paraId="2C63FC52" w14:textId="77777777" w:rsidR="00FF0DA3" w:rsidRPr="004B3BF8"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sidRPr="004B3BF8">
              <w:rPr>
                <w:rFonts w:ascii="Arial" w:hAnsi="Arial" w:cs="Arial"/>
                <w:color w:val="000000"/>
                <w:sz w:val="18"/>
                <w:szCs w:val="18"/>
                <w:highlight w:val="yellow"/>
              </w:rPr>
              <w:t>#DIV/0!</w:t>
            </w:r>
          </w:p>
        </w:tc>
      </w:tr>
      <w:tr w:rsidR="00FF0DA3" w:rsidRPr="00FF0DA3" w14:paraId="4E4065A3" w14:textId="77777777" w:rsidTr="006512B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BC3BF27"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Class B</w:t>
            </w:r>
          </w:p>
        </w:tc>
        <w:tc>
          <w:tcPr>
            <w:tcW w:w="1015" w:type="dxa"/>
            <w:tcBorders>
              <w:top w:val="nil"/>
              <w:left w:val="nil"/>
              <w:bottom w:val="nil"/>
              <w:right w:val="nil"/>
            </w:tcBorders>
            <w:shd w:val="clear" w:color="auto" w:fill="auto"/>
            <w:noWrap/>
            <w:vAlign w:val="center"/>
            <w:hideMark/>
          </w:tcPr>
          <w:p w14:paraId="7F892B42"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-0.04%</w:t>
            </w:r>
          </w:p>
        </w:tc>
        <w:tc>
          <w:tcPr>
            <w:tcW w:w="1015" w:type="dxa"/>
            <w:tcBorders>
              <w:top w:val="nil"/>
              <w:left w:val="nil"/>
              <w:bottom w:val="nil"/>
              <w:right w:val="nil"/>
            </w:tcBorders>
            <w:shd w:val="clear" w:color="auto" w:fill="auto"/>
            <w:noWrap/>
            <w:vAlign w:val="center"/>
            <w:hideMark/>
          </w:tcPr>
          <w:p w14:paraId="4C4D78FD"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0.04%</w:t>
            </w:r>
          </w:p>
        </w:tc>
        <w:tc>
          <w:tcPr>
            <w:tcW w:w="1015" w:type="dxa"/>
            <w:tcBorders>
              <w:top w:val="nil"/>
              <w:left w:val="nil"/>
              <w:bottom w:val="nil"/>
              <w:right w:val="single" w:sz="4" w:space="0" w:color="auto"/>
            </w:tcBorders>
            <w:shd w:val="clear" w:color="auto" w:fill="auto"/>
            <w:noWrap/>
            <w:vAlign w:val="center"/>
            <w:hideMark/>
          </w:tcPr>
          <w:p w14:paraId="53275F0C"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-0.15%</w:t>
            </w:r>
          </w:p>
        </w:tc>
        <w:tc>
          <w:tcPr>
            <w:tcW w:w="844" w:type="dxa"/>
            <w:tcBorders>
              <w:top w:val="nil"/>
              <w:left w:val="nil"/>
              <w:bottom w:val="nil"/>
              <w:right w:val="nil"/>
            </w:tcBorders>
            <w:shd w:val="clear" w:color="auto" w:fill="auto"/>
            <w:noWrap/>
            <w:vAlign w:val="center"/>
            <w:hideMark/>
          </w:tcPr>
          <w:p w14:paraId="287620BC"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98.7%</w:t>
            </w:r>
          </w:p>
        </w:tc>
        <w:tc>
          <w:tcPr>
            <w:tcW w:w="831" w:type="dxa"/>
            <w:tcBorders>
              <w:top w:val="nil"/>
              <w:left w:val="nil"/>
              <w:bottom w:val="nil"/>
              <w:right w:val="nil"/>
            </w:tcBorders>
            <w:shd w:val="clear" w:color="auto" w:fill="auto"/>
            <w:noWrap/>
            <w:vAlign w:val="center"/>
            <w:hideMark/>
          </w:tcPr>
          <w:p w14:paraId="56D289D0"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97.0%</w:t>
            </w:r>
          </w:p>
        </w:tc>
        <w:tc>
          <w:tcPr>
            <w:tcW w:w="1344" w:type="dxa"/>
            <w:tcBorders>
              <w:top w:val="nil"/>
              <w:left w:val="single" w:sz="4" w:space="0" w:color="auto"/>
              <w:bottom w:val="nil"/>
              <w:right w:val="nil"/>
            </w:tcBorders>
            <w:shd w:val="clear" w:color="auto" w:fill="auto"/>
            <w:noWrap/>
            <w:vAlign w:val="center"/>
            <w:hideMark/>
          </w:tcPr>
          <w:p w14:paraId="65FDCF45"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100.0%</w:t>
            </w:r>
          </w:p>
        </w:tc>
        <w:tc>
          <w:tcPr>
            <w:tcW w:w="1357" w:type="dxa"/>
            <w:tcBorders>
              <w:top w:val="nil"/>
              <w:left w:val="nil"/>
              <w:bottom w:val="nil"/>
              <w:right w:val="single" w:sz="8" w:space="0" w:color="auto"/>
            </w:tcBorders>
            <w:shd w:val="clear" w:color="auto" w:fill="auto"/>
            <w:noWrap/>
            <w:vAlign w:val="center"/>
            <w:hideMark/>
          </w:tcPr>
          <w:p w14:paraId="55057AAF"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99.9%</w:t>
            </w:r>
          </w:p>
        </w:tc>
      </w:tr>
      <w:tr w:rsidR="00FF0DA3" w:rsidRPr="00FF0DA3" w14:paraId="10682EDD" w14:textId="77777777" w:rsidTr="006512B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78804CB"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Class C</w:t>
            </w:r>
          </w:p>
        </w:tc>
        <w:tc>
          <w:tcPr>
            <w:tcW w:w="1015" w:type="dxa"/>
            <w:tcBorders>
              <w:top w:val="nil"/>
              <w:left w:val="nil"/>
              <w:bottom w:val="nil"/>
              <w:right w:val="nil"/>
            </w:tcBorders>
            <w:shd w:val="clear" w:color="auto" w:fill="auto"/>
            <w:noWrap/>
            <w:vAlign w:val="center"/>
            <w:hideMark/>
          </w:tcPr>
          <w:p w14:paraId="582CACC5"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-0.08%</w:t>
            </w:r>
          </w:p>
        </w:tc>
        <w:tc>
          <w:tcPr>
            <w:tcW w:w="1015" w:type="dxa"/>
            <w:tcBorders>
              <w:top w:val="nil"/>
              <w:left w:val="nil"/>
              <w:bottom w:val="nil"/>
              <w:right w:val="nil"/>
            </w:tcBorders>
            <w:shd w:val="clear" w:color="auto" w:fill="auto"/>
            <w:noWrap/>
            <w:vAlign w:val="center"/>
            <w:hideMark/>
          </w:tcPr>
          <w:p w14:paraId="44ECF747"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-0.05%</w:t>
            </w:r>
          </w:p>
        </w:tc>
        <w:tc>
          <w:tcPr>
            <w:tcW w:w="1015" w:type="dxa"/>
            <w:tcBorders>
              <w:top w:val="nil"/>
              <w:left w:val="nil"/>
              <w:bottom w:val="nil"/>
              <w:right w:val="single" w:sz="4" w:space="0" w:color="auto"/>
            </w:tcBorders>
            <w:shd w:val="clear" w:color="auto" w:fill="auto"/>
            <w:noWrap/>
            <w:vAlign w:val="center"/>
            <w:hideMark/>
          </w:tcPr>
          <w:p w14:paraId="51D74658"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0.16%</w:t>
            </w:r>
          </w:p>
        </w:tc>
        <w:tc>
          <w:tcPr>
            <w:tcW w:w="844" w:type="dxa"/>
            <w:tcBorders>
              <w:top w:val="nil"/>
              <w:left w:val="nil"/>
              <w:bottom w:val="nil"/>
              <w:right w:val="nil"/>
            </w:tcBorders>
            <w:shd w:val="clear" w:color="auto" w:fill="auto"/>
            <w:noWrap/>
            <w:vAlign w:val="center"/>
            <w:hideMark/>
          </w:tcPr>
          <w:p w14:paraId="4AB278DB"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98.9%</w:t>
            </w:r>
          </w:p>
        </w:tc>
        <w:tc>
          <w:tcPr>
            <w:tcW w:w="831" w:type="dxa"/>
            <w:tcBorders>
              <w:top w:val="nil"/>
              <w:left w:val="nil"/>
              <w:bottom w:val="nil"/>
              <w:right w:val="nil"/>
            </w:tcBorders>
            <w:shd w:val="clear" w:color="auto" w:fill="auto"/>
            <w:noWrap/>
            <w:vAlign w:val="center"/>
            <w:hideMark/>
          </w:tcPr>
          <w:p w14:paraId="3BD35010"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99.7%</w:t>
            </w:r>
          </w:p>
        </w:tc>
        <w:tc>
          <w:tcPr>
            <w:tcW w:w="1344" w:type="dxa"/>
            <w:tcBorders>
              <w:top w:val="nil"/>
              <w:left w:val="single" w:sz="4" w:space="0" w:color="auto"/>
              <w:bottom w:val="nil"/>
              <w:right w:val="nil"/>
            </w:tcBorders>
            <w:shd w:val="clear" w:color="auto" w:fill="auto"/>
            <w:noWrap/>
            <w:vAlign w:val="center"/>
            <w:hideMark/>
          </w:tcPr>
          <w:p w14:paraId="34B33BDF"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100.0%</w:t>
            </w:r>
          </w:p>
        </w:tc>
        <w:tc>
          <w:tcPr>
            <w:tcW w:w="1357" w:type="dxa"/>
            <w:tcBorders>
              <w:top w:val="nil"/>
              <w:left w:val="nil"/>
              <w:bottom w:val="nil"/>
              <w:right w:val="single" w:sz="8" w:space="0" w:color="auto"/>
            </w:tcBorders>
            <w:shd w:val="clear" w:color="auto" w:fill="auto"/>
            <w:noWrap/>
            <w:vAlign w:val="center"/>
            <w:hideMark/>
          </w:tcPr>
          <w:p w14:paraId="5B0CAD7B"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100.7%</w:t>
            </w:r>
          </w:p>
        </w:tc>
      </w:tr>
      <w:tr w:rsidR="00FF0DA3" w:rsidRPr="00FF0DA3" w14:paraId="5EF46FBA" w14:textId="77777777" w:rsidTr="006512B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DA8C56"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Class E</w:t>
            </w:r>
          </w:p>
        </w:tc>
        <w:tc>
          <w:tcPr>
            <w:tcW w:w="1015" w:type="dxa"/>
            <w:tcBorders>
              <w:top w:val="nil"/>
              <w:left w:val="nil"/>
              <w:bottom w:val="nil"/>
              <w:right w:val="nil"/>
            </w:tcBorders>
            <w:shd w:val="clear" w:color="auto" w:fill="auto"/>
            <w:noWrap/>
            <w:vAlign w:val="center"/>
            <w:hideMark/>
          </w:tcPr>
          <w:p w14:paraId="66466D9F"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 </w:t>
            </w:r>
          </w:p>
        </w:tc>
        <w:tc>
          <w:tcPr>
            <w:tcW w:w="1015" w:type="dxa"/>
            <w:tcBorders>
              <w:top w:val="nil"/>
              <w:left w:val="nil"/>
              <w:bottom w:val="nil"/>
              <w:right w:val="nil"/>
            </w:tcBorders>
            <w:shd w:val="clear" w:color="auto" w:fill="auto"/>
            <w:noWrap/>
            <w:vAlign w:val="center"/>
            <w:hideMark/>
          </w:tcPr>
          <w:p w14:paraId="36E85750"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5" w:type="dxa"/>
            <w:tcBorders>
              <w:top w:val="nil"/>
              <w:left w:val="nil"/>
              <w:bottom w:val="nil"/>
              <w:right w:val="single" w:sz="4" w:space="0" w:color="auto"/>
            </w:tcBorders>
            <w:shd w:val="clear" w:color="auto" w:fill="auto"/>
            <w:noWrap/>
            <w:vAlign w:val="center"/>
            <w:hideMark/>
          </w:tcPr>
          <w:p w14:paraId="0A6A56C8"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 </w:t>
            </w:r>
          </w:p>
        </w:tc>
        <w:tc>
          <w:tcPr>
            <w:tcW w:w="844" w:type="dxa"/>
            <w:tcBorders>
              <w:top w:val="nil"/>
              <w:left w:val="nil"/>
              <w:bottom w:val="nil"/>
              <w:right w:val="nil"/>
            </w:tcBorders>
            <w:shd w:val="clear" w:color="auto" w:fill="auto"/>
            <w:noWrap/>
            <w:vAlign w:val="center"/>
            <w:hideMark/>
          </w:tcPr>
          <w:p w14:paraId="2C8FEB68"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 </w:t>
            </w:r>
          </w:p>
        </w:tc>
        <w:tc>
          <w:tcPr>
            <w:tcW w:w="831" w:type="dxa"/>
            <w:tcBorders>
              <w:top w:val="nil"/>
              <w:left w:val="nil"/>
              <w:bottom w:val="nil"/>
              <w:right w:val="nil"/>
            </w:tcBorders>
            <w:shd w:val="clear" w:color="auto" w:fill="auto"/>
            <w:noWrap/>
            <w:vAlign w:val="center"/>
            <w:hideMark/>
          </w:tcPr>
          <w:p w14:paraId="2846C9D4"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4" w:type="dxa"/>
            <w:tcBorders>
              <w:top w:val="nil"/>
              <w:left w:val="single" w:sz="4" w:space="0" w:color="auto"/>
              <w:bottom w:val="nil"/>
              <w:right w:val="nil"/>
            </w:tcBorders>
            <w:shd w:val="clear" w:color="auto" w:fill="auto"/>
            <w:noWrap/>
            <w:vAlign w:val="center"/>
            <w:hideMark/>
          </w:tcPr>
          <w:p w14:paraId="3EB983B6"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 </w:t>
            </w:r>
          </w:p>
        </w:tc>
        <w:tc>
          <w:tcPr>
            <w:tcW w:w="1357" w:type="dxa"/>
            <w:tcBorders>
              <w:top w:val="nil"/>
              <w:left w:val="nil"/>
              <w:bottom w:val="nil"/>
              <w:right w:val="single" w:sz="8" w:space="0" w:color="auto"/>
            </w:tcBorders>
            <w:shd w:val="clear" w:color="auto" w:fill="auto"/>
            <w:noWrap/>
            <w:vAlign w:val="center"/>
            <w:hideMark/>
          </w:tcPr>
          <w:p w14:paraId="6DFEB1B5"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 </w:t>
            </w:r>
          </w:p>
        </w:tc>
      </w:tr>
      <w:tr w:rsidR="00FF0DA3" w:rsidRPr="00FF0DA3" w14:paraId="2AC161AE" w14:textId="77777777" w:rsidTr="006512B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6F1FE4"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F0DA3">
              <w:rPr>
                <w:rFonts w:ascii="Arial" w:hAnsi="Arial" w:cs="Arial"/>
                <w:b/>
                <w:bCs/>
                <w:color w:val="000000"/>
                <w:sz w:val="18"/>
                <w:szCs w:val="18"/>
              </w:rPr>
              <w:t>Overall</w:t>
            </w:r>
          </w:p>
        </w:tc>
        <w:tc>
          <w:tcPr>
            <w:tcW w:w="1015" w:type="dxa"/>
            <w:tcBorders>
              <w:top w:val="single" w:sz="8" w:space="0" w:color="auto"/>
              <w:left w:val="nil"/>
              <w:bottom w:val="nil"/>
              <w:right w:val="nil"/>
            </w:tcBorders>
            <w:shd w:val="clear" w:color="auto" w:fill="auto"/>
            <w:noWrap/>
            <w:vAlign w:val="center"/>
            <w:hideMark/>
          </w:tcPr>
          <w:p w14:paraId="5C274831"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#VALUE!</w:t>
            </w:r>
          </w:p>
        </w:tc>
        <w:tc>
          <w:tcPr>
            <w:tcW w:w="1015" w:type="dxa"/>
            <w:tcBorders>
              <w:top w:val="single" w:sz="8" w:space="0" w:color="auto"/>
              <w:left w:val="nil"/>
              <w:bottom w:val="nil"/>
              <w:right w:val="nil"/>
            </w:tcBorders>
            <w:shd w:val="clear" w:color="auto" w:fill="auto"/>
            <w:noWrap/>
            <w:vAlign w:val="center"/>
            <w:hideMark/>
          </w:tcPr>
          <w:p w14:paraId="6A095BE3"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#VALUE!</w:t>
            </w:r>
          </w:p>
        </w:tc>
        <w:tc>
          <w:tcPr>
            <w:tcW w:w="1015" w:type="dxa"/>
            <w:tcBorders>
              <w:top w:val="single" w:sz="8" w:space="0" w:color="auto"/>
              <w:left w:val="nil"/>
              <w:bottom w:val="nil"/>
              <w:right w:val="single" w:sz="4" w:space="0" w:color="auto"/>
            </w:tcBorders>
            <w:shd w:val="clear" w:color="auto" w:fill="auto"/>
            <w:noWrap/>
            <w:vAlign w:val="center"/>
            <w:hideMark/>
          </w:tcPr>
          <w:p w14:paraId="0416F660"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#VALUE!</w:t>
            </w:r>
          </w:p>
        </w:tc>
        <w:tc>
          <w:tcPr>
            <w:tcW w:w="844" w:type="dxa"/>
            <w:tcBorders>
              <w:top w:val="single" w:sz="8" w:space="0" w:color="auto"/>
              <w:left w:val="nil"/>
              <w:bottom w:val="nil"/>
              <w:right w:val="nil"/>
            </w:tcBorders>
            <w:shd w:val="clear" w:color="auto" w:fill="auto"/>
            <w:noWrap/>
            <w:vAlign w:val="center"/>
            <w:hideMark/>
          </w:tcPr>
          <w:p w14:paraId="7FF66B5B"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#DIV/0!</w:t>
            </w:r>
          </w:p>
        </w:tc>
        <w:tc>
          <w:tcPr>
            <w:tcW w:w="831" w:type="dxa"/>
            <w:tcBorders>
              <w:top w:val="single" w:sz="8" w:space="0" w:color="auto"/>
              <w:left w:val="nil"/>
              <w:bottom w:val="nil"/>
              <w:right w:val="nil"/>
            </w:tcBorders>
            <w:shd w:val="clear" w:color="auto" w:fill="auto"/>
            <w:noWrap/>
            <w:vAlign w:val="center"/>
            <w:hideMark/>
          </w:tcPr>
          <w:p w14:paraId="2B8181E3"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#DIV/0!</w:t>
            </w:r>
          </w:p>
        </w:tc>
        <w:tc>
          <w:tcPr>
            <w:tcW w:w="1344" w:type="dxa"/>
            <w:tcBorders>
              <w:top w:val="single" w:sz="8" w:space="0" w:color="auto"/>
              <w:left w:val="single" w:sz="4" w:space="0" w:color="auto"/>
              <w:bottom w:val="single" w:sz="8" w:space="0" w:color="auto"/>
              <w:right w:val="nil"/>
            </w:tcBorders>
            <w:shd w:val="clear" w:color="auto" w:fill="auto"/>
            <w:noWrap/>
            <w:vAlign w:val="center"/>
            <w:hideMark/>
          </w:tcPr>
          <w:p w14:paraId="2260B6CF"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#DIV/0!</w:t>
            </w:r>
          </w:p>
        </w:tc>
        <w:tc>
          <w:tcPr>
            <w:tcW w:w="1357" w:type="dxa"/>
            <w:tcBorders>
              <w:top w:val="single" w:sz="8" w:space="0" w:color="auto"/>
              <w:left w:val="nil"/>
              <w:bottom w:val="single" w:sz="8" w:space="0" w:color="auto"/>
              <w:right w:val="single" w:sz="8" w:space="0" w:color="auto"/>
            </w:tcBorders>
            <w:shd w:val="clear" w:color="auto" w:fill="auto"/>
            <w:noWrap/>
            <w:vAlign w:val="center"/>
            <w:hideMark/>
          </w:tcPr>
          <w:p w14:paraId="7351F8C4"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#DIV/0!</w:t>
            </w:r>
          </w:p>
        </w:tc>
      </w:tr>
      <w:tr w:rsidR="00FF0DA3" w:rsidRPr="00FF0DA3" w14:paraId="06B8E94C" w14:textId="77777777" w:rsidTr="006512B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7CD0808"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Class D</w:t>
            </w:r>
          </w:p>
        </w:tc>
        <w:tc>
          <w:tcPr>
            <w:tcW w:w="1015" w:type="dxa"/>
            <w:tcBorders>
              <w:top w:val="single" w:sz="8" w:space="0" w:color="auto"/>
              <w:left w:val="nil"/>
              <w:bottom w:val="nil"/>
              <w:right w:val="nil"/>
            </w:tcBorders>
            <w:shd w:val="clear" w:color="auto" w:fill="auto"/>
            <w:noWrap/>
            <w:vAlign w:val="center"/>
            <w:hideMark/>
          </w:tcPr>
          <w:p w14:paraId="6FBA011B"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-0.05%</w:t>
            </w:r>
          </w:p>
        </w:tc>
        <w:tc>
          <w:tcPr>
            <w:tcW w:w="1015" w:type="dxa"/>
            <w:tcBorders>
              <w:top w:val="single" w:sz="8" w:space="0" w:color="auto"/>
              <w:left w:val="nil"/>
              <w:bottom w:val="nil"/>
              <w:right w:val="nil"/>
            </w:tcBorders>
            <w:shd w:val="clear" w:color="auto" w:fill="auto"/>
            <w:noWrap/>
            <w:vAlign w:val="center"/>
            <w:hideMark/>
          </w:tcPr>
          <w:p w14:paraId="4DC95FB8"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0.10%</w:t>
            </w:r>
          </w:p>
        </w:tc>
        <w:tc>
          <w:tcPr>
            <w:tcW w:w="1015" w:type="dxa"/>
            <w:tcBorders>
              <w:top w:val="single" w:sz="8" w:space="0" w:color="auto"/>
              <w:left w:val="nil"/>
              <w:bottom w:val="nil"/>
              <w:right w:val="single" w:sz="4" w:space="0" w:color="auto"/>
            </w:tcBorders>
            <w:shd w:val="clear" w:color="auto" w:fill="auto"/>
            <w:noWrap/>
            <w:vAlign w:val="center"/>
            <w:hideMark/>
          </w:tcPr>
          <w:p w14:paraId="4169F9E0"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0.06%</w:t>
            </w:r>
          </w:p>
        </w:tc>
        <w:tc>
          <w:tcPr>
            <w:tcW w:w="844" w:type="dxa"/>
            <w:tcBorders>
              <w:top w:val="single" w:sz="8" w:space="0" w:color="auto"/>
              <w:left w:val="nil"/>
              <w:bottom w:val="nil"/>
              <w:right w:val="nil"/>
            </w:tcBorders>
            <w:shd w:val="clear" w:color="auto" w:fill="auto"/>
            <w:noWrap/>
            <w:vAlign w:val="center"/>
            <w:hideMark/>
          </w:tcPr>
          <w:p w14:paraId="19A3CCA9"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99.0%</w:t>
            </w:r>
          </w:p>
        </w:tc>
        <w:tc>
          <w:tcPr>
            <w:tcW w:w="831" w:type="dxa"/>
            <w:tcBorders>
              <w:top w:val="single" w:sz="8" w:space="0" w:color="auto"/>
              <w:left w:val="nil"/>
              <w:bottom w:val="nil"/>
              <w:right w:val="nil"/>
            </w:tcBorders>
            <w:shd w:val="clear" w:color="auto" w:fill="auto"/>
            <w:noWrap/>
            <w:vAlign w:val="center"/>
            <w:hideMark/>
          </w:tcPr>
          <w:p w14:paraId="3BEF3168"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98.5%</w:t>
            </w:r>
          </w:p>
        </w:tc>
        <w:tc>
          <w:tcPr>
            <w:tcW w:w="1344" w:type="dxa"/>
            <w:tcBorders>
              <w:top w:val="nil"/>
              <w:left w:val="single" w:sz="4" w:space="0" w:color="auto"/>
              <w:bottom w:val="nil"/>
              <w:right w:val="nil"/>
            </w:tcBorders>
            <w:shd w:val="clear" w:color="auto" w:fill="auto"/>
            <w:noWrap/>
            <w:vAlign w:val="center"/>
            <w:hideMark/>
          </w:tcPr>
          <w:p w14:paraId="62473D98"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99.9%</w:t>
            </w:r>
          </w:p>
        </w:tc>
        <w:tc>
          <w:tcPr>
            <w:tcW w:w="1357" w:type="dxa"/>
            <w:tcBorders>
              <w:top w:val="nil"/>
              <w:left w:val="nil"/>
              <w:bottom w:val="nil"/>
              <w:right w:val="single" w:sz="8" w:space="0" w:color="auto"/>
            </w:tcBorders>
            <w:shd w:val="clear" w:color="auto" w:fill="auto"/>
            <w:noWrap/>
            <w:vAlign w:val="center"/>
            <w:hideMark/>
          </w:tcPr>
          <w:p w14:paraId="6212CFC0"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106.6%</w:t>
            </w:r>
          </w:p>
        </w:tc>
      </w:tr>
      <w:tr w:rsidR="00FF0DA3" w:rsidRPr="00FF0DA3" w14:paraId="414AD475" w14:textId="77777777" w:rsidTr="006512B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EDAB557"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Class F</w:t>
            </w:r>
          </w:p>
        </w:tc>
        <w:tc>
          <w:tcPr>
            <w:tcW w:w="1015" w:type="dxa"/>
            <w:tcBorders>
              <w:top w:val="nil"/>
              <w:left w:val="nil"/>
              <w:bottom w:val="nil"/>
              <w:right w:val="nil"/>
            </w:tcBorders>
            <w:shd w:val="clear" w:color="auto" w:fill="auto"/>
            <w:noWrap/>
            <w:vAlign w:val="center"/>
            <w:hideMark/>
          </w:tcPr>
          <w:p w14:paraId="276BB54E"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-0.07%</w:t>
            </w:r>
          </w:p>
        </w:tc>
        <w:tc>
          <w:tcPr>
            <w:tcW w:w="1015" w:type="dxa"/>
            <w:tcBorders>
              <w:top w:val="nil"/>
              <w:left w:val="nil"/>
              <w:bottom w:val="nil"/>
              <w:right w:val="nil"/>
            </w:tcBorders>
            <w:shd w:val="clear" w:color="auto" w:fill="auto"/>
            <w:noWrap/>
            <w:vAlign w:val="center"/>
            <w:hideMark/>
          </w:tcPr>
          <w:p w14:paraId="6A173DFC"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-0.15%</w:t>
            </w:r>
          </w:p>
        </w:tc>
        <w:tc>
          <w:tcPr>
            <w:tcW w:w="1015" w:type="dxa"/>
            <w:tcBorders>
              <w:top w:val="nil"/>
              <w:left w:val="nil"/>
              <w:bottom w:val="nil"/>
              <w:right w:val="single" w:sz="4" w:space="0" w:color="auto"/>
            </w:tcBorders>
            <w:shd w:val="clear" w:color="auto" w:fill="auto"/>
            <w:noWrap/>
            <w:vAlign w:val="center"/>
            <w:hideMark/>
          </w:tcPr>
          <w:p w14:paraId="18B1E5C9"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-0.06%</w:t>
            </w:r>
          </w:p>
        </w:tc>
        <w:tc>
          <w:tcPr>
            <w:tcW w:w="844" w:type="dxa"/>
            <w:tcBorders>
              <w:top w:val="nil"/>
              <w:left w:val="nil"/>
              <w:bottom w:val="nil"/>
              <w:right w:val="nil"/>
            </w:tcBorders>
            <w:shd w:val="clear" w:color="auto" w:fill="auto"/>
            <w:noWrap/>
            <w:vAlign w:val="center"/>
            <w:hideMark/>
          </w:tcPr>
          <w:p w14:paraId="7BC8FF72"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100.0%</w:t>
            </w:r>
          </w:p>
        </w:tc>
        <w:tc>
          <w:tcPr>
            <w:tcW w:w="831" w:type="dxa"/>
            <w:tcBorders>
              <w:top w:val="nil"/>
              <w:left w:val="nil"/>
              <w:bottom w:val="nil"/>
              <w:right w:val="nil"/>
            </w:tcBorders>
            <w:shd w:val="clear" w:color="auto" w:fill="auto"/>
            <w:noWrap/>
            <w:vAlign w:val="center"/>
            <w:hideMark/>
          </w:tcPr>
          <w:p w14:paraId="68FCB7CA"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99.5%</w:t>
            </w:r>
          </w:p>
        </w:tc>
        <w:tc>
          <w:tcPr>
            <w:tcW w:w="1344" w:type="dxa"/>
            <w:tcBorders>
              <w:top w:val="nil"/>
              <w:left w:val="single" w:sz="4" w:space="0" w:color="auto"/>
              <w:bottom w:val="nil"/>
              <w:right w:val="nil"/>
            </w:tcBorders>
            <w:shd w:val="clear" w:color="auto" w:fill="auto"/>
            <w:noWrap/>
            <w:vAlign w:val="center"/>
            <w:hideMark/>
          </w:tcPr>
          <w:p w14:paraId="4223B87E"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100.0%</w:t>
            </w:r>
          </w:p>
        </w:tc>
        <w:tc>
          <w:tcPr>
            <w:tcW w:w="1357" w:type="dxa"/>
            <w:tcBorders>
              <w:top w:val="nil"/>
              <w:left w:val="nil"/>
              <w:bottom w:val="nil"/>
              <w:right w:val="single" w:sz="8" w:space="0" w:color="auto"/>
            </w:tcBorders>
            <w:shd w:val="clear" w:color="auto" w:fill="auto"/>
            <w:noWrap/>
            <w:vAlign w:val="center"/>
            <w:hideMark/>
          </w:tcPr>
          <w:p w14:paraId="6F699A21"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100.0%</w:t>
            </w:r>
          </w:p>
        </w:tc>
      </w:tr>
      <w:tr w:rsidR="00FF0DA3" w:rsidRPr="00FF0DA3" w14:paraId="11170291" w14:textId="77777777" w:rsidTr="006512B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EC558B4"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Class TGM</w:t>
            </w:r>
          </w:p>
        </w:tc>
        <w:tc>
          <w:tcPr>
            <w:tcW w:w="1015" w:type="dxa"/>
            <w:tcBorders>
              <w:top w:val="nil"/>
              <w:left w:val="nil"/>
              <w:bottom w:val="single" w:sz="8" w:space="0" w:color="auto"/>
              <w:right w:val="nil"/>
            </w:tcBorders>
            <w:shd w:val="clear" w:color="auto" w:fill="auto"/>
            <w:noWrap/>
            <w:vAlign w:val="center"/>
            <w:hideMark/>
          </w:tcPr>
          <w:p w14:paraId="23E8E72E"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-0.25%</w:t>
            </w:r>
          </w:p>
        </w:tc>
        <w:tc>
          <w:tcPr>
            <w:tcW w:w="1015" w:type="dxa"/>
            <w:tcBorders>
              <w:top w:val="nil"/>
              <w:left w:val="nil"/>
              <w:bottom w:val="single" w:sz="8" w:space="0" w:color="auto"/>
              <w:right w:val="nil"/>
            </w:tcBorders>
            <w:shd w:val="clear" w:color="auto" w:fill="auto"/>
            <w:noWrap/>
            <w:vAlign w:val="center"/>
            <w:hideMark/>
          </w:tcPr>
          <w:p w14:paraId="38F997DE"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-0.47%</w:t>
            </w:r>
          </w:p>
        </w:tc>
        <w:tc>
          <w:tcPr>
            <w:tcW w:w="1015" w:type="dxa"/>
            <w:tcBorders>
              <w:top w:val="nil"/>
              <w:left w:val="nil"/>
              <w:bottom w:val="single" w:sz="8" w:space="0" w:color="auto"/>
              <w:right w:val="single" w:sz="4" w:space="0" w:color="auto"/>
            </w:tcBorders>
            <w:shd w:val="clear" w:color="auto" w:fill="auto"/>
            <w:noWrap/>
            <w:vAlign w:val="center"/>
            <w:hideMark/>
          </w:tcPr>
          <w:p w14:paraId="5A43F66A"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-0.43%</w:t>
            </w:r>
          </w:p>
        </w:tc>
        <w:tc>
          <w:tcPr>
            <w:tcW w:w="844" w:type="dxa"/>
            <w:tcBorders>
              <w:top w:val="nil"/>
              <w:left w:val="nil"/>
              <w:bottom w:val="single" w:sz="8" w:space="0" w:color="auto"/>
              <w:right w:val="nil"/>
            </w:tcBorders>
            <w:shd w:val="clear" w:color="auto" w:fill="auto"/>
            <w:noWrap/>
            <w:vAlign w:val="center"/>
            <w:hideMark/>
          </w:tcPr>
          <w:p w14:paraId="7C512762"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98.4%</w:t>
            </w:r>
          </w:p>
        </w:tc>
        <w:tc>
          <w:tcPr>
            <w:tcW w:w="831" w:type="dxa"/>
            <w:tcBorders>
              <w:top w:val="nil"/>
              <w:left w:val="nil"/>
              <w:bottom w:val="single" w:sz="8" w:space="0" w:color="auto"/>
              <w:right w:val="nil"/>
            </w:tcBorders>
            <w:shd w:val="clear" w:color="auto" w:fill="auto"/>
            <w:noWrap/>
            <w:vAlign w:val="center"/>
            <w:hideMark/>
          </w:tcPr>
          <w:p w14:paraId="5060C380"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97.8%</w:t>
            </w:r>
          </w:p>
        </w:tc>
        <w:tc>
          <w:tcPr>
            <w:tcW w:w="1344" w:type="dxa"/>
            <w:tcBorders>
              <w:top w:val="nil"/>
              <w:left w:val="single" w:sz="4" w:space="0" w:color="auto"/>
              <w:bottom w:val="single" w:sz="8" w:space="0" w:color="auto"/>
              <w:right w:val="nil"/>
            </w:tcBorders>
            <w:shd w:val="clear" w:color="auto" w:fill="auto"/>
            <w:noWrap/>
            <w:vAlign w:val="center"/>
            <w:hideMark/>
          </w:tcPr>
          <w:p w14:paraId="2B38EABB"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99.4%</w:t>
            </w:r>
          </w:p>
        </w:tc>
        <w:tc>
          <w:tcPr>
            <w:tcW w:w="1357" w:type="dxa"/>
            <w:tcBorders>
              <w:top w:val="nil"/>
              <w:left w:val="nil"/>
              <w:bottom w:val="single" w:sz="8" w:space="0" w:color="auto"/>
              <w:right w:val="single" w:sz="8" w:space="0" w:color="auto"/>
            </w:tcBorders>
            <w:shd w:val="clear" w:color="auto" w:fill="auto"/>
            <w:noWrap/>
            <w:vAlign w:val="center"/>
            <w:hideMark/>
          </w:tcPr>
          <w:p w14:paraId="4191CA9F" w14:textId="77777777" w:rsidR="00FF0DA3" w:rsidRPr="00FF0DA3" w:rsidRDefault="00FF0DA3" w:rsidP="00FF0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0DA3">
              <w:rPr>
                <w:rFonts w:ascii="Arial" w:hAnsi="Arial" w:cs="Arial"/>
                <w:color w:val="000000"/>
                <w:sz w:val="18"/>
                <w:szCs w:val="18"/>
              </w:rPr>
              <w:t>99.8%</w:t>
            </w:r>
          </w:p>
        </w:tc>
      </w:tr>
    </w:tbl>
    <w:p w14:paraId="5FB851E6" w14:textId="77777777" w:rsidR="00E8031B" w:rsidRPr="00275C93" w:rsidRDefault="00E8031B" w:rsidP="00120D56"/>
    <w:p w14:paraId="38F1F883" w14:textId="3F5AECE9" w:rsidR="00A65CA9" w:rsidRDefault="00A6219E" w:rsidP="00A65CA9">
      <w:pPr>
        <w:pStyle w:val="Heading1"/>
      </w:pPr>
      <w:r>
        <w:t>Conclusion</w:t>
      </w:r>
    </w:p>
    <w:p w14:paraId="0C3D59A9" w14:textId="20C88A98" w:rsidR="00C64EE6" w:rsidRDefault="00C64EE6" w:rsidP="00A65CA9">
      <w:pPr>
        <w:rPr>
          <w:highlight w:val="yellow"/>
        </w:rPr>
      </w:pPr>
      <w:r>
        <w:t xml:space="preserve">The proposed method enriches the </w:t>
      </w:r>
      <w:r>
        <w:rPr>
          <w:lang w:val="en-CA"/>
        </w:rPr>
        <w:t>IntraTMP</w:t>
      </w:r>
      <w:r>
        <w:t xml:space="preserve"> search process with new BVs that are not previously checked by </w:t>
      </w:r>
      <w:r>
        <w:rPr>
          <w:lang w:val="en-CA"/>
        </w:rPr>
        <w:t>IntraTMP</w:t>
      </w:r>
      <w:r>
        <w:t xml:space="preserve"> process. This is because it includes IBC block vectors, whose search region is larger than </w:t>
      </w:r>
      <w:r>
        <w:rPr>
          <w:lang w:val="en-CA"/>
        </w:rPr>
        <w:t>IntraTMP</w:t>
      </w:r>
      <w:r>
        <w:t xml:space="preserve">, </w:t>
      </w:r>
      <w:proofErr w:type="gramStart"/>
      <w:r>
        <w:t>and also</w:t>
      </w:r>
      <w:proofErr w:type="gramEnd"/>
      <w:r>
        <w:t xml:space="preserve"> because it possibly includes some candidates that are not tested in the first pass of template matching (sparse search with subsampled regions). It is also noted that the added BVs are correlated with the current block statistics as they were selected previously for predicting nearby blocks.</w:t>
      </w:r>
    </w:p>
    <w:p w14:paraId="3B9ABE83" w14:textId="6BE536F2" w:rsidR="00A65CA9" w:rsidRPr="00FE6EE1" w:rsidRDefault="00183D6D" w:rsidP="00A65CA9">
      <w:pPr>
        <w:rPr>
          <w:lang w:val="en-CA" w:eastAsia="zh-CN"/>
        </w:rPr>
      </w:pPr>
      <w:r w:rsidRPr="006E46FE">
        <w:rPr>
          <w:highlight w:val="yellow"/>
        </w:rPr>
        <w:t xml:space="preserve">The method </w:t>
      </w:r>
      <w:r w:rsidR="000139D7">
        <w:rPr>
          <w:highlight w:val="yellow"/>
        </w:rPr>
        <w:t>provides</w:t>
      </w:r>
      <w:r w:rsidRPr="006E46FE">
        <w:rPr>
          <w:highlight w:val="yellow"/>
        </w:rPr>
        <w:t xml:space="preserve"> </w:t>
      </w:r>
      <w:r w:rsidR="000139D7">
        <w:rPr>
          <w:highlight w:val="yellow"/>
        </w:rPr>
        <w:t xml:space="preserve">additional </w:t>
      </w:r>
      <w:r w:rsidR="006E46FE" w:rsidRPr="006E46FE">
        <w:rPr>
          <w:highlight w:val="yellow"/>
        </w:rPr>
        <w:t>coding gain</w:t>
      </w:r>
      <w:r w:rsidR="000139D7">
        <w:rPr>
          <w:highlight w:val="yellow"/>
        </w:rPr>
        <w:t xml:space="preserve"> on top of ECM-11.0</w:t>
      </w:r>
      <w:r w:rsidR="00FF0DA3">
        <w:rPr>
          <w:highlight w:val="yellow"/>
        </w:rPr>
        <w:t xml:space="preserve"> with reasonable cost</w:t>
      </w:r>
      <w:r w:rsidRPr="006E46FE">
        <w:rPr>
          <w:highlight w:val="yellow"/>
        </w:rPr>
        <w:t>. It is proposed to</w:t>
      </w:r>
      <w:r w:rsidR="00345335">
        <w:rPr>
          <w:highlight w:val="yellow"/>
        </w:rPr>
        <w:t xml:space="preserve"> include this method</w:t>
      </w:r>
      <w:r w:rsidRPr="006E46FE">
        <w:rPr>
          <w:highlight w:val="yellow"/>
        </w:rPr>
        <w:t xml:space="preserve"> </w:t>
      </w:r>
      <w:r w:rsidR="006E46FE" w:rsidRPr="006E46FE">
        <w:rPr>
          <w:highlight w:val="yellow"/>
        </w:rPr>
        <w:t>in the next version of ECM reference software</w:t>
      </w:r>
      <w:r w:rsidR="00AC5439">
        <w:rPr>
          <w:highlight w:val="yellow"/>
        </w:rPr>
        <w:t xml:space="preserve"> alone or in the combination with other tests (see</w:t>
      </w:r>
      <w:r w:rsidR="00345335">
        <w:rPr>
          <w:highlight w:val="yellow"/>
        </w:rPr>
        <w:t xml:space="preserve"> also</w:t>
      </w:r>
      <w:r w:rsidR="00AC5439">
        <w:rPr>
          <w:highlight w:val="yellow"/>
        </w:rPr>
        <w:t xml:space="preserve"> </w:t>
      </w:r>
      <w:r w:rsidR="00246D15">
        <w:rPr>
          <w:highlight w:val="yellow"/>
        </w:rPr>
        <w:t>EE2</w:t>
      </w:r>
      <w:r w:rsidR="00AC5439">
        <w:rPr>
          <w:highlight w:val="yellow"/>
        </w:rPr>
        <w:t xml:space="preserve"> </w:t>
      </w:r>
      <w:proofErr w:type="gramStart"/>
      <w:r w:rsidR="00AC5439">
        <w:rPr>
          <w:highlight w:val="yellow"/>
        </w:rPr>
        <w:t>test-1</w:t>
      </w:r>
      <w:proofErr w:type="gramEnd"/>
      <w:r w:rsidR="00AC5439">
        <w:rPr>
          <w:highlight w:val="yellow"/>
        </w:rPr>
        <w:t>.7b)</w:t>
      </w:r>
      <w:r w:rsidRPr="006E46FE">
        <w:rPr>
          <w:highlight w:val="yellow"/>
        </w:rPr>
        <w:t>.</w:t>
      </w:r>
    </w:p>
    <w:p w14:paraId="5F0CF8E4" w14:textId="73B9C61B" w:rsidR="001F2594" w:rsidRPr="00275C93" w:rsidRDefault="001F2594" w:rsidP="00E11923">
      <w:pPr>
        <w:pStyle w:val="Heading1"/>
      </w:pPr>
      <w:r w:rsidRPr="00275C93">
        <w:lastRenderedPageBreak/>
        <w:t>Patent rights declaration</w:t>
      </w:r>
      <w:r w:rsidR="00B94B06" w:rsidRPr="00275C93">
        <w:t>(s)</w:t>
      </w:r>
    </w:p>
    <w:p w14:paraId="7A9B4D21" w14:textId="31C6A8A3" w:rsidR="00342FF4" w:rsidRPr="00275C93" w:rsidRDefault="00BD6C76" w:rsidP="009234A5">
      <w:pPr>
        <w:rPr>
          <w:szCs w:val="22"/>
        </w:rPr>
      </w:pPr>
      <w:proofErr w:type="spellStart"/>
      <w:r w:rsidRPr="00275C93">
        <w:rPr>
          <w:b/>
          <w:szCs w:val="22"/>
        </w:rPr>
        <w:t>InterDigital</w:t>
      </w:r>
      <w:proofErr w:type="spellEnd"/>
      <w:r w:rsidR="001F2594" w:rsidRPr="00275C93">
        <w:rPr>
          <w:b/>
          <w:szCs w:val="22"/>
        </w:rPr>
        <w:t xml:space="preserve"> may have </w:t>
      </w:r>
      <w:r w:rsidR="0098551D" w:rsidRPr="00275C93">
        <w:rPr>
          <w:b/>
          <w:szCs w:val="22"/>
        </w:rPr>
        <w:t>current or pending</w:t>
      </w:r>
      <w:r w:rsidR="001F2594" w:rsidRPr="00275C93">
        <w:rPr>
          <w:b/>
          <w:szCs w:val="22"/>
        </w:rPr>
        <w:t xml:space="preserve"> </w:t>
      </w:r>
      <w:r w:rsidR="0098551D" w:rsidRPr="00275C93">
        <w:rPr>
          <w:b/>
          <w:szCs w:val="22"/>
        </w:rPr>
        <w:t xml:space="preserve">patent rights </w:t>
      </w:r>
      <w:r w:rsidR="001F2594" w:rsidRPr="00275C93">
        <w:rPr>
          <w:b/>
          <w:szCs w:val="22"/>
        </w:rPr>
        <w:t xml:space="preserve">relating to the technology described </w:t>
      </w:r>
      <w:r w:rsidR="002F164D" w:rsidRPr="00275C93">
        <w:rPr>
          <w:b/>
          <w:szCs w:val="22"/>
        </w:rPr>
        <w:t xml:space="preserve">in </w:t>
      </w:r>
      <w:r w:rsidR="001F2594" w:rsidRPr="00275C93">
        <w:rPr>
          <w:b/>
          <w:szCs w:val="22"/>
        </w:rPr>
        <w:t xml:space="preserve">this contribution </w:t>
      </w:r>
      <w:proofErr w:type="gramStart"/>
      <w:r w:rsidR="001F2594" w:rsidRPr="00275C93">
        <w:rPr>
          <w:b/>
          <w:szCs w:val="22"/>
        </w:rPr>
        <w:t>and,</w:t>
      </w:r>
      <w:proofErr w:type="gramEnd"/>
      <w:r w:rsidR="001F2594" w:rsidRPr="00275C93">
        <w:rPr>
          <w:b/>
          <w:szCs w:val="22"/>
        </w:rPr>
        <w:t xml:space="preserve"> conditioned on reciprocity, is prepared to grant licenses under reasonable and non-discriminatory terms as necessary for implementation of the resulting ITU-T Recommendation</w:t>
      </w:r>
      <w:r w:rsidR="00247E1E" w:rsidRPr="00275C93">
        <w:rPr>
          <w:b/>
          <w:szCs w:val="22"/>
        </w:rPr>
        <w:t> </w:t>
      </w:r>
      <w:r w:rsidR="002F164D" w:rsidRPr="00275C93">
        <w:rPr>
          <w:b/>
          <w:szCs w:val="22"/>
        </w:rPr>
        <w:t xml:space="preserve">| ISO/IEC </w:t>
      </w:r>
      <w:r w:rsidR="00A83253" w:rsidRPr="00275C93">
        <w:rPr>
          <w:b/>
          <w:szCs w:val="22"/>
        </w:rPr>
        <w:t xml:space="preserve">International </w:t>
      </w:r>
      <w:r w:rsidR="002F164D" w:rsidRPr="00275C93">
        <w:rPr>
          <w:b/>
          <w:szCs w:val="22"/>
        </w:rPr>
        <w:t>Standard</w:t>
      </w:r>
      <w:r w:rsidR="001F2594" w:rsidRPr="00275C93">
        <w:rPr>
          <w:b/>
          <w:szCs w:val="22"/>
        </w:rPr>
        <w:t xml:space="preserve"> (per box 2 of the ITU-T/ITU-R/ISO/IEC patent statement and licensing declaration form).</w:t>
      </w:r>
    </w:p>
    <w:p w14:paraId="32EAF635" w14:textId="77777777" w:rsidR="007F1F8B" w:rsidRPr="00275C93" w:rsidRDefault="007F1F8B" w:rsidP="009234A5">
      <w:pPr>
        <w:rPr>
          <w:szCs w:val="22"/>
        </w:rPr>
      </w:pPr>
    </w:p>
    <w:sectPr w:rsidR="007F1F8B" w:rsidRPr="00275C93"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774DC" w14:textId="77777777" w:rsidR="00C2454A" w:rsidRDefault="00C2454A">
      <w:r>
        <w:separator/>
      </w:r>
    </w:p>
  </w:endnote>
  <w:endnote w:type="continuationSeparator" w:id="0">
    <w:p w14:paraId="24224A91" w14:textId="77777777" w:rsidR="00C2454A" w:rsidRDefault="00C2454A">
      <w:r>
        <w:continuationSeparator/>
      </w:r>
    </w:p>
  </w:endnote>
  <w:endnote w:type="continuationNotice" w:id="1">
    <w:p w14:paraId="7DE31B5F" w14:textId="77777777" w:rsidR="00C2454A" w:rsidRDefault="00C2454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8B052D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B73B4">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EEA70" w14:textId="77777777" w:rsidR="00C2454A" w:rsidRDefault="00C2454A">
      <w:r>
        <w:separator/>
      </w:r>
    </w:p>
  </w:footnote>
  <w:footnote w:type="continuationSeparator" w:id="0">
    <w:p w14:paraId="6451B6A1" w14:textId="77777777" w:rsidR="00C2454A" w:rsidRDefault="00C2454A">
      <w:r>
        <w:continuationSeparator/>
      </w:r>
    </w:p>
  </w:footnote>
  <w:footnote w:type="continuationNotice" w:id="1">
    <w:p w14:paraId="5707763A" w14:textId="77777777" w:rsidR="00C2454A" w:rsidRDefault="00C2454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B39ABD38"/>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2D3D8F"/>
    <w:multiLevelType w:val="hybridMultilevel"/>
    <w:tmpl w:val="92589FE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26B93CF2"/>
    <w:multiLevelType w:val="hybridMultilevel"/>
    <w:tmpl w:val="6FA45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4F01E4A"/>
    <w:multiLevelType w:val="hybridMultilevel"/>
    <w:tmpl w:val="11401904"/>
    <w:lvl w:ilvl="0" w:tplc="442EE5E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145864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735664">
    <w:abstractNumId w:val="13"/>
  </w:num>
  <w:num w:numId="3" w16cid:durableId="2006005728">
    <w:abstractNumId w:val="10"/>
  </w:num>
  <w:num w:numId="4" w16cid:durableId="1325279556">
    <w:abstractNumId w:val="8"/>
  </w:num>
  <w:num w:numId="5" w16cid:durableId="45572323">
    <w:abstractNumId w:val="9"/>
  </w:num>
  <w:num w:numId="6" w16cid:durableId="686835282">
    <w:abstractNumId w:val="4"/>
  </w:num>
  <w:num w:numId="7" w16cid:durableId="464200474">
    <w:abstractNumId w:val="7"/>
  </w:num>
  <w:num w:numId="8" w16cid:durableId="29034601">
    <w:abstractNumId w:val="4"/>
  </w:num>
  <w:num w:numId="9" w16cid:durableId="11953008">
    <w:abstractNumId w:val="1"/>
  </w:num>
  <w:num w:numId="10" w16cid:durableId="2013873266">
    <w:abstractNumId w:val="3"/>
  </w:num>
  <w:num w:numId="11" w16cid:durableId="174462439">
    <w:abstractNumId w:val="2"/>
  </w:num>
  <w:num w:numId="12" w16cid:durableId="739525635">
    <w:abstractNumId w:val="11"/>
  </w:num>
  <w:num w:numId="13" w16cid:durableId="1594702832">
    <w:abstractNumId w:val="5"/>
  </w:num>
  <w:num w:numId="14" w16cid:durableId="1471291707">
    <w:abstractNumId w:val="12"/>
  </w:num>
  <w:num w:numId="15" w16cid:durableId="729500388">
    <w:abstractNumId w:val="4"/>
  </w:num>
  <w:num w:numId="16" w16cid:durableId="14349344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FCE"/>
    <w:rsid w:val="000029EA"/>
    <w:rsid w:val="000037C5"/>
    <w:rsid w:val="0000499C"/>
    <w:rsid w:val="00004ACC"/>
    <w:rsid w:val="00012806"/>
    <w:rsid w:val="000139D7"/>
    <w:rsid w:val="00015C21"/>
    <w:rsid w:val="00016BE7"/>
    <w:rsid w:val="00022377"/>
    <w:rsid w:val="00025E1C"/>
    <w:rsid w:val="000308A3"/>
    <w:rsid w:val="000340D8"/>
    <w:rsid w:val="000365C9"/>
    <w:rsid w:val="000419FC"/>
    <w:rsid w:val="00042BEF"/>
    <w:rsid w:val="00043FEA"/>
    <w:rsid w:val="0004543A"/>
    <w:rsid w:val="000458BC"/>
    <w:rsid w:val="00045C41"/>
    <w:rsid w:val="00046C03"/>
    <w:rsid w:val="00056114"/>
    <w:rsid w:val="00060C20"/>
    <w:rsid w:val="00064AFD"/>
    <w:rsid w:val="00065039"/>
    <w:rsid w:val="0007614F"/>
    <w:rsid w:val="00080F25"/>
    <w:rsid w:val="00081398"/>
    <w:rsid w:val="00084393"/>
    <w:rsid w:val="000855A3"/>
    <w:rsid w:val="000865E1"/>
    <w:rsid w:val="00090DD0"/>
    <w:rsid w:val="00092AF4"/>
    <w:rsid w:val="00094479"/>
    <w:rsid w:val="000962AC"/>
    <w:rsid w:val="00097EFC"/>
    <w:rsid w:val="000A1D69"/>
    <w:rsid w:val="000A5866"/>
    <w:rsid w:val="000B0C0F"/>
    <w:rsid w:val="000B1C6B"/>
    <w:rsid w:val="000B4142"/>
    <w:rsid w:val="000B4FF9"/>
    <w:rsid w:val="000C00C5"/>
    <w:rsid w:val="000C09AC"/>
    <w:rsid w:val="000C1375"/>
    <w:rsid w:val="000C228D"/>
    <w:rsid w:val="000C2BAA"/>
    <w:rsid w:val="000C5F4C"/>
    <w:rsid w:val="000D5CE7"/>
    <w:rsid w:val="000D778E"/>
    <w:rsid w:val="000E00F3"/>
    <w:rsid w:val="000E2DDA"/>
    <w:rsid w:val="000F158C"/>
    <w:rsid w:val="000F1C60"/>
    <w:rsid w:val="000F2915"/>
    <w:rsid w:val="000F4AE7"/>
    <w:rsid w:val="000F6AC9"/>
    <w:rsid w:val="00102B86"/>
    <w:rsid w:val="00102F3D"/>
    <w:rsid w:val="0010330C"/>
    <w:rsid w:val="00106FB9"/>
    <w:rsid w:val="00110616"/>
    <w:rsid w:val="001157C2"/>
    <w:rsid w:val="00115E2E"/>
    <w:rsid w:val="00120529"/>
    <w:rsid w:val="00120D56"/>
    <w:rsid w:val="00120F59"/>
    <w:rsid w:val="00124E38"/>
    <w:rsid w:val="0012580B"/>
    <w:rsid w:val="00131217"/>
    <w:rsid w:val="00131F90"/>
    <w:rsid w:val="0013458C"/>
    <w:rsid w:val="0013526E"/>
    <w:rsid w:val="00142845"/>
    <w:rsid w:val="00143244"/>
    <w:rsid w:val="00146152"/>
    <w:rsid w:val="0015550F"/>
    <w:rsid w:val="00155526"/>
    <w:rsid w:val="001556C6"/>
    <w:rsid w:val="00162098"/>
    <w:rsid w:val="001623C6"/>
    <w:rsid w:val="00162888"/>
    <w:rsid w:val="001676C3"/>
    <w:rsid w:val="00171371"/>
    <w:rsid w:val="00175A24"/>
    <w:rsid w:val="001801E9"/>
    <w:rsid w:val="00183D6D"/>
    <w:rsid w:val="00187E58"/>
    <w:rsid w:val="001924FE"/>
    <w:rsid w:val="00195D41"/>
    <w:rsid w:val="001A0FD5"/>
    <w:rsid w:val="001A297E"/>
    <w:rsid w:val="001A368E"/>
    <w:rsid w:val="001A4526"/>
    <w:rsid w:val="001A7329"/>
    <w:rsid w:val="001A75C3"/>
    <w:rsid w:val="001A792F"/>
    <w:rsid w:val="001B4E28"/>
    <w:rsid w:val="001B4E84"/>
    <w:rsid w:val="001B4F53"/>
    <w:rsid w:val="001C3525"/>
    <w:rsid w:val="001C3AFB"/>
    <w:rsid w:val="001D07F0"/>
    <w:rsid w:val="001D1BD2"/>
    <w:rsid w:val="001D1D9C"/>
    <w:rsid w:val="001D22E7"/>
    <w:rsid w:val="001D397C"/>
    <w:rsid w:val="001E0248"/>
    <w:rsid w:val="001E02BE"/>
    <w:rsid w:val="001E3B37"/>
    <w:rsid w:val="001E404F"/>
    <w:rsid w:val="001F2594"/>
    <w:rsid w:val="001F6A5E"/>
    <w:rsid w:val="002055A6"/>
    <w:rsid w:val="00206460"/>
    <w:rsid w:val="002069B4"/>
    <w:rsid w:val="002070A8"/>
    <w:rsid w:val="002108E3"/>
    <w:rsid w:val="00215AC0"/>
    <w:rsid w:val="00215DFC"/>
    <w:rsid w:val="00215F4A"/>
    <w:rsid w:val="002212DF"/>
    <w:rsid w:val="00222CD4"/>
    <w:rsid w:val="00225016"/>
    <w:rsid w:val="002253CA"/>
    <w:rsid w:val="002264A6"/>
    <w:rsid w:val="00227353"/>
    <w:rsid w:val="00227BA7"/>
    <w:rsid w:val="0023011C"/>
    <w:rsid w:val="002375C1"/>
    <w:rsid w:val="0024305A"/>
    <w:rsid w:val="00245509"/>
    <w:rsid w:val="00246D15"/>
    <w:rsid w:val="00247E1E"/>
    <w:rsid w:val="0026093C"/>
    <w:rsid w:val="00263398"/>
    <w:rsid w:val="00263B99"/>
    <w:rsid w:val="002647D8"/>
    <w:rsid w:val="00266F06"/>
    <w:rsid w:val="00275BCF"/>
    <w:rsid w:val="00275C93"/>
    <w:rsid w:val="00276C81"/>
    <w:rsid w:val="00280613"/>
    <w:rsid w:val="002825D4"/>
    <w:rsid w:val="00285B3F"/>
    <w:rsid w:val="00286256"/>
    <w:rsid w:val="00291E36"/>
    <w:rsid w:val="00292257"/>
    <w:rsid w:val="002944F6"/>
    <w:rsid w:val="002A04B4"/>
    <w:rsid w:val="002A54E0"/>
    <w:rsid w:val="002B1595"/>
    <w:rsid w:val="002B191D"/>
    <w:rsid w:val="002B2E83"/>
    <w:rsid w:val="002B69DD"/>
    <w:rsid w:val="002D0AF6"/>
    <w:rsid w:val="002D29A5"/>
    <w:rsid w:val="002D5E4E"/>
    <w:rsid w:val="002E034B"/>
    <w:rsid w:val="002F164D"/>
    <w:rsid w:val="002F17E1"/>
    <w:rsid w:val="002F6E8E"/>
    <w:rsid w:val="003021BC"/>
    <w:rsid w:val="00306206"/>
    <w:rsid w:val="00313F54"/>
    <w:rsid w:val="00315F2A"/>
    <w:rsid w:val="00316C22"/>
    <w:rsid w:val="00317C6A"/>
    <w:rsid w:val="00317D85"/>
    <w:rsid w:val="00323003"/>
    <w:rsid w:val="00325451"/>
    <w:rsid w:val="00327C56"/>
    <w:rsid w:val="003315A1"/>
    <w:rsid w:val="003373EC"/>
    <w:rsid w:val="00342FF4"/>
    <w:rsid w:val="00344E5A"/>
    <w:rsid w:val="00345335"/>
    <w:rsid w:val="00346148"/>
    <w:rsid w:val="0034781D"/>
    <w:rsid w:val="00356635"/>
    <w:rsid w:val="00360889"/>
    <w:rsid w:val="0036196E"/>
    <w:rsid w:val="00364BFD"/>
    <w:rsid w:val="003669EA"/>
    <w:rsid w:val="003706CC"/>
    <w:rsid w:val="00373FF6"/>
    <w:rsid w:val="00377710"/>
    <w:rsid w:val="003A25F5"/>
    <w:rsid w:val="003A2D8E"/>
    <w:rsid w:val="003A7CE6"/>
    <w:rsid w:val="003B73B4"/>
    <w:rsid w:val="003C1656"/>
    <w:rsid w:val="003C20E4"/>
    <w:rsid w:val="003C66A1"/>
    <w:rsid w:val="003C66FB"/>
    <w:rsid w:val="003D6342"/>
    <w:rsid w:val="003E6F90"/>
    <w:rsid w:val="003E73ED"/>
    <w:rsid w:val="003E7E48"/>
    <w:rsid w:val="003F3A50"/>
    <w:rsid w:val="003F5013"/>
    <w:rsid w:val="003F5D0F"/>
    <w:rsid w:val="0040456C"/>
    <w:rsid w:val="00414101"/>
    <w:rsid w:val="004219CF"/>
    <w:rsid w:val="004234F0"/>
    <w:rsid w:val="00423688"/>
    <w:rsid w:val="00427EEC"/>
    <w:rsid w:val="00433DDB"/>
    <w:rsid w:val="00435A29"/>
    <w:rsid w:val="00437619"/>
    <w:rsid w:val="00451D25"/>
    <w:rsid w:val="00464F8A"/>
    <w:rsid w:val="00465A1E"/>
    <w:rsid w:val="004777A8"/>
    <w:rsid w:val="004806DC"/>
    <w:rsid w:val="0048560F"/>
    <w:rsid w:val="0049445A"/>
    <w:rsid w:val="004957D9"/>
    <w:rsid w:val="004A113B"/>
    <w:rsid w:val="004A2A63"/>
    <w:rsid w:val="004A4420"/>
    <w:rsid w:val="004B210C"/>
    <w:rsid w:val="004B3BCF"/>
    <w:rsid w:val="004B3BF8"/>
    <w:rsid w:val="004B6170"/>
    <w:rsid w:val="004B720B"/>
    <w:rsid w:val="004C2D1B"/>
    <w:rsid w:val="004C4533"/>
    <w:rsid w:val="004C687D"/>
    <w:rsid w:val="004D0287"/>
    <w:rsid w:val="004D0B0C"/>
    <w:rsid w:val="004D101B"/>
    <w:rsid w:val="004D405F"/>
    <w:rsid w:val="004D4A7D"/>
    <w:rsid w:val="004D60FC"/>
    <w:rsid w:val="004E0040"/>
    <w:rsid w:val="004E1C47"/>
    <w:rsid w:val="004E4F4F"/>
    <w:rsid w:val="004E6789"/>
    <w:rsid w:val="004E72F4"/>
    <w:rsid w:val="004F2460"/>
    <w:rsid w:val="004F4A2A"/>
    <w:rsid w:val="004F57F1"/>
    <w:rsid w:val="004F61E3"/>
    <w:rsid w:val="004F7911"/>
    <w:rsid w:val="00502E10"/>
    <w:rsid w:val="0050321E"/>
    <w:rsid w:val="0050354E"/>
    <w:rsid w:val="0050470F"/>
    <w:rsid w:val="00507978"/>
    <w:rsid w:val="0051015C"/>
    <w:rsid w:val="00512510"/>
    <w:rsid w:val="00513759"/>
    <w:rsid w:val="00516CF1"/>
    <w:rsid w:val="00524416"/>
    <w:rsid w:val="00524B72"/>
    <w:rsid w:val="0053093E"/>
    <w:rsid w:val="005312FA"/>
    <w:rsid w:val="00531AE9"/>
    <w:rsid w:val="00532695"/>
    <w:rsid w:val="00534DDD"/>
    <w:rsid w:val="00536188"/>
    <w:rsid w:val="00541FF1"/>
    <w:rsid w:val="005460BB"/>
    <w:rsid w:val="0055024C"/>
    <w:rsid w:val="00550A66"/>
    <w:rsid w:val="00556326"/>
    <w:rsid w:val="00567EC7"/>
    <w:rsid w:val="00570013"/>
    <w:rsid w:val="005711B1"/>
    <w:rsid w:val="00572479"/>
    <w:rsid w:val="005753EC"/>
    <w:rsid w:val="005762EA"/>
    <w:rsid w:val="005801A2"/>
    <w:rsid w:val="0059087D"/>
    <w:rsid w:val="00590CD3"/>
    <w:rsid w:val="00590CDE"/>
    <w:rsid w:val="00592941"/>
    <w:rsid w:val="005952A5"/>
    <w:rsid w:val="005A33A1"/>
    <w:rsid w:val="005A4A91"/>
    <w:rsid w:val="005A6D59"/>
    <w:rsid w:val="005B1A94"/>
    <w:rsid w:val="005B217D"/>
    <w:rsid w:val="005B4985"/>
    <w:rsid w:val="005B7598"/>
    <w:rsid w:val="005C385F"/>
    <w:rsid w:val="005C7C26"/>
    <w:rsid w:val="005D2DE8"/>
    <w:rsid w:val="005D496C"/>
    <w:rsid w:val="005D7E7B"/>
    <w:rsid w:val="005E1AC6"/>
    <w:rsid w:val="005E3F2B"/>
    <w:rsid w:val="005E4A3B"/>
    <w:rsid w:val="005F115E"/>
    <w:rsid w:val="005F3737"/>
    <w:rsid w:val="005F6F1B"/>
    <w:rsid w:val="0060354E"/>
    <w:rsid w:val="00605F54"/>
    <w:rsid w:val="00614623"/>
    <w:rsid w:val="00615995"/>
    <w:rsid w:val="00616155"/>
    <w:rsid w:val="006230AE"/>
    <w:rsid w:val="006244F8"/>
    <w:rsid w:val="00624B33"/>
    <w:rsid w:val="006277FA"/>
    <w:rsid w:val="0063041A"/>
    <w:rsid w:val="00630AA2"/>
    <w:rsid w:val="00631D8B"/>
    <w:rsid w:val="00632166"/>
    <w:rsid w:val="0063317C"/>
    <w:rsid w:val="00635969"/>
    <w:rsid w:val="00646707"/>
    <w:rsid w:val="006512B1"/>
    <w:rsid w:val="00657F7E"/>
    <w:rsid w:val="00660F3E"/>
    <w:rsid w:val="00662102"/>
    <w:rsid w:val="0066253C"/>
    <w:rsid w:val="00662E58"/>
    <w:rsid w:val="006637F2"/>
    <w:rsid w:val="006642A5"/>
    <w:rsid w:val="00664DCF"/>
    <w:rsid w:val="00670464"/>
    <w:rsid w:val="00670913"/>
    <w:rsid w:val="00671112"/>
    <w:rsid w:val="00675325"/>
    <w:rsid w:val="0068693D"/>
    <w:rsid w:val="00687B7C"/>
    <w:rsid w:val="0069213B"/>
    <w:rsid w:val="0069413D"/>
    <w:rsid w:val="00696B1F"/>
    <w:rsid w:val="006978CF"/>
    <w:rsid w:val="006A0E5C"/>
    <w:rsid w:val="006A48E6"/>
    <w:rsid w:val="006A5692"/>
    <w:rsid w:val="006A5E89"/>
    <w:rsid w:val="006A6353"/>
    <w:rsid w:val="006A7104"/>
    <w:rsid w:val="006C5D39"/>
    <w:rsid w:val="006D20B3"/>
    <w:rsid w:val="006D2B48"/>
    <w:rsid w:val="006D32E2"/>
    <w:rsid w:val="006D6D9B"/>
    <w:rsid w:val="006E2810"/>
    <w:rsid w:val="006E46FE"/>
    <w:rsid w:val="006E5417"/>
    <w:rsid w:val="006E6D8C"/>
    <w:rsid w:val="006F0794"/>
    <w:rsid w:val="006F2D8E"/>
    <w:rsid w:val="006F54CA"/>
    <w:rsid w:val="006F7528"/>
    <w:rsid w:val="00701BE7"/>
    <w:rsid w:val="007023DE"/>
    <w:rsid w:val="00703B78"/>
    <w:rsid w:val="00706B9B"/>
    <w:rsid w:val="00707AED"/>
    <w:rsid w:val="00712F60"/>
    <w:rsid w:val="00720E3B"/>
    <w:rsid w:val="00733E92"/>
    <w:rsid w:val="00733FE3"/>
    <w:rsid w:val="0073743D"/>
    <w:rsid w:val="007400B9"/>
    <w:rsid w:val="0074025C"/>
    <w:rsid w:val="00740EAE"/>
    <w:rsid w:val="0074393F"/>
    <w:rsid w:val="00745F6B"/>
    <w:rsid w:val="0075175B"/>
    <w:rsid w:val="007528FE"/>
    <w:rsid w:val="0075585E"/>
    <w:rsid w:val="00762FB2"/>
    <w:rsid w:val="00765F91"/>
    <w:rsid w:val="00770571"/>
    <w:rsid w:val="007768FF"/>
    <w:rsid w:val="007824D3"/>
    <w:rsid w:val="00786558"/>
    <w:rsid w:val="007929D1"/>
    <w:rsid w:val="00796EE3"/>
    <w:rsid w:val="007A0F0F"/>
    <w:rsid w:val="007A2D07"/>
    <w:rsid w:val="007A6160"/>
    <w:rsid w:val="007A778F"/>
    <w:rsid w:val="007A7D29"/>
    <w:rsid w:val="007B4AB8"/>
    <w:rsid w:val="007C081C"/>
    <w:rsid w:val="007C3DD9"/>
    <w:rsid w:val="007C67A6"/>
    <w:rsid w:val="007D0859"/>
    <w:rsid w:val="007D1181"/>
    <w:rsid w:val="007D4422"/>
    <w:rsid w:val="007D45FE"/>
    <w:rsid w:val="007E01A3"/>
    <w:rsid w:val="007E3E44"/>
    <w:rsid w:val="007F0BEA"/>
    <w:rsid w:val="007F1F8B"/>
    <w:rsid w:val="007F214D"/>
    <w:rsid w:val="007F6205"/>
    <w:rsid w:val="007F67A1"/>
    <w:rsid w:val="007F6AF1"/>
    <w:rsid w:val="00801A7B"/>
    <w:rsid w:val="00806D09"/>
    <w:rsid w:val="00811C05"/>
    <w:rsid w:val="00813A4F"/>
    <w:rsid w:val="00815048"/>
    <w:rsid w:val="008206C8"/>
    <w:rsid w:val="008277D0"/>
    <w:rsid w:val="00853B8D"/>
    <w:rsid w:val="0086387C"/>
    <w:rsid w:val="008707A8"/>
    <w:rsid w:val="0087197C"/>
    <w:rsid w:val="00874A6C"/>
    <w:rsid w:val="00876C65"/>
    <w:rsid w:val="00882F72"/>
    <w:rsid w:val="00883B80"/>
    <w:rsid w:val="008846C6"/>
    <w:rsid w:val="008860C3"/>
    <w:rsid w:val="0089390C"/>
    <w:rsid w:val="00893DC4"/>
    <w:rsid w:val="0089487F"/>
    <w:rsid w:val="008A147E"/>
    <w:rsid w:val="008A4B4C"/>
    <w:rsid w:val="008B235D"/>
    <w:rsid w:val="008B6977"/>
    <w:rsid w:val="008C1930"/>
    <w:rsid w:val="008C239F"/>
    <w:rsid w:val="008C319F"/>
    <w:rsid w:val="008D5168"/>
    <w:rsid w:val="008E480C"/>
    <w:rsid w:val="008E7053"/>
    <w:rsid w:val="008E7FC8"/>
    <w:rsid w:val="008F2243"/>
    <w:rsid w:val="008F372A"/>
    <w:rsid w:val="00902501"/>
    <w:rsid w:val="0090309E"/>
    <w:rsid w:val="0090484F"/>
    <w:rsid w:val="00907757"/>
    <w:rsid w:val="009130D1"/>
    <w:rsid w:val="009134CD"/>
    <w:rsid w:val="00915D6E"/>
    <w:rsid w:val="009212B0"/>
    <w:rsid w:val="00921FA1"/>
    <w:rsid w:val="009234A5"/>
    <w:rsid w:val="0092556C"/>
    <w:rsid w:val="009274EE"/>
    <w:rsid w:val="00933453"/>
    <w:rsid w:val="009336F7"/>
    <w:rsid w:val="0093636C"/>
    <w:rsid w:val="009374A7"/>
    <w:rsid w:val="00937F03"/>
    <w:rsid w:val="00940DC0"/>
    <w:rsid w:val="00944B44"/>
    <w:rsid w:val="00946B57"/>
    <w:rsid w:val="00946DE6"/>
    <w:rsid w:val="009522E6"/>
    <w:rsid w:val="009523B9"/>
    <w:rsid w:val="0095348F"/>
    <w:rsid w:val="00955F6D"/>
    <w:rsid w:val="009703D2"/>
    <w:rsid w:val="0097292F"/>
    <w:rsid w:val="0097474F"/>
    <w:rsid w:val="009776EA"/>
    <w:rsid w:val="00977C16"/>
    <w:rsid w:val="00977ED6"/>
    <w:rsid w:val="009804F5"/>
    <w:rsid w:val="0098551D"/>
    <w:rsid w:val="00985DCB"/>
    <w:rsid w:val="0099518F"/>
    <w:rsid w:val="00996AA2"/>
    <w:rsid w:val="009A28F8"/>
    <w:rsid w:val="009A3597"/>
    <w:rsid w:val="009A523D"/>
    <w:rsid w:val="009B02A1"/>
    <w:rsid w:val="009B3361"/>
    <w:rsid w:val="009B7F3F"/>
    <w:rsid w:val="009C4976"/>
    <w:rsid w:val="009D0288"/>
    <w:rsid w:val="009D7A81"/>
    <w:rsid w:val="009D7CE6"/>
    <w:rsid w:val="009E289D"/>
    <w:rsid w:val="009E448E"/>
    <w:rsid w:val="009F106E"/>
    <w:rsid w:val="009F3946"/>
    <w:rsid w:val="009F496B"/>
    <w:rsid w:val="00A01439"/>
    <w:rsid w:val="00A01573"/>
    <w:rsid w:val="00A02E61"/>
    <w:rsid w:val="00A04690"/>
    <w:rsid w:val="00A05CFF"/>
    <w:rsid w:val="00A0658C"/>
    <w:rsid w:val="00A13048"/>
    <w:rsid w:val="00A329C9"/>
    <w:rsid w:val="00A435CD"/>
    <w:rsid w:val="00A45D21"/>
    <w:rsid w:val="00A46843"/>
    <w:rsid w:val="00A46E85"/>
    <w:rsid w:val="00A56B97"/>
    <w:rsid w:val="00A5735B"/>
    <w:rsid w:val="00A6093D"/>
    <w:rsid w:val="00A6219E"/>
    <w:rsid w:val="00A63BF1"/>
    <w:rsid w:val="00A64486"/>
    <w:rsid w:val="00A65CA9"/>
    <w:rsid w:val="00A703CE"/>
    <w:rsid w:val="00A7191A"/>
    <w:rsid w:val="00A72017"/>
    <w:rsid w:val="00A767DC"/>
    <w:rsid w:val="00A76A6D"/>
    <w:rsid w:val="00A81B07"/>
    <w:rsid w:val="00A83253"/>
    <w:rsid w:val="00A865AB"/>
    <w:rsid w:val="00AA4BD5"/>
    <w:rsid w:val="00AA6E84"/>
    <w:rsid w:val="00AB1A1C"/>
    <w:rsid w:val="00AB4721"/>
    <w:rsid w:val="00AB66D8"/>
    <w:rsid w:val="00AB7405"/>
    <w:rsid w:val="00AC5439"/>
    <w:rsid w:val="00AD05A8"/>
    <w:rsid w:val="00AD0FAD"/>
    <w:rsid w:val="00AD194E"/>
    <w:rsid w:val="00AE078F"/>
    <w:rsid w:val="00AE2D60"/>
    <w:rsid w:val="00AE341B"/>
    <w:rsid w:val="00AF21F1"/>
    <w:rsid w:val="00AF51C5"/>
    <w:rsid w:val="00AF64B7"/>
    <w:rsid w:val="00B01905"/>
    <w:rsid w:val="00B07CA7"/>
    <w:rsid w:val="00B11FC5"/>
    <w:rsid w:val="00B1279A"/>
    <w:rsid w:val="00B238C3"/>
    <w:rsid w:val="00B256B0"/>
    <w:rsid w:val="00B3640F"/>
    <w:rsid w:val="00B37713"/>
    <w:rsid w:val="00B417D1"/>
    <w:rsid w:val="00B4194A"/>
    <w:rsid w:val="00B437E8"/>
    <w:rsid w:val="00B4723D"/>
    <w:rsid w:val="00B51F2C"/>
    <w:rsid w:val="00B5213C"/>
    <w:rsid w:val="00B5222E"/>
    <w:rsid w:val="00B53179"/>
    <w:rsid w:val="00B532EA"/>
    <w:rsid w:val="00B53852"/>
    <w:rsid w:val="00B57A23"/>
    <w:rsid w:val="00B600CD"/>
    <w:rsid w:val="00B61C96"/>
    <w:rsid w:val="00B6312F"/>
    <w:rsid w:val="00B63189"/>
    <w:rsid w:val="00B71381"/>
    <w:rsid w:val="00B73A2A"/>
    <w:rsid w:val="00B74219"/>
    <w:rsid w:val="00B75A51"/>
    <w:rsid w:val="00B77255"/>
    <w:rsid w:val="00B827C6"/>
    <w:rsid w:val="00B92B8C"/>
    <w:rsid w:val="00B94B06"/>
    <w:rsid w:val="00B94C28"/>
    <w:rsid w:val="00BB1919"/>
    <w:rsid w:val="00BB3964"/>
    <w:rsid w:val="00BB3B55"/>
    <w:rsid w:val="00BB4D07"/>
    <w:rsid w:val="00BC10BA"/>
    <w:rsid w:val="00BC5AFD"/>
    <w:rsid w:val="00BD5D12"/>
    <w:rsid w:val="00BD6C76"/>
    <w:rsid w:val="00BD6F60"/>
    <w:rsid w:val="00BD7C1E"/>
    <w:rsid w:val="00BE4032"/>
    <w:rsid w:val="00BE6088"/>
    <w:rsid w:val="00BF277D"/>
    <w:rsid w:val="00BF69D7"/>
    <w:rsid w:val="00BF7E9F"/>
    <w:rsid w:val="00C00598"/>
    <w:rsid w:val="00C00DDE"/>
    <w:rsid w:val="00C04F43"/>
    <w:rsid w:val="00C05271"/>
    <w:rsid w:val="00C0609D"/>
    <w:rsid w:val="00C115AB"/>
    <w:rsid w:val="00C147C9"/>
    <w:rsid w:val="00C21F44"/>
    <w:rsid w:val="00C2454A"/>
    <w:rsid w:val="00C257C2"/>
    <w:rsid w:val="00C26CCB"/>
    <w:rsid w:val="00C30249"/>
    <w:rsid w:val="00C35F74"/>
    <w:rsid w:val="00C3723B"/>
    <w:rsid w:val="00C37DC6"/>
    <w:rsid w:val="00C40C68"/>
    <w:rsid w:val="00C41F26"/>
    <w:rsid w:val="00C42466"/>
    <w:rsid w:val="00C46468"/>
    <w:rsid w:val="00C52684"/>
    <w:rsid w:val="00C5445C"/>
    <w:rsid w:val="00C54A09"/>
    <w:rsid w:val="00C54CF6"/>
    <w:rsid w:val="00C606C9"/>
    <w:rsid w:val="00C608FC"/>
    <w:rsid w:val="00C64EE6"/>
    <w:rsid w:val="00C67002"/>
    <w:rsid w:val="00C741C7"/>
    <w:rsid w:val="00C74416"/>
    <w:rsid w:val="00C80288"/>
    <w:rsid w:val="00C836F0"/>
    <w:rsid w:val="00C84003"/>
    <w:rsid w:val="00C90650"/>
    <w:rsid w:val="00C912BF"/>
    <w:rsid w:val="00C9492B"/>
    <w:rsid w:val="00C97D78"/>
    <w:rsid w:val="00CA6C65"/>
    <w:rsid w:val="00CB0754"/>
    <w:rsid w:val="00CC109C"/>
    <w:rsid w:val="00CC2AAE"/>
    <w:rsid w:val="00CC4D4C"/>
    <w:rsid w:val="00CC5A42"/>
    <w:rsid w:val="00CC6645"/>
    <w:rsid w:val="00CD0CFD"/>
    <w:rsid w:val="00CD0EAB"/>
    <w:rsid w:val="00CE3346"/>
    <w:rsid w:val="00CE5E02"/>
    <w:rsid w:val="00CE7590"/>
    <w:rsid w:val="00CF34DB"/>
    <w:rsid w:val="00CF3917"/>
    <w:rsid w:val="00CF5374"/>
    <w:rsid w:val="00CF558F"/>
    <w:rsid w:val="00CF68AC"/>
    <w:rsid w:val="00D010C0"/>
    <w:rsid w:val="00D06976"/>
    <w:rsid w:val="00D06B8B"/>
    <w:rsid w:val="00D073E2"/>
    <w:rsid w:val="00D1555A"/>
    <w:rsid w:val="00D33DAE"/>
    <w:rsid w:val="00D446EC"/>
    <w:rsid w:val="00D51BF0"/>
    <w:rsid w:val="00D531DB"/>
    <w:rsid w:val="00D55942"/>
    <w:rsid w:val="00D638D3"/>
    <w:rsid w:val="00D65FB8"/>
    <w:rsid w:val="00D67C1C"/>
    <w:rsid w:val="00D74B61"/>
    <w:rsid w:val="00D767CC"/>
    <w:rsid w:val="00D807BF"/>
    <w:rsid w:val="00D81499"/>
    <w:rsid w:val="00D82FCC"/>
    <w:rsid w:val="00D83684"/>
    <w:rsid w:val="00D85DD2"/>
    <w:rsid w:val="00D92BDE"/>
    <w:rsid w:val="00D93C73"/>
    <w:rsid w:val="00D95C55"/>
    <w:rsid w:val="00D96D6D"/>
    <w:rsid w:val="00D9746D"/>
    <w:rsid w:val="00DA1025"/>
    <w:rsid w:val="00DA17FC"/>
    <w:rsid w:val="00DA70E0"/>
    <w:rsid w:val="00DA7887"/>
    <w:rsid w:val="00DB0028"/>
    <w:rsid w:val="00DB2C26"/>
    <w:rsid w:val="00DB45C3"/>
    <w:rsid w:val="00DB4B64"/>
    <w:rsid w:val="00DC06B8"/>
    <w:rsid w:val="00DC3358"/>
    <w:rsid w:val="00DC6761"/>
    <w:rsid w:val="00DC6C44"/>
    <w:rsid w:val="00DD02F4"/>
    <w:rsid w:val="00DD6622"/>
    <w:rsid w:val="00DE1693"/>
    <w:rsid w:val="00DE1C7C"/>
    <w:rsid w:val="00DE6B43"/>
    <w:rsid w:val="00DF0BE0"/>
    <w:rsid w:val="00E00332"/>
    <w:rsid w:val="00E0088E"/>
    <w:rsid w:val="00E041C6"/>
    <w:rsid w:val="00E11923"/>
    <w:rsid w:val="00E207D8"/>
    <w:rsid w:val="00E21F74"/>
    <w:rsid w:val="00E262D4"/>
    <w:rsid w:val="00E3086C"/>
    <w:rsid w:val="00E31B32"/>
    <w:rsid w:val="00E35DFE"/>
    <w:rsid w:val="00E36250"/>
    <w:rsid w:val="00E451EB"/>
    <w:rsid w:val="00E4724E"/>
    <w:rsid w:val="00E47F2D"/>
    <w:rsid w:val="00E54511"/>
    <w:rsid w:val="00E5550A"/>
    <w:rsid w:val="00E55C68"/>
    <w:rsid w:val="00E57239"/>
    <w:rsid w:val="00E60EDC"/>
    <w:rsid w:val="00E61CB4"/>
    <w:rsid w:val="00E61DAC"/>
    <w:rsid w:val="00E66A1B"/>
    <w:rsid w:val="00E70A71"/>
    <w:rsid w:val="00E719BA"/>
    <w:rsid w:val="00E72B80"/>
    <w:rsid w:val="00E75FE3"/>
    <w:rsid w:val="00E8031B"/>
    <w:rsid w:val="00E81FBE"/>
    <w:rsid w:val="00E8654F"/>
    <w:rsid w:val="00E86C4C"/>
    <w:rsid w:val="00E907A3"/>
    <w:rsid w:val="00E95FAF"/>
    <w:rsid w:val="00E97F76"/>
    <w:rsid w:val="00EA0D6A"/>
    <w:rsid w:val="00EA1966"/>
    <w:rsid w:val="00EA4089"/>
    <w:rsid w:val="00EA5AE0"/>
    <w:rsid w:val="00EB56E1"/>
    <w:rsid w:val="00EB6C07"/>
    <w:rsid w:val="00EB7AB1"/>
    <w:rsid w:val="00EC083F"/>
    <w:rsid w:val="00EC2BD6"/>
    <w:rsid w:val="00EC32BD"/>
    <w:rsid w:val="00ED1C8D"/>
    <w:rsid w:val="00ED536F"/>
    <w:rsid w:val="00EE4192"/>
    <w:rsid w:val="00EE4741"/>
    <w:rsid w:val="00EE7CD8"/>
    <w:rsid w:val="00EF0AA9"/>
    <w:rsid w:val="00EF0F3F"/>
    <w:rsid w:val="00EF37F6"/>
    <w:rsid w:val="00EF48CC"/>
    <w:rsid w:val="00F00801"/>
    <w:rsid w:val="00F030A5"/>
    <w:rsid w:val="00F1059C"/>
    <w:rsid w:val="00F1064D"/>
    <w:rsid w:val="00F2488D"/>
    <w:rsid w:val="00F251CF"/>
    <w:rsid w:val="00F27DF0"/>
    <w:rsid w:val="00F36633"/>
    <w:rsid w:val="00F555E9"/>
    <w:rsid w:val="00F57972"/>
    <w:rsid w:val="00F601A0"/>
    <w:rsid w:val="00F6368B"/>
    <w:rsid w:val="00F63B41"/>
    <w:rsid w:val="00F712E9"/>
    <w:rsid w:val="00F73032"/>
    <w:rsid w:val="00F848FC"/>
    <w:rsid w:val="00F8545D"/>
    <w:rsid w:val="00F906F6"/>
    <w:rsid w:val="00F9282A"/>
    <w:rsid w:val="00F942B7"/>
    <w:rsid w:val="00F95EF4"/>
    <w:rsid w:val="00F96BAD"/>
    <w:rsid w:val="00FA139D"/>
    <w:rsid w:val="00FA1E83"/>
    <w:rsid w:val="00FA50FA"/>
    <w:rsid w:val="00FA56CF"/>
    <w:rsid w:val="00FA60F5"/>
    <w:rsid w:val="00FB0070"/>
    <w:rsid w:val="00FB0E84"/>
    <w:rsid w:val="00FC2405"/>
    <w:rsid w:val="00FC60A5"/>
    <w:rsid w:val="00FD01C2"/>
    <w:rsid w:val="00FD49DC"/>
    <w:rsid w:val="00FD57AE"/>
    <w:rsid w:val="00FE5066"/>
    <w:rsid w:val="00FE595C"/>
    <w:rsid w:val="00FE6EE1"/>
    <w:rsid w:val="00FF0CE3"/>
    <w:rsid w:val="00FF0DA3"/>
    <w:rsid w:val="00FF27BF"/>
    <w:rsid w:val="020E4551"/>
    <w:rsid w:val="042D44FA"/>
    <w:rsid w:val="0799394C"/>
    <w:rsid w:val="08056519"/>
    <w:rsid w:val="0FCA47CE"/>
    <w:rsid w:val="10B4FEC4"/>
    <w:rsid w:val="174A4D5E"/>
    <w:rsid w:val="18AABF04"/>
    <w:rsid w:val="18BF148A"/>
    <w:rsid w:val="1B503B75"/>
    <w:rsid w:val="1D2781A8"/>
    <w:rsid w:val="21384ACB"/>
    <w:rsid w:val="21BEC6AE"/>
    <w:rsid w:val="21E58A0F"/>
    <w:rsid w:val="25605B58"/>
    <w:rsid w:val="2594E0BE"/>
    <w:rsid w:val="264379F1"/>
    <w:rsid w:val="26655106"/>
    <w:rsid w:val="2A9E2E77"/>
    <w:rsid w:val="2ED6F1EC"/>
    <w:rsid w:val="2EFCC062"/>
    <w:rsid w:val="30DEB6A2"/>
    <w:rsid w:val="361BCA09"/>
    <w:rsid w:val="37444FCB"/>
    <w:rsid w:val="3C5DDC35"/>
    <w:rsid w:val="3D3120BD"/>
    <w:rsid w:val="3EBCDA9F"/>
    <w:rsid w:val="4131F04E"/>
    <w:rsid w:val="43E71F98"/>
    <w:rsid w:val="47166E2D"/>
    <w:rsid w:val="47B75959"/>
    <w:rsid w:val="499F42EB"/>
    <w:rsid w:val="4A6B0BBC"/>
    <w:rsid w:val="4CB13C39"/>
    <w:rsid w:val="4DCDFAF7"/>
    <w:rsid w:val="4EFC0A74"/>
    <w:rsid w:val="501B42BD"/>
    <w:rsid w:val="518AA1A9"/>
    <w:rsid w:val="51E72C63"/>
    <w:rsid w:val="55A4F3FB"/>
    <w:rsid w:val="55D4BC66"/>
    <w:rsid w:val="59382BBA"/>
    <w:rsid w:val="59489D43"/>
    <w:rsid w:val="5A37FF80"/>
    <w:rsid w:val="5C273849"/>
    <w:rsid w:val="62386158"/>
    <w:rsid w:val="640065ED"/>
    <w:rsid w:val="658FB63C"/>
    <w:rsid w:val="66AA8264"/>
    <w:rsid w:val="68989314"/>
    <w:rsid w:val="69029AFA"/>
    <w:rsid w:val="7462A3E3"/>
    <w:rsid w:val="77EA821E"/>
    <w:rsid w:val="7C39A111"/>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ECB5D697-107E-4772-B05D-6157B4797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777A8"/>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E35DFE"/>
    <w:pPr>
      <w:ind w:left="720"/>
      <w:contextualSpacing/>
    </w:pPr>
  </w:style>
  <w:style w:type="paragraph" w:styleId="CommentText">
    <w:name w:val="annotation text"/>
    <w:basedOn w:val="Normal"/>
    <w:link w:val="CommentTextChar"/>
    <w:rsid w:val="004C687D"/>
    <w:rPr>
      <w:sz w:val="20"/>
    </w:rPr>
  </w:style>
  <w:style w:type="character" w:customStyle="1" w:styleId="CommentTextChar">
    <w:name w:val="Comment Text Char"/>
    <w:basedOn w:val="DefaultParagraphFont"/>
    <w:link w:val="CommentText"/>
    <w:rsid w:val="004C687D"/>
  </w:style>
  <w:style w:type="character" w:styleId="CommentReference">
    <w:name w:val="annotation reference"/>
    <w:basedOn w:val="DefaultParagraphFont"/>
    <w:rsid w:val="004C687D"/>
    <w:rPr>
      <w:sz w:val="16"/>
      <w:szCs w:val="1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9130D1"/>
    <w:rPr>
      <w:i/>
      <w:iCs/>
      <w:color w:val="44546A" w:themeColor="text2"/>
      <w:sz w:val="18"/>
      <w:szCs w:val="18"/>
    </w:rPr>
  </w:style>
  <w:style w:type="table" w:styleId="TableGrid">
    <w:name w:val="Table Grid"/>
    <w:basedOn w:val="TableNormal"/>
    <w:rsid w:val="009130D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33FE3"/>
    <w:rPr>
      <w:sz w:val="22"/>
    </w:rPr>
  </w:style>
  <w:style w:type="paragraph" w:styleId="CommentSubject">
    <w:name w:val="annotation subject"/>
    <w:basedOn w:val="CommentText"/>
    <w:next w:val="CommentText"/>
    <w:link w:val="CommentSubjectChar"/>
    <w:semiHidden/>
    <w:unhideWhenUsed/>
    <w:rsid w:val="009274EE"/>
    <w:rPr>
      <w:b/>
      <w:bCs/>
    </w:rPr>
  </w:style>
  <w:style w:type="character" w:customStyle="1" w:styleId="CommentSubjectChar">
    <w:name w:val="Comment Subject Char"/>
    <w:basedOn w:val="CommentTextChar"/>
    <w:link w:val="CommentSubject"/>
    <w:semiHidden/>
    <w:rsid w:val="009274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14498">
      <w:bodyDiv w:val="1"/>
      <w:marLeft w:val="0"/>
      <w:marRight w:val="0"/>
      <w:marTop w:val="0"/>
      <w:marBottom w:val="0"/>
      <w:divBdr>
        <w:top w:val="none" w:sz="0" w:space="0" w:color="auto"/>
        <w:left w:val="none" w:sz="0" w:space="0" w:color="auto"/>
        <w:bottom w:val="none" w:sz="0" w:space="0" w:color="auto"/>
        <w:right w:val="none" w:sz="0" w:space="0" w:color="auto"/>
      </w:divBdr>
    </w:div>
    <w:div w:id="223106369">
      <w:bodyDiv w:val="1"/>
      <w:marLeft w:val="0"/>
      <w:marRight w:val="0"/>
      <w:marTop w:val="0"/>
      <w:marBottom w:val="0"/>
      <w:divBdr>
        <w:top w:val="none" w:sz="0" w:space="0" w:color="auto"/>
        <w:left w:val="none" w:sz="0" w:space="0" w:color="auto"/>
        <w:bottom w:val="none" w:sz="0" w:space="0" w:color="auto"/>
        <w:right w:val="none" w:sz="0" w:space="0" w:color="auto"/>
      </w:divBdr>
    </w:div>
    <w:div w:id="261963440">
      <w:bodyDiv w:val="1"/>
      <w:marLeft w:val="0"/>
      <w:marRight w:val="0"/>
      <w:marTop w:val="0"/>
      <w:marBottom w:val="0"/>
      <w:divBdr>
        <w:top w:val="none" w:sz="0" w:space="0" w:color="auto"/>
        <w:left w:val="none" w:sz="0" w:space="0" w:color="auto"/>
        <w:bottom w:val="none" w:sz="0" w:space="0" w:color="auto"/>
        <w:right w:val="none" w:sz="0" w:space="0" w:color="auto"/>
      </w:divBdr>
    </w:div>
    <w:div w:id="440758020">
      <w:bodyDiv w:val="1"/>
      <w:marLeft w:val="0"/>
      <w:marRight w:val="0"/>
      <w:marTop w:val="0"/>
      <w:marBottom w:val="0"/>
      <w:divBdr>
        <w:top w:val="none" w:sz="0" w:space="0" w:color="auto"/>
        <w:left w:val="none" w:sz="0" w:space="0" w:color="auto"/>
        <w:bottom w:val="none" w:sz="0" w:space="0" w:color="auto"/>
        <w:right w:val="none" w:sz="0" w:space="0" w:color="auto"/>
      </w:divBdr>
    </w:div>
    <w:div w:id="588388463">
      <w:bodyDiv w:val="1"/>
      <w:marLeft w:val="0"/>
      <w:marRight w:val="0"/>
      <w:marTop w:val="0"/>
      <w:marBottom w:val="0"/>
      <w:divBdr>
        <w:top w:val="none" w:sz="0" w:space="0" w:color="auto"/>
        <w:left w:val="none" w:sz="0" w:space="0" w:color="auto"/>
        <w:bottom w:val="none" w:sz="0" w:space="0" w:color="auto"/>
        <w:right w:val="none" w:sz="0" w:space="0" w:color="auto"/>
      </w:divBdr>
    </w:div>
    <w:div w:id="603655675">
      <w:bodyDiv w:val="1"/>
      <w:marLeft w:val="0"/>
      <w:marRight w:val="0"/>
      <w:marTop w:val="0"/>
      <w:marBottom w:val="0"/>
      <w:divBdr>
        <w:top w:val="none" w:sz="0" w:space="0" w:color="auto"/>
        <w:left w:val="none" w:sz="0" w:space="0" w:color="auto"/>
        <w:bottom w:val="none" w:sz="0" w:space="0" w:color="auto"/>
        <w:right w:val="none" w:sz="0" w:space="0" w:color="auto"/>
      </w:divBdr>
    </w:div>
    <w:div w:id="723335839">
      <w:bodyDiv w:val="1"/>
      <w:marLeft w:val="0"/>
      <w:marRight w:val="0"/>
      <w:marTop w:val="0"/>
      <w:marBottom w:val="0"/>
      <w:divBdr>
        <w:top w:val="none" w:sz="0" w:space="0" w:color="auto"/>
        <w:left w:val="none" w:sz="0" w:space="0" w:color="auto"/>
        <w:bottom w:val="none" w:sz="0" w:space="0" w:color="auto"/>
        <w:right w:val="none" w:sz="0" w:space="0" w:color="auto"/>
      </w:divBdr>
    </w:div>
    <w:div w:id="1072241916">
      <w:bodyDiv w:val="1"/>
      <w:marLeft w:val="0"/>
      <w:marRight w:val="0"/>
      <w:marTop w:val="0"/>
      <w:marBottom w:val="0"/>
      <w:divBdr>
        <w:top w:val="none" w:sz="0" w:space="0" w:color="auto"/>
        <w:left w:val="none" w:sz="0" w:space="0" w:color="auto"/>
        <w:bottom w:val="none" w:sz="0" w:space="0" w:color="auto"/>
        <w:right w:val="none" w:sz="0" w:space="0" w:color="auto"/>
      </w:divBdr>
    </w:div>
    <w:div w:id="1158692569">
      <w:bodyDiv w:val="1"/>
      <w:marLeft w:val="0"/>
      <w:marRight w:val="0"/>
      <w:marTop w:val="0"/>
      <w:marBottom w:val="0"/>
      <w:divBdr>
        <w:top w:val="none" w:sz="0" w:space="0" w:color="auto"/>
        <w:left w:val="none" w:sz="0" w:space="0" w:color="auto"/>
        <w:bottom w:val="none" w:sz="0" w:space="0" w:color="auto"/>
        <w:right w:val="none" w:sz="0" w:space="0" w:color="auto"/>
      </w:divBdr>
    </w:div>
    <w:div w:id="14069516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256097">
      <w:bodyDiv w:val="1"/>
      <w:marLeft w:val="0"/>
      <w:marRight w:val="0"/>
      <w:marTop w:val="0"/>
      <w:marBottom w:val="0"/>
      <w:divBdr>
        <w:top w:val="none" w:sz="0" w:space="0" w:color="auto"/>
        <w:left w:val="none" w:sz="0" w:space="0" w:color="auto"/>
        <w:bottom w:val="none" w:sz="0" w:space="0" w:color="auto"/>
        <w:right w:val="none" w:sz="0" w:space="0" w:color="auto"/>
      </w:divBdr>
    </w:div>
    <w:div w:id="1782720399">
      <w:bodyDiv w:val="1"/>
      <w:marLeft w:val="0"/>
      <w:marRight w:val="0"/>
      <w:marTop w:val="0"/>
      <w:marBottom w:val="0"/>
      <w:divBdr>
        <w:top w:val="none" w:sz="0" w:space="0" w:color="auto"/>
        <w:left w:val="none" w:sz="0" w:space="0" w:color="auto"/>
        <w:bottom w:val="none" w:sz="0" w:space="0" w:color="auto"/>
        <w:right w:val="none" w:sz="0" w:space="0" w:color="auto"/>
      </w:divBdr>
    </w:div>
    <w:div w:id="1879780490">
      <w:bodyDiv w:val="1"/>
      <w:marLeft w:val="0"/>
      <w:marRight w:val="0"/>
      <w:marTop w:val="0"/>
      <w:marBottom w:val="0"/>
      <w:divBdr>
        <w:top w:val="none" w:sz="0" w:space="0" w:color="auto"/>
        <w:left w:val="none" w:sz="0" w:space="0" w:color="auto"/>
        <w:bottom w:val="none" w:sz="0" w:space="0" w:color="auto"/>
        <w:right w:val="none" w:sz="0" w:space="0" w:color="auto"/>
      </w:divBdr>
    </w:div>
    <w:div w:id="1918400195">
      <w:bodyDiv w:val="1"/>
      <w:marLeft w:val="0"/>
      <w:marRight w:val="0"/>
      <w:marTop w:val="0"/>
      <w:marBottom w:val="0"/>
      <w:divBdr>
        <w:top w:val="none" w:sz="0" w:space="0" w:color="auto"/>
        <w:left w:val="none" w:sz="0" w:space="0" w:color="auto"/>
        <w:bottom w:val="none" w:sz="0" w:space="0" w:color="auto"/>
        <w:right w:val="none" w:sz="0" w:space="0" w:color="auto"/>
      </w:divBdr>
    </w:div>
    <w:div w:id="212612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D939B3-26E2-44A8-85C7-E458DC03F726}">
  <ds:schemaRefs>
    <ds:schemaRef ds:uri="http://schemas.microsoft.com/sharepoint/v3/contenttype/forms"/>
  </ds:schemaRefs>
</ds:datastoreItem>
</file>

<file path=customXml/itemProps2.xml><?xml version="1.0" encoding="utf-8"?>
<ds:datastoreItem xmlns:ds="http://schemas.openxmlformats.org/officeDocument/2006/customXml" ds:itemID="{A4DB52C7-6EDD-4C89-AA97-A45318128ACD}">
  <ds:schemaRefs>
    <ds:schemaRef ds:uri="http://schemas.openxmlformats.org/officeDocument/2006/bibliography"/>
  </ds:schemaRefs>
</ds:datastoreItem>
</file>

<file path=customXml/itemProps3.xml><?xml version="1.0" encoding="utf-8"?>
<ds:datastoreItem xmlns:ds="http://schemas.openxmlformats.org/officeDocument/2006/customXml" ds:itemID="{56CD92D5-C4AB-4393-B054-BEFB19F233F6}">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4.xml><?xml version="1.0" encoding="utf-8"?>
<ds:datastoreItem xmlns:ds="http://schemas.openxmlformats.org/officeDocument/2006/customXml" ds:itemID="{154F797D-2413-400F-85A6-D2DBF59E5215}"/>
</file>

<file path=docProps/app.xml><?xml version="1.0" encoding="utf-8"?>
<Properties xmlns="http://schemas.openxmlformats.org/officeDocument/2006/extended-properties" xmlns:vt="http://schemas.openxmlformats.org/officeDocument/2006/docPropsVTypes">
  <Template>Normal</Template>
  <TotalTime>8</TotalTime>
  <Pages>4</Pages>
  <Words>1167</Words>
  <Characters>6270</Characters>
  <Application>Microsoft Office Word</Application>
  <DocSecurity>0</DocSecurity>
  <Lines>52</Lines>
  <Paragraphs>14</Paragraphs>
  <ScaleCrop>false</ScaleCrop>
  <Company>JCT-VC</Company>
  <LinksUpToDate>false</LinksUpToDate>
  <CharactersWithSpaces>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Léannec</cp:lastModifiedBy>
  <cp:revision>24</cp:revision>
  <cp:lastPrinted>1900-01-02T02:00:00Z</cp:lastPrinted>
  <dcterms:created xsi:type="dcterms:W3CDTF">2024-01-10T17:11:00Z</dcterms:created>
  <dcterms:modified xsi:type="dcterms:W3CDTF">2024-01-10T17:19:00Z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