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CF87A4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4A1840">
              <w:rPr>
                <w:lang w:val="en-CA"/>
              </w:rPr>
              <w:t>A</w:t>
            </w:r>
            <w:r w:rsidR="00286256" w:rsidRPr="004A1840">
              <w:rPr>
                <w:lang w:val="en-CA"/>
              </w:rPr>
              <w:t>F</w:t>
            </w:r>
            <w:r w:rsidR="004A1840" w:rsidRPr="004A1840">
              <w:rPr>
                <w:lang w:val="en-CA"/>
              </w:rPr>
              <w:t>0134-v1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6F3F3B" w:rsidR="00E61DAC" w:rsidRPr="005B217D" w:rsidRDefault="00DD260A" w:rsidP="009D7CE6">
            <w:pPr>
              <w:spacing w:before="60" w:after="60"/>
              <w:rPr>
                <w:b/>
                <w:szCs w:val="22"/>
                <w:lang w:val="en-CA"/>
              </w:rPr>
            </w:pPr>
            <w:r>
              <w:rPr>
                <w:b/>
                <w:szCs w:val="22"/>
                <w:lang w:val="en-CA"/>
              </w:rPr>
              <w:t>AHG12</w:t>
            </w:r>
            <w:r w:rsidR="00E42E69">
              <w:rPr>
                <w:b/>
                <w:szCs w:val="22"/>
                <w:lang w:val="en-CA"/>
              </w:rPr>
              <w:t xml:space="preserve">: AMVP with </w:t>
            </w:r>
            <w:proofErr w:type="spellStart"/>
            <w:r w:rsidR="00E42E69">
              <w:rPr>
                <w:b/>
                <w:szCs w:val="22"/>
                <w:lang w:val="en-CA"/>
              </w:rPr>
              <w:t>SbTMVP</w:t>
            </w:r>
            <w:proofErr w:type="spellEnd"/>
            <w:r w:rsidR="00E42E69">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542F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CBB74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A6E33C" w14:textId="77777777" w:rsidR="000400E7" w:rsidRDefault="000400E7" w:rsidP="000400E7">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p>
          <w:p w14:paraId="4D686B42" w14:textId="77777777" w:rsidR="000400E7" w:rsidRDefault="000400E7" w:rsidP="000400E7">
            <w:pPr>
              <w:spacing w:before="60" w:after="60"/>
              <w:rPr>
                <w:rFonts w:eastAsia="PMingLiU"/>
                <w:szCs w:val="22"/>
                <w:lang w:eastAsia="zh-TW"/>
              </w:rPr>
            </w:pP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p>
          <w:p w14:paraId="39E7A38F" w14:textId="77777777" w:rsidR="000400E7" w:rsidRDefault="000400E7" w:rsidP="000400E7">
            <w:pPr>
              <w:spacing w:before="60" w:after="60"/>
              <w:rPr>
                <w:rFonts w:eastAsia="PMingLiU"/>
                <w:szCs w:val="22"/>
                <w:lang w:eastAsia="zh-TW"/>
              </w:rPr>
            </w:pPr>
            <w:r>
              <w:rPr>
                <w:rFonts w:eastAsia="PMingLiU" w:hint="eastAsia"/>
                <w:szCs w:val="22"/>
                <w:lang w:eastAsia="zh-TW"/>
              </w:rPr>
              <w:t>Y</w:t>
            </w:r>
            <w:r>
              <w:rPr>
                <w:rFonts w:eastAsia="PMingLiU"/>
                <w:szCs w:val="22"/>
                <w:lang w:eastAsia="zh-TW"/>
              </w:rPr>
              <w:t>an Ye</w:t>
            </w:r>
          </w:p>
          <w:p w14:paraId="49D81240" w14:textId="067A83F6" w:rsidR="00E61DAC" w:rsidRPr="005B217D" w:rsidRDefault="000400E7" w:rsidP="000400E7">
            <w:pPr>
              <w:spacing w:before="60" w:after="60"/>
              <w:rPr>
                <w:szCs w:val="22"/>
                <w:lang w:val="en-CA"/>
              </w:rPr>
            </w:pP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D76A99" w:rsidR="00E61DAC" w:rsidRPr="005B217D" w:rsidRDefault="00E61DAC" w:rsidP="005952A5">
            <w:pPr>
              <w:spacing w:before="60" w:after="60"/>
              <w:rPr>
                <w:szCs w:val="22"/>
                <w:lang w:val="en-CA"/>
              </w:rPr>
            </w:pPr>
            <w:r w:rsidRPr="005B217D">
              <w:rPr>
                <w:szCs w:val="22"/>
                <w:lang w:val="en-CA"/>
              </w:rPr>
              <w:br/>
            </w:r>
            <w:r w:rsidR="000400E7" w:rsidRPr="003C3943">
              <w:rPr>
                <w:szCs w:val="22"/>
                <w:lang w:val="en-CA"/>
              </w:rPr>
              <w:t>{</w:t>
            </w:r>
            <w:proofErr w:type="spellStart"/>
            <w:r w:rsidR="000400E7">
              <w:rPr>
                <w:szCs w:val="22"/>
                <w:lang w:val="en-CA"/>
              </w:rPr>
              <w:t>ruling.lrl</w:t>
            </w:r>
            <w:proofErr w:type="spellEnd"/>
            <w:r w:rsidR="000400E7">
              <w:rPr>
                <w:szCs w:val="22"/>
                <w:lang w:val="en-CA"/>
              </w:rPr>
              <w:t xml:space="preserve">, </w:t>
            </w:r>
            <w:proofErr w:type="spellStart"/>
            <w:r w:rsidR="000400E7" w:rsidRPr="003C3943">
              <w:rPr>
                <w:szCs w:val="22"/>
                <w:lang w:val="en-CA"/>
              </w:rPr>
              <w:t>jiechen.cj</w:t>
            </w:r>
            <w:proofErr w:type="spellEnd"/>
            <w:r w:rsidR="000400E7">
              <w:rPr>
                <w:szCs w:val="22"/>
                <w:lang w:val="en-CA"/>
              </w:rPr>
              <w:t xml:space="preserve">, yan.ye, </w:t>
            </w:r>
            <w:proofErr w:type="spellStart"/>
            <w:r w:rsidR="000400E7" w:rsidRPr="003C3943">
              <w:rPr>
                <w:szCs w:val="22"/>
                <w:lang w:val="en-CA"/>
              </w:rPr>
              <w:t>sid.lxw</w:t>
            </w:r>
            <w:proofErr w:type="spellEnd"/>
            <w:r w:rsidR="000400E7" w:rsidRPr="003C3943">
              <w:rPr>
                <w:szCs w:val="22"/>
                <w:lang w:val="en-CA"/>
              </w:rPr>
              <w:t>}</w:t>
            </w:r>
            <w:r w:rsidR="000400E7">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6674A" w:rsidR="00E61DAC" w:rsidRPr="005B217D" w:rsidRDefault="000400E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D98D9B" w:rsidR="00263398" w:rsidRDefault="00F0019C" w:rsidP="009234A5">
      <w:pPr>
        <w:rPr>
          <w:szCs w:val="22"/>
          <w:lang w:val="en-CA"/>
        </w:rPr>
      </w:pPr>
      <w:r>
        <w:rPr>
          <w:szCs w:val="22"/>
          <w:lang w:val="en-CA"/>
        </w:rPr>
        <w:t xml:space="preserve">The AMVP with </w:t>
      </w:r>
      <w:proofErr w:type="spellStart"/>
      <w:r>
        <w:rPr>
          <w:szCs w:val="22"/>
          <w:lang w:val="en-CA"/>
        </w:rPr>
        <w:t>SbTMVP</w:t>
      </w:r>
      <w:proofErr w:type="spellEnd"/>
      <w:r>
        <w:rPr>
          <w:szCs w:val="22"/>
          <w:lang w:val="en-CA"/>
        </w:rPr>
        <w:t xml:space="preserve"> mode was</w:t>
      </w:r>
      <w:r w:rsidR="00764CA4">
        <w:rPr>
          <w:szCs w:val="22"/>
          <w:lang w:val="en-CA"/>
        </w:rPr>
        <w:t xml:space="preserve"> firstly</w:t>
      </w:r>
      <w:r>
        <w:rPr>
          <w:szCs w:val="22"/>
          <w:lang w:val="en-CA"/>
        </w:rPr>
        <w:t xml:space="preserve"> proposed in JVET-AC0103, and was stu</w:t>
      </w:r>
      <w:r w:rsidR="0056443B">
        <w:rPr>
          <w:szCs w:val="22"/>
          <w:lang w:val="en-CA"/>
        </w:rPr>
        <w:t>died in EE2.</w:t>
      </w:r>
      <w:r>
        <w:rPr>
          <w:szCs w:val="22"/>
          <w:lang w:val="en-CA"/>
        </w:rPr>
        <w:t xml:space="preserve"> </w:t>
      </w:r>
      <w:r w:rsidR="0056443B">
        <w:rPr>
          <w:szCs w:val="22"/>
          <w:lang w:val="en-CA"/>
        </w:rPr>
        <w:t xml:space="preserve">The simulation result on top of ECM-8.0 was reported in JVET-AD0152, and the overall coding performance </w:t>
      </w:r>
      <w:r w:rsidR="00263B5A">
        <w:rPr>
          <w:szCs w:val="22"/>
          <w:lang w:val="en-CA"/>
        </w:rPr>
        <w:t xml:space="preserve">and runtime </w:t>
      </w:r>
      <w:r w:rsidR="0056443B">
        <w:rPr>
          <w:szCs w:val="22"/>
          <w:lang w:val="en-CA"/>
        </w:rPr>
        <w:t xml:space="preserve">for </w:t>
      </w:r>
      <w:r w:rsidR="0056443B" w:rsidRPr="002718DC">
        <w:rPr>
          <w:szCs w:val="22"/>
          <w:lang w:val="en-CA"/>
        </w:rPr>
        <w:t xml:space="preserve">{Y, U, V, </w:t>
      </w:r>
      <w:proofErr w:type="spellStart"/>
      <w:r w:rsidR="0056443B" w:rsidRPr="002718DC">
        <w:rPr>
          <w:szCs w:val="22"/>
          <w:lang w:val="en-CA"/>
        </w:rPr>
        <w:t>EncT</w:t>
      </w:r>
      <w:proofErr w:type="spellEnd"/>
      <w:r w:rsidR="0056443B" w:rsidRPr="002718DC">
        <w:rPr>
          <w:szCs w:val="22"/>
          <w:lang w:val="en-CA"/>
        </w:rPr>
        <w:t xml:space="preserve">, </w:t>
      </w:r>
      <w:proofErr w:type="spellStart"/>
      <w:r w:rsidR="0056443B" w:rsidRPr="002718DC">
        <w:rPr>
          <w:szCs w:val="22"/>
          <w:lang w:val="en-CA"/>
        </w:rPr>
        <w:t>DecT</w:t>
      </w:r>
      <w:proofErr w:type="spellEnd"/>
      <w:r w:rsidR="0056443B" w:rsidRPr="002718DC">
        <w:rPr>
          <w:szCs w:val="22"/>
          <w:lang w:val="en-CA"/>
        </w:rPr>
        <w:t>}</w:t>
      </w:r>
      <w:r w:rsidR="0056443B">
        <w:rPr>
          <w:szCs w:val="22"/>
          <w:lang w:val="en-CA"/>
        </w:rPr>
        <w:t xml:space="preserve"> was {-0.06%, -0.03%, -0.04%, 102%, 100%} for RA and {-0.22%, 0.06%, 0.04%, 102%, 100%} for LB.</w:t>
      </w:r>
      <w:r w:rsidR="00764CA4">
        <w:rPr>
          <w:szCs w:val="22"/>
          <w:lang w:val="en-CA"/>
        </w:rPr>
        <w:t xml:space="preserve"> It was commented that the results did not provide </w:t>
      </w:r>
      <w:r w:rsidR="00764CA4" w:rsidRPr="00764CA4">
        <w:rPr>
          <w:szCs w:val="22"/>
          <w:lang w:val="en-CA"/>
        </w:rPr>
        <w:t>attractive benefit in terms of compression</w:t>
      </w:r>
      <w:r w:rsidR="00411789" w:rsidRPr="00411789">
        <w:rPr>
          <w:szCs w:val="22"/>
          <w:lang w:val="en-CA"/>
        </w:rPr>
        <w:t>, compared to the increased encoder</w:t>
      </w:r>
      <w:r w:rsidR="00764CA4">
        <w:rPr>
          <w:szCs w:val="22"/>
          <w:lang w:val="en-CA"/>
        </w:rPr>
        <w:t>.</w:t>
      </w:r>
    </w:p>
    <w:p w14:paraId="031F86EC" w14:textId="5130F543" w:rsidR="0056443B" w:rsidRPr="005B217D" w:rsidRDefault="0056443B" w:rsidP="009234A5">
      <w:pPr>
        <w:rPr>
          <w:szCs w:val="22"/>
          <w:lang w:val="en-CA"/>
        </w:rPr>
      </w:pPr>
      <w:r>
        <w:rPr>
          <w:szCs w:val="22"/>
          <w:lang w:val="en-CA"/>
        </w:rPr>
        <w:t xml:space="preserve">In this contribution, the coding efficiency and complexity of the AMVP with </w:t>
      </w:r>
      <w:proofErr w:type="spellStart"/>
      <w:r>
        <w:rPr>
          <w:szCs w:val="22"/>
          <w:lang w:val="en-CA"/>
        </w:rPr>
        <w:t>SbTMVP</w:t>
      </w:r>
      <w:proofErr w:type="spellEnd"/>
      <w:r>
        <w:rPr>
          <w:szCs w:val="22"/>
          <w:lang w:val="en-CA"/>
        </w:rPr>
        <w:t xml:space="preserve"> mode are improved. Given a CU coded in AMVP with </w:t>
      </w:r>
      <w:proofErr w:type="spellStart"/>
      <w:r>
        <w:rPr>
          <w:szCs w:val="22"/>
          <w:lang w:val="en-CA"/>
        </w:rPr>
        <w:t>SbTMVP</w:t>
      </w:r>
      <w:proofErr w:type="spellEnd"/>
      <w:r>
        <w:rPr>
          <w:szCs w:val="22"/>
          <w:lang w:val="en-CA"/>
        </w:rPr>
        <w:t xml:space="preserve"> mode, the CU is predicted in a similar way as that of </w:t>
      </w:r>
      <w:proofErr w:type="spellStart"/>
      <w:r>
        <w:rPr>
          <w:szCs w:val="22"/>
          <w:lang w:val="en-CA"/>
        </w:rPr>
        <w:t>SbTMVP</w:t>
      </w:r>
      <w:proofErr w:type="spellEnd"/>
      <w:r>
        <w:rPr>
          <w:szCs w:val="22"/>
          <w:lang w:val="en-CA"/>
        </w:rPr>
        <w:t xml:space="preserve"> in merge mode except that the motion shift is signaled in the bitstream instead of being derived from neighboring blocks. I</w:t>
      </w:r>
      <w:r w:rsidRPr="002718DC">
        <w:rPr>
          <w:szCs w:val="22"/>
          <w:lang w:val="en-CA"/>
        </w:rPr>
        <w:t>t is reported that on top of E</w:t>
      </w:r>
      <w:r>
        <w:rPr>
          <w:szCs w:val="22"/>
          <w:lang w:val="en-CA"/>
        </w:rPr>
        <w:t>CM-10.0</w:t>
      </w:r>
      <w:r w:rsidRPr="002718DC">
        <w:rPr>
          <w:szCs w:val="22"/>
          <w:lang w:val="en-CA"/>
        </w:rPr>
        <w:t xml:space="preserve">, the overall coding performance impact for {Y, U, V, </w:t>
      </w:r>
      <w:proofErr w:type="spellStart"/>
      <w:r w:rsidRPr="002718DC">
        <w:rPr>
          <w:szCs w:val="22"/>
          <w:lang w:val="en-CA"/>
        </w:rPr>
        <w:t>EncT</w:t>
      </w:r>
      <w:proofErr w:type="spellEnd"/>
      <w:r w:rsidRPr="002718DC">
        <w:rPr>
          <w:szCs w:val="22"/>
          <w:lang w:val="en-CA"/>
        </w:rPr>
        <w:t xml:space="preserve">, </w:t>
      </w:r>
      <w:proofErr w:type="spellStart"/>
      <w:r w:rsidRPr="002718DC">
        <w:rPr>
          <w:szCs w:val="22"/>
          <w:lang w:val="en-CA"/>
        </w:rPr>
        <w:t>DecT</w:t>
      </w:r>
      <w:proofErr w:type="spellEnd"/>
      <w:r w:rsidR="00747396">
        <w:rPr>
          <w:szCs w:val="22"/>
          <w:lang w:val="en-CA"/>
        </w:rPr>
        <w:t xml:space="preserve">, </w:t>
      </w:r>
      <w:proofErr w:type="spellStart"/>
      <w:r w:rsidR="00747396">
        <w:rPr>
          <w:szCs w:val="22"/>
          <w:lang w:val="en-CA"/>
        </w:rPr>
        <w:t>VmPeak</w:t>
      </w:r>
      <w:proofErr w:type="spellEnd"/>
      <w:r w:rsidRPr="002718DC">
        <w:rPr>
          <w:szCs w:val="22"/>
          <w:lang w:val="en-CA"/>
        </w:rPr>
        <w:t xml:space="preserve">} is </w:t>
      </w:r>
      <w:r>
        <w:rPr>
          <w:szCs w:val="22"/>
          <w:lang w:val="en-CA"/>
        </w:rPr>
        <w:t>{-0.</w:t>
      </w:r>
      <w:r w:rsidR="00764CA4">
        <w:rPr>
          <w:szCs w:val="22"/>
          <w:lang w:val="en-CA"/>
        </w:rPr>
        <w:t>10</w:t>
      </w:r>
      <w:r>
        <w:rPr>
          <w:szCs w:val="22"/>
          <w:lang w:val="en-CA"/>
        </w:rPr>
        <w:t>%, -0.0</w:t>
      </w:r>
      <w:r w:rsidR="00764CA4">
        <w:rPr>
          <w:szCs w:val="22"/>
          <w:lang w:val="en-CA"/>
        </w:rPr>
        <w:t>1</w:t>
      </w:r>
      <w:r>
        <w:rPr>
          <w:szCs w:val="22"/>
          <w:lang w:val="en-CA"/>
        </w:rPr>
        <w:t>%, -0.0</w:t>
      </w:r>
      <w:r w:rsidR="00764CA4">
        <w:rPr>
          <w:szCs w:val="22"/>
          <w:lang w:val="en-CA"/>
        </w:rPr>
        <w:t>2</w:t>
      </w:r>
      <w:r>
        <w:rPr>
          <w:szCs w:val="22"/>
          <w:lang w:val="en-CA"/>
        </w:rPr>
        <w:t>%, 10</w:t>
      </w:r>
      <w:r w:rsidR="00764CA4">
        <w:rPr>
          <w:szCs w:val="22"/>
          <w:lang w:val="en-CA"/>
        </w:rPr>
        <w:t>1.1</w:t>
      </w:r>
      <w:r>
        <w:rPr>
          <w:szCs w:val="22"/>
          <w:lang w:val="en-CA"/>
        </w:rPr>
        <w:t xml:space="preserve">%, </w:t>
      </w:r>
      <w:r w:rsidR="00764CA4">
        <w:rPr>
          <w:szCs w:val="22"/>
          <w:lang w:val="en-CA"/>
        </w:rPr>
        <w:t>99.8</w:t>
      </w:r>
      <w:r>
        <w:rPr>
          <w:szCs w:val="22"/>
          <w:lang w:val="en-CA"/>
        </w:rPr>
        <w:t>%</w:t>
      </w:r>
      <w:r w:rsidR="00747396">
        <w:rPr>
          <w:szCs w:val="22"/>
          <w:lang w:val="en-CA"/>
        </w:rPr>
        <w:t>, 100.2%</w:t>
      </w:r>
      <w:r w:rsidRPr="002718DC">
        <w:rPr>
          <w:szCs w:val="22"/>
          <w:lang w:val="en-CA"/>
        </w:rPr>
        <w:t>} for RA</w:t>
      </w:r>
      <w:r>
        <w:rPr>
          <w:szCs w:val="22"/>
          <w:lang w:val="en-CA"/>
        </w:rPr>
        <w:t xml:space="preserve"> and {-0.</w:t>
      </w:r>
      <w:r w:rsidR="00764CA4">
        <w:rPr>
          <w:szCs w:val="22"/>
          <w:lang w:val="en-CA"/>
        </w:rPr>
        <w:t>36</w:t>
      </w:r>
      <w:r>
        <w:rPr>
          <w:szCs w:val="22"/>
          <w:lang w:val="en-CA"/>
        </w:rPr>
        <w:t>%, -0.</w:t>
      </w:r>
      <w:r w:rsidR="00764CA4">
        <w:rPr>
          <w:szCs w:val="22"/>
          <w:lang w:val="en-CA"/>
        </w:rPr>
        <w:t>21</w:t>
      </w:r>
      <w:r>
        <w:rPr>
          <w:szCs w:val="22"/>
          <w:lang w:val="en-CA"/>
        </w:rPr>
        <w:t>%, -0.</w:t>
      </w:r>
      <w:r w:rsidR="00764CA4">
        <w:rPr>
          <w:szCs w:val="22"/>
          <w:lang w:val="en-CA"/>
        </w:rPr>
        <w:t>29</w:t>
      </w:r>
      <w:r>
        <w:rPr>
          <w:szCs w:val="22"/>
          <w:lang w:val="en-CA"/>
        </w:rPr>
        <w:t>%, 103</w:t>
      </w:r>
      <w:r w:rsidR="00764CA4">
        <w:rPr>
          <w:szCs w:val="22"/>
          <w:lang w:val="en-CA"/>
        </w:rPr>
        <w:t>.2</w:t>
      </w:r>
      <w:r>
        <w:rPr>
          <w:szCs w:val="22"/>
          <w:lang w:val="en-CA"/>
        </w:rPr>
        <w:t xml:space="preserve">%, </w:t>
      </w:r>
      <w:r w:rsidR="00764CA4">
        <w:rPr>
          <w:szCs w:val="22"/>
          <w:lang w:val="en-CA"/>
        </w:rPr>
        <w:t>99.7</w:t>
      </w:r>
      <w:r>
        <w:rPr>
          <w:szCs w:val="22"/>
          <w:lang w:val="en-CA"/>
        </w:rPr>
        <w:t>%</w:t>
      </w:r>
      <w:r w:rsidR="00747396">
        <w:rPr>
          <w:szCs w:val="22"/>
          <w:lang w:val="en-CA"/>
        </w:rPr>
        <w:t>, 100.1%</w:t>
      </w:r>
      <w:r>
        <w:rPr>
          <w:szCs w:val="22"/>
          <w:lang w:val="en-CA"/>
        </w:rPr>
        <w:t>} for LB</w:t>
      </w:r>
      <w:r w:rsidRPr="002718DC">
        <w:rPr>
          <w:szCs w:val="22"/>
          <w:lang w:val="en-CA"/>
        </w:rPr>
        <w:t>.</w:t>
      </w:r>
      <w:r>
        <w:rPr>
          <w:szCs w:val="22"/>
          <w:lang w:val="en-CA"/>
        </w:rPr>
        <w:t xml:space="preserve"> </w:t>
      </w:r>
    </w:p>
    <w:p w14:paraId="7D2AC1F0" w14:textId="6EA52B55" w:rsidR="00745F6B" w:rsidRPr="005B217D" w:rsidRDefault="00745F6B" w:rsidP="00E11923">
      <w:pPr>
        <w:pStyle w:val="Heading1"/>
        <w:rPr>
          <w:lang w:val="en-CA"/>
        </w:rPr>
      </w:pPr>
      <w:r w:rsidRPr="005B217D">
        <w:rPr>
          <w:lang w:val="en-CA"/>
        </w:rPr>
        <w:t>Introduction</w:t>
      </w:r>
    </w:p>
    <w:p w14:paraId="376512C3" w14:textId="341443D8" w:rsidR="00FC00A1" w:rsidRDefault="00764CA4" w:rsidP="00FC00A1">
      <w:pPr>
        <w:rPr>
          <w:szCs w:val="22"/>
          <w:lang w:val="en-CA"/>
        </w:rPr>
      </w:pPr>
      <w:r>
        <w:rPr>
          <w:szCs w:val="22"/>
          <w:lang w:val="en-CA"/>
        </w:rPr>
        <w:t xml:space="preserve">The AMVP with </w:t>
      </w:r>
      <w:proofErr w:type="spellStart"/>
      <w:r>
        <w:rPr>
          <w:szCs w:val="22"/>
          <w:lang w:val="en-CA"/>
        </w:rPr>
        <w:t>SbTMVP</w:t>
      </w:r>
      <w:proofErr w:type="spellEnd"/>
      <w:r>
        <w:rPr>
          <w:szCs w:val="22"/>
          <w:lang w:val="en-CA"/>
        </w:rPr>
        <w:t xml:space="preserve"> mode was proposed in JVET-AC0103</w:t>
      </w:r>
      <w:r w:rsidR="004933A2">
        <w:rPr>
          <w:szCs w:val="22"/>
          <w:lang w:val="en-CA"/>
        </w:rPr>
        <w:t xml:space="preserve"> </w:t>
      </w:r>
      <w:r w:rsidR="004933A2">
        <w:rPr>
          <w:szCs w:val="22"/>
          <w:lang w:val="en-CA"/>
        </w:rPr>
        <w:fldChar w:fldCharType="begin"/>
      </w:r>
      <w:r w:rsidR="004933A2">
        <w:rPr>
          <w:szCs w:val="22"/>
          <w:lang w:val="en-CA"/>
        </w:rPr>
        <w:instrText xml:space="preserve"> REF _Ref147152206 \r \h </w:instrText>
      </w:r>
      <w:r w:rsidR="004933A2">
        <w:rPr>
          <w:szCs w:val="22"/>
          <w:lang w:val="en-CA"/>
        </w:rPr>
      </w:r>
      <w:r w:rsidR="004933A2">
        <w:rPr>
          <w:szCs w:val="22"/>
          <w:lang w:val="en-CA"/>
        </w:rPr>
        <w:fldChar w:fldCharType="separate"/>
      </w:r>
      <w:r w:rsidR="004933A2">
        <w:rPr>
          <w:szCs w:val="22"/>
          <w:lang w:val="en-CA"/>
        </w:rPr>
        <w:t>[1]</w:t>
      </w:r>
      <w:r w:rsidR="004933A2">
        <w:rPr>
          <w:szCs w:val="22"/>
          <w:lang w:val="en-CA"/>
        </w:rPr>
        <w:fldChar w:fldCharType="end"/>
      </w:r>
      <w:r>
        <w:rPr>
          <w:szCs w:val="22"/>
          <w:lang w:val="en-CA"/>
        </w:rPr>
        <w:t xml:space="preserve"> and JVET-AD0152</w:t>
      </w:r>
      <w:r w:rsidR="004933A2">
        <w:rPr>
          <w:szCs w:val="22"/>
          <w:lang w:val="en-CA"/>
        </w:rPr>
        <w:t xml:space="preserve"> </w:t>
      </w:r>
      <w:r w:rsidR="004933A2">
        <w:rPr>
          <w:szCs w:val="22"/>
          <w:lang w:val="en-CA"/>
        </w:rPr>
        <w:fldChar w:fldCharType="begin"/>
      </w:r>
      <w:r w:rsidR="004933A2">
        <w:rPr>
          <w:szCs w:val="22"/>
          <w:lang w:val="en-CA"/>
        </w:rPr>
        <w:instrText xml:space="preserve"> REF _Ref147152210 \r \h </w:instrText>
      </w:r>
      <w:r w:rsidR="004933A2">
        <w:rPr>
          <w:szCs w:val="22"/>
          <w:lang w:val="en-CA"/>
        </w:rPr>
      </w:r>
      <w:r w:rsidR="004933A2">
        <w:rPr>
          <w:szCs w:val="22"/>
          <w:lang w:val="en-CA"/>
        </w:rPr>
        <w:fldChar w:fldCharType="separate"/>
      </w:r>
      <w:r w:rsidR="004933A2">
        <w:rPr>
          <w:szCs w:val="22"/>
          <w:lang w:val="en-CA"/>
        </w:rPr>
        <w:t>[2]</w:t>
      </w:r>
      <w:r w:rsidR="004933A2">
        <w:rPr>
          <w:szCs w:val="22"/>
          <w:lang w:val="en-CA"/>
        </w:rPr>
        <w:fldChar w:fldCharType="end"/>
      </w:r>
      <w:r>
        <w:rPr>
          <w:szCs w:val="22"/>
          <w:lang w:val="en-CA"/>
        </w:rPr>
        <w:t>.</w:t>
      </w:r>
      <w:r w:rsidR="00FC00A1">
        <w:rPr>
          <w:szCs w:val="22"/>
          <w:lang w:val="en-CA"/>
        </w:rPr>
        <w:t xml:space="preserve"> In JVET-AD0152, </w:t>
      </w:r>
      <w:r w:rsidR="00FC00A1">
        <w:rPr>
          <w:rFonts w:eastAsia="PMingLiU"/>
          <w:lang w:eastAsia="zh-TW"/>
        </w:rPr>
        <w:t xml:space="preserve">when a CU is coded using the </w:t>
      </w:r>
      <w:r w:rsidR="00FC00A1">
        <w:rPr>
          <w:szCs w:val="22"/>
          <w:lang w:val="en-CA"/>
        </w:rPr>
        <w:t xml:space="preserve">AMVP with </w:t>
      </w:r>
      <w:proofErr w:type="spellStart"/>
      <w:r w:rsidR="00FC00A1">
        <w:rPr>
          <w:szCs w:val="22"/>
          <w:lang w:val="en-CA"/>
        </w:rPr>
        <w:t>SbTMVP</w:t>
      </w:r>
      <w:proofErr w:type="spellEnd"/>
      <w:r w:rsidR="00FC00A1">
        <w:rPr>
          <w:rFonts w:eastAsia="PMingLiU"/>
          <w:lang w:eastAsia="zh-TW"/>
        </w:rPr>
        <w:t xml:space="preserve"> mode, the CU is split into 4x4 subblocks, and each subblock derives its own motion from a corresponding subblock in the collocated picture. The collocated picture is fixed to the same collocated picture used in VVC. The reference pictures of subblocks are selected using the same way as that of </w:t>
      </w:r>
      <w:proofErr w:type="spellStart"/>
      <w:r w:rsidR="00FC00A1">
        <w:rPr>
          <w:rFonts w:eastAsia="PMingLiU"/>
          <w:lang w:eastAsia="zh-TW"/>
        </w:rPr>
        <w:t>SbTMVP</w:t>
      </w:r>
      <w:proofErr w:type="spellEnd"/>
      <w:r w:rsidR="00263B5A">
        <w:rPr>
          <w:rFonts w:eastAsia="PMingLiU"/>
          <w:lang w:eastAsia="zh-TW"/>
        </w:rPr>
        <w:t xml:space="preserve"> in VVC</w:t>
      </w:r>
      <w:r w:rsidR="00FC00A1">
        <w:rPr>
          <w:rFonts w:eastAsia="PMingLiU"/>
          <w:lang w:eastAsia="zh-TW"/>
        </w:rPr>
        <w:t xml:space="preserve">. The corresponding subblock is obtained using MVP with a signaled MVD. </w:t>
      </w:r>
      <w:r w:rsidR="00FC00A1">
        <w:rPr>
          <w:szCs w:val="22"/>
          <w:lang w:val="en-CA"/>
        </w:rPr>
        <w:t>The number of MVD is set to 16 if a picture whose POC distance between current picture and collocated picture is larger than 2. Otherwise, if the picture is a low delay picture, the number of MVD is set to 32. Otherwise, the number of MVD is set to 64.</w:t>
      </w:r>
    </w:p>
    <w:p w14:paraId="495E0A4C" w14:textId="5BF3EA01" w:rsidR="00FC00A1" w:rsidRDefault="00FC00A1" w:rsidP="00FC00A1">
      <w:pPr>
        <w:rPr>
          <w:rFonts w:eastAsia="PMingLiU"/>
          <w:lang w:eastAsia="zh-TW"/>
        </w:rPr>
      </w:pPr>
      <w:r>
        <w:rPr>
          <w:rFonts w:eastAsia="PMingLiU"/>
          <w:lang w:eastAsia="zh-TW"/>
        </w:rPr>
        <w:t>In some cases, the corresponding subblock in collocated picture is non-inter coded, that is, the temporal motion information is unavailable; in this case, the motion of center subblock of the CU is used instead. When the motion of the center subblock of the CU is also unavailable, the MVP with the signaled MVD is used instead.</w:t>
      </w:r>
    </w:p>
    <w:p w14:paraId="36E7A1CD" w14:textId="30D3274D" w:rsidR="00FC00A1" w:rsidRPr="00265AE7" w:rsidRDefault="00FC00A1" w:rsidP="00FC00A1">
      <w:pPr>
        <w:rPr>
          <w:rFonts w:eastAsia="PMingLiU"/>
          <w:lang w:eastAsia="zh-TW"/>
        </w:rPr>
      </w:pPr>
      <w:r>
        <w:rPr>
          <w:rFonts w:eastAsia="PMingLiU"/>
          <w:lang w:eastAsia="zh-TW"/>
        </w:rPr>
        <w:t xml:space="preserve">Regarding the syntax design, when a CU is coded using AMVP mode, a flag is signaled to indicate whether the CU is predicted with </w:t>
      </w:r>
      <w:proofErr w:type="spellStart"/>
      <w:r>
        <w:rPr>
          <w:rFonts w:eastAsia="PMingLiU"/>
          <w:lang w:eastAsia="zh-TW"/>
        </w:rPr>
        <w:t>SbTMVP</w:t>
      </w:r>
      <w:proofErr w:type="spellEnd"/>
      <w:r>
        <w:rPr>
          <w:rFonts w:eastAsia="PMingLiU"/>
          <w:lang w:eastAsia="zh-TW"/>
        </w:rPr>
        <w:t xml:space="preserve">. If the </w:t>
      </w:r>
      <w:proofErr w:type="spellStart"/>
      <w:r>
        <w:rPr>
          <w:rFonts w:eastAsia="PMingLiU"/>
          <w:lang w:eastAsia="zh-TW"/>
        </w:rPr>
        <w:t>SbTMVP</w:t>
      </w:r>
      <w:proofErr w:type="spellEnd"/>
      <w:r>
        <w:rPr>
          <w:rFonts w:eastAsia="PMingLiU"/>
          <w:lang w:eastAsia="zh-TW"/>
        </w:rPr>
        <w:t xml:space="preserve"> is used, another flag is signaled to indicate whether MVD exists, and an MVD index is signaled to indicate the motion direction and motion magnitude if MVD exists. The inter prediction direction and reference picture index are directly set to the collocated picture instead of being signaled in the bitstream for the proposed mode. Moreover, the adaptive motion vector </w:t>
      </w:r>
      <w:r>
        <w:rPr>
          <w:rFonts w:eastAsia="PMingLiU"/>
          <w:lang w:eastAsia="zh-TW"/>
        </w:rPr>
        <w:lastRenderedPageBreak/>
        <w:t xml:space="preserve">resolution (AMVR), local </w:t>
      </w:r>
      <w:r w:rsidRPr="00250117">
        <w:rPr>
          <w:lang w:val="en-CA"/>
        </w:rPr>
        <w:t xml:space="preserve">illumination </w:t>
      </w:r>
      <w:r>
        <w:rPr>
          <w:lang w:val="en-CA"/>
        </w:rPr>
        <w:t xml:space="preserve">compensation (LIC) </w:t>
      </w:r>
      <w:r>
        <w:rPr>
          <w:rFonts w:eastAsia="PMingLiU"/>
          <w:lang w:eastAsia="zh-TW"/>
        </w:rPr>
        <w:t>and m</w:t>
      </w:r>
      <w:r w:rsidRPr="006D6081">
        <w:rPr>
          <w:rFonts w:eastAsia="PMingLiU"/>
          <w:lang w:eastAsia="zh-TW"/>
        </w:rPr>
        <w:t>ulti-hypothesis prediction</w:t>
      </w:r>
      <w:r>
        <w:rPr>
          <w:rFonts w:eastAsia="PMingLiU"/>
          <w:lang w:eastAsia="zh-TW"/>
        </w:rPr>
        <w:t xml:space="preserve"> (MHP) are not applied to the proposed mode. The OBMC is always applied to the proposed mode without signaling.</w:t>
      </w:r>
    </w:p>
    <w:p w14:paraId="60194B42" w14:textId="777A91D8" w:rsidR="000400E7" w:rsidRDefault="000400E7" w:rsidP="00E11923">
      <w:pPr>
        <w:pStyle w:val="Heading1"/>
        <w:rPr>
          <w:lang w:val="en-CA"/>
        </w:rPr>
      </w:pPr>
      <w:r>
        <w:rPr>
          <w:lang w:val="en-CA"/>
        </w:rPr>
        <w:t>Proposed methods</w:t>
      </w:r>
    </w:p>
    <w:p w14:paraId="40AE3D83" w14:textId="017AEAF8" w:rsidR="000400E7" w:rsidRDefault="00756D29" w:rsidP="000400E7">
      <w:pPr>
        <w:rPr>
          <w:lang w:val="en-CA"/>
        </w:rPr>
      </w:pPr>
      <w:r>
        <w:rPr>
          <w:lang w:val="en-CA"/>
        </w:rPr>
        <w:t xml:space="preserve">To improve the coding efficiency and reduce the encoding complexity of the AMVP with </w:t>
      </w:r>
      <w:proofErr w:type="spellStart"/>
      <w:r>
        <w:rPr>
          <w:lang w:val="en-CA"/>
        </w:rPr>
        <w:t>SbTMVP</w:t>
      </w:r>
      <w:proofErr w:type="spellEnd"/>
      <w:r>
        <w:rPr>
          <w:lang w:val="en-CA"/>
        </w:rPr>
        <w:t xml:space="preserve"> mode, the following changes are made:</w:t>
      </w:r>
    </w:p>
    <w:p w14:paraId="2AF95108" w14:textId="502338BF" w:rsidR="00756D29" w:rsidRDefault="00756D29" w:rsidP="00756D29">
      <w:pPr>
        <w:pStyle w:val="ListParagraph"/>
        <w:numPr>
          <w:ilvl w:val="0"/>
          <w:numId w:val="16"/>
        </w:numPr>
        <w:ind w:firstLineChars="0"/>
        <w:rPr>
          <w:lang w:val="en-CA"/>
        </w:rPr>
      </w:pPr>
      <w:r>
        <w:rPr>
          <w:lang w:val="en-CA"/>
        </w:rPr>
        <w:t>For low delay pictures, one</w:t>
      </w:r>
      <w:r w:rsidR="00551058">
        <w:rPr>
          <w:lang w:val="en-CA"/>
        </w:rPr>
        <w:t xml:space="preserve"> CU-level</w:t>
      </w:r>
      <w:r>
        <w:rPr>
          <w:lang w:val="en-CA"/>
        </w:rPr>
        <w:t xml:space="preserve"> flag is signaled to indicated which one of the two collocated pictures is used to derive the motion. For non-low delay picture</w:t>
      </w:r>
      <w:r w:rsidR="006173F2">
        <w:rPr>
          <w:lang w:val="en-CA"/>
        </w:rPr>
        <w:t>s</w:t>
      </w:r>
      <w:r>
        <w:rPr>
          <w:lang w:val="en-CA"/>
        </w:rPr>
        <w:t>, t</w:t>
      </w:r>
      <w:r w:rsidRPr="00756D29">
        <w:rPr>
          <w:lang w:val="en-CA"/>
        </w:rPr>
        <w:t>he collocated picture is fixed to the same collocated picture used in VVC.</w:t>
      </w:r>
    </w:p>
    <w:p w14:paraId="6394ECD4" w14:textId="39C40E99" w:rsidR="00756D29" w:rsidRDefault="00756D29" w:rsidP="00756D29">
      <w:pPr>
        <w:pStyle w:val="ListParagraph"/>
        <w:numPr>
          <w:ilvl w:val="0"/>
          <w:numId w:val="16"/>
        </w:numPr>
        <w:ind w:firstLineChars="0"/>
        <w:rPr>
          <w:lang w:val="en-CA"/>
        </w:rPr>
      </w:pPr>
      <w:r>
        <w:rPr>
          <w:lang w:val="en-CA"/>
        </w:rPr>
        <w:t>The reference pictures of subblocks are fixed to the one with reference</w:t>
      </w:r>
      <w:r w:rsidR="00BE6AF3">
        <w:rPr>
          <w:lang w:val="en-CA"/>
        </w:rPr>
        <w:t xml:space="preserve"> picture</w:t>
      </w:r>
      <w:r>
        <w:rPr>
          <w:lang w:val="en-CA"/>
        </w:rPr>
        <w:t xml:space="preserve"> index equal to 0.</w:t>
      </w:r>
    </w:p>
    <w:p w14:paraId="5BBA43D2" w14:textId="70C6B501" w:rsidR="00756D29" w:rsidRDefault="00756D29" w:rsidP="00756D29">
      <w:pPr>
        <w:pStyle w:val="ListParagraph"/>
        <w:numPr>
          <w:ilvl w:val="0"/>
          <w:numId w:val="16"/>
        </w:numPr>
        <w:ind w:firstLineChars="0"/>
        <w:rPr>
          <w:lang w:val="en-CA"/>
        </w:rPr>
      </w:pPr>
      <w:r>
        <w:rPr>
          <w:lang w:val="en-CA"/>
        </w:rPr>
        <w:t>The number of MVD is always set to 16 which comprises 4 motion directions and 4 motion magnitudes (</w:t>
      </w:r>
      <w:r>
        <w:rPr>
          <w:lang w:val="en-CA"/>
        </w:rPr>
        <w:fldChar w:fldCharType="begin"/>
      </w:r>
      <w:r>
        <w:rPr>
          <w:lang w:val="en-CA"/>
        </w:rPr>
        <w:instrText xml:space="preserve"> REF _Ref123668304 \h </w:instrText>
      </w:r>
      <w:r>
        <w:rPr>
          <w:lang w:val="en-CA"/>
        </w:rPr>
      </w:r>
      <w:r>
        <w:rPr>
          <w:lang w:val="en-CA"/>
        </w:rPr>
        <w:fldChar w:fldCharType="separate"/>
      </w:r>
      <w:r w:rsidRPr="004A4F5A">
        <w:rPr>
          <w:rFonts w:eastAsia="PMingLiU"/>
          <w:lang w:eastAsia="zh-TW"/>
        </w:rPr>
        <w:t xml:space="preserve">Figure </w:t>
      </w:r>
      <w:r>
        <w:rPr>
          <w:rFonts w:eastAsia="PMingLiU"/>
          <w:noProof/>
          <w:lang w:eastAsia="zh-TW"/>
        </w:rPr>
        <w:t>1</w:t>
      </w:r>
      <w:r>
        <w:rPr>
          <w:lang w:val="en-CA"/>
        </w:rPr>
        <w:fldChar w:fldCharType="end"/>
      </w:r>
      <w:r>
        <w:rPr>
          <w:lang w:val="en-CA"/>
        </w:rPr>
        <w:t>).</w:t>
      </w:r>
    </w:p>
    <w:p w14:paraId="6F3FA17E" w14:textId="5335DB08" w:rsidR="00756D29" w:rsidRDefault="00A20BDA" w:rsidP="00756D29">
      <w:pPr>
        <w:pStyle w:val="ListParagraph"/>
        <w:numPr>
          <w:ilvl w:val="0"/>
          <w:numId w:val="16"/>
        </w:numPr>
        <w:ind w:firstLineChars="0"/>
        <w:rPr>
          <w:lang w:val="en-CA"/>
        </w:rPr>
      </w:pPr>
      <w:r>
        <w:rPr>
          <w:lang w:val="en-CA"/>
        </w:rPr>
        <w:t>When picture resolution is larger than or equal to 1280</w:t>
      </w:r>
      <w:r w:rsidR="00BE6AF3">
        <w:rPr>
          <w:lang w:val="en-CA"/>
        </w:rPr>
        <w:t>x</w:t>
      </w:r>
      <w:r>
        <w:rPr>
          <w:lang w:val="en-CA"/>
        </w:rPr>
        <w:t>720 luma samples, t</w:t>
      </w:r>
      <w:r w:rsidR="0051744A">
        <w:rPr>
          <w:lang w:val="en-CA"/>
        </w:rPr>
        <w:t>he AMVR is enabled for the proposed mode. Two MVD resolutions are supported including 4-pel and 64-pel.</w:t>
      </w:r>
      <w:r w:rsidR="0063285C">
        <w:rPr>
          <w:lang w:val="en-CA"/>
        </w:rPr>
        <w:t xml:space="preserve"> When 4-pel MVD resolution is selected, the motion magnitudes are {4, 8, 12, 16}-pel. On the other hand, when 64-pel MVD resolution is selected, the motion magnitudes are {</w:t>
      </w:r>
      <w:r w:rsidR="0063285C" w:rsidRPr="0063285C">
        <w:rPr>
          <w:lang w:val="en-CA"/>
        </w:rPr>
        <w:t>64, 128, 192, 256</w:t>
      </w:r>
      <w:r w:rsidR="0063285C">
        <w:rPr>
          <w:lang w:val="en-CA"/>
        </w:rPr>
        <w:t>}-pel.</w:t>
      </w:r>
    </w:p>
    <w:p w14:paraId="1E4F406F" w14:textId="65C2C099" w:rsidR="00756D29" w:rsidRDefault="00756D29" w:rsidP="00756D29">
      <w:pPr>
        <w:ind w:left="360"/>
        <w:rPr>
          <w:lang w:val="en-CA"/>
        </w:rPr>
      </w:pPr>
    </w:p>
    <w:p w14:paraId="7B639B9C" w14:textId="664FEEA0" w:rsidR="00756D29" w:rsidRDefault="00756D29" w:rsidP="00756D29">
      <w:pPr>
        <w:ind w:left="360"/>
        <w:jc w:val="center"/>
        <w:rPr>
          <w:lang w:val="en-CA"/>
        </w:rPr>
      </w:pPr>
      <w:r>
        <w:rPr>
          <w:rFonts w:eastAsia="PMingLiU"/>
          <w:noProof/>
          <w:lang w:eastAsia="zh-TW"/>
        </w:rPr>
        <w:drawing>
          <wp:inline distT="0" distB="0" distL="0" distR="0" wp14:anchorId="6EAA8649" wp14:editId="1EEEA40B">
            <wp:extent cx="2674346" cy="1152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4346" cy="1152000"/>
                    </a:xfrm>
                    <a:prstGeom prst="rect">
                      <a:avLst/>
                    </a:prstGeom>
                    <a:noFill/>
                  </pic:spPr>
                </pic:pic>
              </a:graphicData>
            </a:graphic>
          </wp:inline>
        </w:drawing>
      </w:r>
    </w:p>
    <w:p w14:paraId="269A8445" w14:textId="0AF897B5" w:rsidR="00756D29" w:rsidRPr="000400E7" w:rsidRDefault="00756D29" w:rsidP="00756D29">
      <w:pPr>
        <w:ind w:left="360"/>
        <w:jc w:val="center"/>
        <w:rPr>
          <w:lang w:val="en-CA"/>
        </w:rPr>
      </w:pPr>
      <w:bookmarkStart w:id="0" w:name="_Ref123668304"/>
      <w:r w:rsidRPr="004A4F5A">
        <w:rPr>
          <w:rFonts w:eastAsia="PMingLiU"/>
          <w:lang w:eastAsia="zh-TW"/>
        </w:rPr>
        <w:t xml:space="preserve">Figure </w:t>
      </w:r>
      <w:r w:rsidRPr="004A4F5A">
        <w:rPr>
          <w:rFonts w:eastAsia="PMingLiU"/>
          <w:lang w:eastAsia="zh-TW"/>
        </w:rPr>
        <w:fldChar w:fldCharType="begin"/>
      </w:r>
      <w:r w:rsidRPr="004A4F5A">
        <w:rPr>
          <w:rFonts w:eastAsia="PMingLiU"/>
          <w:lang w:eastAsia="zh-TW"/>
        </w:rPr>
        <w:instrText xml:space="preserve"> SEQ Figure \* ARABIC </w:instrText>
      </w:r>
      <w:r w:rsidRPr="004A4F5A">
        <w:rPr>
          <w:rFonts w:eastAsia="PMingLiU"/>
          <w:lang w:eastAsia="zh-TW"/>
        </w:rPr>
        <w:fldChar w:fldCharType="separate"/>
      </w:r>
      <w:r>
        <w:rPr>
          <w:rFonts w:eastAsia="PMingLiU"/>
          <w:noProof/>
          <w:lang w:eastAsia="zh-TW"/>
        </w:rPr>
        <w:t>1</w:t>
      </w:r>
      <w:r w:rsidRPr="004A4F5A">
        <w:rPr>
          <w:rFonts w:eastAsia="PMingLiU"/>
          <w:lang w:eastAsia="zh-TW"/>
        </w:rPr>
        <w:fldChar w:fldCharType="end"/>
      </w:r>
      <w:bookmarkEnd w:id="0"/>
      <w:r w:rsidRPr="004A4F5A">
        <w:rPr>
          <w:rFonts w:eastAsia="PMingLiU"/>
          <w:lang w:eastAsia="zh-TW"/>
        </w:rPr>
        <w:t xml:space="preserve">. </w:t>
      </w:r>
      <w:r>
        <w:rPr>
          <w:rFonts w:eastAsia="PMingLiU"/>
          <w:lang w:eastAsia="zh-TW"/>
        </w:rPr>
        <w:t>16 MVD candidates for all pictures</w:t>
      </w:r>
    </w:p>
    <w:p w14:paraId="30604882" w14:textId="1B207299" w:rsidR="000400E7" w:rsidRDefault="000400E7" w:rsidP="00E11923">
      <w:pPr>
        <w:pStyle w:val="Heading1"/>
        <w:rPr>
          <w:lang w:val="en-CA"/>
        </w:rPr>
      </w:pPr>
      <w:r>
        <w:rPr>
          <w:lang w:val="en-CA"/>
        </w:rPr>
        <w:t>Simulation results</w:t>
      </w:r>
    </w:p>
    <w:p w14:paraId="46D90A16" w14:textId="499C0864" w:rsidR="00764CA4" w:rsidRDefault="00764CA4" w:rsidP="00764CA4">
      <w:pPr>
        <w:rPr>
          <w:lang w:val="en-CA"/>
        </w:rPr>
      </w:pPr>
      <w:r>
        <w:rPr>
          <w:lang w:val="en-CA"/>
        </w:rPr>
        <w:t xml:space="preserve">The proposed methods are implemented on top of ECM-10.0 and are tested under CTC for enhanced compression tool testing </w:t>
      </w:r>
      <w:r w:rsidR="004933A2">
        <w:rPr>
          <w:lang w:val="en-CA"/>
        </w:rPr>
        <w:fldChar w:fldCharType="begin"/>
      </w:r>
      <w:r w:rsidR="004933A2">
        <w:rPr>
          <w:lang w:val="en-CA"/>
        </w:rPr>
        <w:instrText xml:space="preserve"> REF _Ref147152219 \r \h </w:instrText>
      </w:r>
      <w:r w:rsidR="004933A2">
        <w:rPr>
          <w:lang w:val="en-CA"/>
        </w:rPr>
      </w:r>
      <w:r w:rsidR="004933A2">
        <w:rPr>
          <w:lang w:val="en-CA"/>
        </w:rPr>
        <w:fldChar w:fldCharType="separate"/>
      </w:r>
      <w:r w:rsidR="004933A2">
        <w:rPr>
          <w:lang w:val="en-CA"/>
        </w:rPr>
        <w:t>[3]</w:t>
      </w:r>
      <w:r w:rsidR="004933A2">
        <w:rPr>
          <w:lang w:val="en-CA"/>
        </w:rPr>
        <w:fldChar w:fldCharType="end"/>
      </w:r>
      <w:r>
        <w:rPr>
          <w:lang w:val="en-CA"/>
        </w:rPr>
        <w:t xml:space="preserve"> with random access and low delay B configurations</w:t>
      </w:r>
      <w:r w:rsidR="004933A2">
        <w:rPr>
          <w:lang w:val="en-CA"/>
        </w:rPr>
        <w:t xml:space="preserve">. </w:t>
      </w:r>
      <w:r w:rsidR="004933A2">
        <w:rPr>
          <w:lang w:val="en-CA"/>
        </w:rPr>
        <w:fldChar w:fldCharType="begin"/>
      </w:r>
      <w:r w:rsidR="004933A2">
        <w:rPr>
          <w:lang w:val="en-CA"/>
        </w:rPr>
        <w:instrText xml:space="preserve"> REF _Ref132379333 \h </w:instrText>
      </w:r>
      <w:r w:rsidR="004933A2">
        <w:rPr>
          <w:lang w:val="en-CA"/>
        </w:rPr>
      </w:r>
      <w:r w:rsidR="004933A2">
        <w:rPr>
          <w:lang w:val="en-CA"/>
        </w:rPr>
        <w:fldChar w:fldCharType="separate"/>
      </w:r>
      <w:r w:rsidR="004933A2" w:rsidRPr="0060096B">
        <w:rPr>
          <w:rFonts w:eastAsiaTheme="minorEastAsia"/>
          <w:lang w:val="en-CA"/>
        </w:rPr>
        <w:t>Table 1</w:t>
      </w:r>
      <w:r w:rsidR="004933A2">
        <w:rPr>
          <w:lang w:val="en-CA"/>
        </w:rPr>
        <w:fldChar w:fldCharType="end"/>
      </w:r>
      <w:r w:rsidR="004933A2">
        <w:rPr>
          <w:lang w:val="en-CA"/>
        </w:rPr>
        <w:t xml:space="preserve"> shows the simulation results of the proposed method.</w:t>
      </w:r>
    </w:p>
    <w:p w14:paraId="4DC79DDB" w14:textId="25E5DE88" w:rsidR="004933A2" w:rsidRPr="00A033A5" w:rsidRDefault="004933A2" w:rsidP="004933A2">
      <w:pPr>
        <w:pStyle w:val="Caption"/>
        <w:keepNext/>
        <w:jc w:val="center"/>
        <w:rPr>
          <w:rFonts w:ascii="Times New Roman" w:eastAsiaTheme="minorEastAsia" w:hAnsi="Times New Roman" w:cs="Times New Roman"/>
          <w:sz w:val="22"/>
          <w:lang w:val="en-CA"/>
        </w:rPr>
      </w:pPr>
      <w:bookmarkStart w:id="1"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1"/>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AMVP with </w:t>
      </w:r>
      <w:proofErr w:type="spellStart"/>
      <w:r>
        <w:rPr>
          <w:rFonts w:ascii="Times New Roman" w:eastAsiaTheme="minorEastAsia" w:hAnsi="Times New Roman" w:cs="Times New Roman"/>
          <w:sz w:val="22"/>
          <w:lang w:val="en-CA"/>
        </w:rPr>
        <w:t>SbTMVP</w:t>
      </w:r>
      <w:proofErr w:type="spellEnd"/>
      <w:r>
        <w:rPr>
          <w:rFonts w:ascii="Times New Roman" w:eastAsiaTheme="minorEastAsia" w:hAnsi="Times New Roman" w:cs="Times New Roman"/>
          <w:sz w:val="22"/>
          <w:lang w:val="en-CA"/>
        </w:rPr>
        <w:t xml:space="preserve"> mode</w:t>
      </w: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764CA4" w:rsidRPr="00764CA4" w14:paraId="6894BC65"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2A6CCFC8"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6BFB4E"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Random Access Main 10</w:t>
            </w:r>
          </w:p>
        </w:tc>
      </w:tr>
      <w:tr w:rsidR="00764CA4" w:rsidRPr="00764CA4" w14:paraId="5BA87A32"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2D0C5F7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4EB6F38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Over ECM-10.0</w:t>
            </w:r>
          </w:p>
        </w:tc>
      </w:tr>
      <w:tr w:rsidR="00764CA4" w:rsidRPr="00764CA4" w14:paraId="26F2D6C7"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6964C44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59CBACA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75AAF44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3A6A4CC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1B10CB1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6E4CAFF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0F07527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VmPeak</w:t>
            </w:r>
            <w:proofErr w:type="spellEnd"/>
          </w:p>
        </w:tc>
      </w:tr>
      <w:tr w:rsidR="00764CA4" w:rsidRPr="00764CA4" w14:paraId="7E92CAA5" w14:textId="77777777" w:rsidTr="004933A2">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26515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hideMark/>
          </w:tcPr>
          <w:p w14:paraId="520AF6D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-0.04%</w:t>
            </w:r>
          </w:p>
        </w:tc>
        <w:tc>
          <w:tcPr>
            <w:tcW w:w="988" w:type="dxa"/>
            <w:tcBorders>
              <w:top w:val="nil"/>
              <w:left w:val="nil"/>
              <w:bottom w:val="nil"/>
              <w:right w:val="nil"/>
            </w:tcBorders>
            <w:shd w:val="clear" w:color="auto" w:fill="auto"/>
            <w:noWrap/>
            <w:vAlign w:val="center"/>
            <w:hideMark/>
          </w:tcPr>
          <w:p w14:paraId="09AC11C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0.07%</w:t>
            </w:r>
          </w:p>
        </w:tc>
        <w:tc>
          <w:tcPr>
            <w:tcW w:w="988" w:type="dxa"/>
            <w:tcBorders>
              <w:top w:val="nil"/>
              <w:left w:val="nil"/>
              <w:bottom w:val="nil"/>
              <w:right w:val="single" w:sz="4" w:space="0" w:color="auto"/>
            </w:tcBorders>
            <w:shd w:val="clear" w:color="auto" w:fill="auto"/>
            <w:noWrap/>
            <w:vAlign w:val="center"/>
            <w:hideMark/>
          </w:tcPr>
          <w:p w14:paraId="29322B2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-0.01%</w:t>
            </w:r>
          </w:p>
        </w:tc>
        <w:tc>
          <w:tcPr>
            <w:tcW w:w="1054" w:type="dxa"/>
            <w:tcBorders>
              <w:top w:val="nil"/>
              <w:left w:val="nil"/>
              <w:bottom w:val="nil"/>
              <w:right w:val="nil"/>
            </w:tcBorders>
            <w:shd w:val="clear" w:color="auto" w:fill="auto"/>
            <w:noWrap/>
            <w:vAlign w:val="center"/>
            <w:hideMark/>
          </w:tcPr>
          <w:p w14:paraId="04AE2B5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101.2%</w:t>
            </w:r>
          </w:p>
        </w:tc>
        <w:tc>
          <w:tcPr>
            <w:tcW w:w="1054" w:type="dxa"/>
            <w:tcBorders>
              <w:top w:val="nil"/>
              <w:left w:val="nil"/>
              <w:bottom w:val="nil"/>
              <w:right w:val="nil"/>
            </w:tcBorders>
            <w:shd w:val="clear" w:color="auto" w:fill="auto"/>
            <w:noWrap/>
            <w:vAlign w:val="center"/>
            <w:hideMark/>
          </w:tcPr>
          <w:p w14:paraId="28C0AC7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02A4927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100.5%</w:t>
            </w:r>
          </w:p>
        </w:tc>
      </w:tr>
      <w:tr w:rsidR="00764CA4" w:rsidRPr="00764CA4" w14:paraId="74A5177F"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07514B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hideMark/>
          </w:tcPr>
          <w:p w14:paraId="06A90D00"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-0.08%</w:t>
            </w:r>
          </w:p>
        </w:tc>
        <w:tc>
          <w:tcPr>
            <w:tcW w:w="988" w:type="dxa"/>
            <w:tcBorders>
              <w:top w:val="nil"/>
              <w:left w:val="nil"/>
              <w:bottom w:val="nil"/>
              <w:right w:val="nil"/>
            </w:tcBorders>
            <w:shd w:val="clear" w:color="auto" w:fill="auto"/>
            <w:noWrap/>
            <w:vAlign w:val="center"/>
            <w:hideMark/>
          </w:tcPr>
          <w:p w14:paraId="1E645BE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0.03%</w:t>
            </w:r>
          </w:p>
        </w:tc>
        <w:tc>
          <w:tcPr>
            <w:tcW w:w="988" w:type="dxa"/>
            <w:tcBorders>
              <w:top w:val="nil"/>
              <w:left w:val="nil"/>
              <w:bottom w:val="nil"/>
              <w:right w:val="single" w:sz="4" w:space="0" w:color="auto"/>
            </w:tcBorders>
            <w:shd w:val="clear" w:color="auto" w:fill="auto"/>
            <w:noWrap/>
            <w:vAlign w:val="center"/>
            <w:hideMark/>
          </w:tcPr>
          <w:p w14:paraId="0B27129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-0.11%</w:t>
            </w:r>
          </w:p>
        </w:tc>
        <w:tc>
          <w:tcPr>
            <w:tcW w:w="1054" w:type="dxa"/>
            <w:tcBorders>
              <w:top w:val="nil"/>
              <w:left w:val="nil"/>
              <w:bottom w:val="nil"/>
              <w:right w:val="nil"/>
            </w:tcBorders>
            <w:shd w:val="clear" w:color="auto" w:fill="auto"/>
            <w:noWrap/>
            <w:vAlign w:val="center"/>
            <w:hideMark/>
          </w:tcPr>
          <w:p w14:paraId="750060D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101.5%</w:t>
            </w:r>
          </w:p>
        </w:tc>
        <w:tc>
          <w:tcPr>
            <w:tcW w:w="1054" w:type="dxa"/>
            <w:tcBorders>
              <w:top w:val="nil"/>
              <w:left w:val="nil"/>
              <w:bottom w:val="nil"/>
              <w:right w:val="nil"/>
            </w:tcBorders>
            <w:shd w:val="clear" w:color="auto" w:fill="auto"/>
            <w:noWrap/>
            <w:vAlign w:val="center"/>
            <w:hideMark/>
          </w:tcPr>
          <w:p w14:paraId="2A8F6D2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5B5C07D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29F0F5C0"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C8347E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hideMark/>
          </w:tcPr>
          <w:p w14:paraId="536AC1A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-0.08%</w:t>
            </w:r>
          </w:p>
        </w:tc>
        <w:tc>
          <w:tcPr>
            <w:tcW w:w="988" w:type="dxa"/>
            <w:tcBorders>
              <w:top w:val="nil"/>
              <w:left w:val="nil"/>
              <w:bottom w:val="nil"/>
              <w:right w:val="nil"/>
            </w:tcBorders>
            <w:shd w:val="clear" w:color="auto" w:fill="auto"/>
            <w:noWrap/>
            <w:vAlign w:val="center"/>
            <w:hideMark/>
          </w:tcPr>
          <w:p w14:paraId="4195432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0.06%</w:t>
            </w:r>
          </w:p>
        </w:tc>
        <w:tc>
          <w:tcPr>
            <w:tcW w:w="988" w:type="dxa"/>
            <w:tcBorders>
              <w:top w:val="nil"/>
              <w:left w:val="nil"/>
              <w:bottom w:val="nil"/>
              <w:right w:val="single" w:sz="4" w:space="0" w:color="auto"/>
            </w:tcBorders>
            <w:shd w:val="clear" w:color="auto" w:fill="auto"/>
            <w:noWrap/>
            <w:vAlign w:val="center"/>
            <w:hideMark/>
          </w:tcPr>
          <w:p w14:paraId="163DC3D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-0.02%</w:t>
            </w:r>
          </w:p>
        </w:tc>
        <w:tc>
          <w:tcPr>
            <w:tcW w:w="1054" w:type="dxa"/>
            <w:tcBorders>
              <w:top w:val="nil"/>
              <w:left w:val="nil"/>
              <w:bottom w:val="nil"/>
              <w:right w:val="nil"/>
            </w:tcBorders>
            <w:shd w:val="clear" w:color="auto" w:fill="auto"/>
            <w:noWrap/>
            <w:vAlign w:val="center"/>
            <w:hideMark/>
          </w:tcPr>
          <w:p w14:paraId="5A8F3AC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101.0%</w:t>
            </w:r>
          </w:p>
        </w:tc>
        <w:tc>
          <w:tcPr>
            <w:tcW w:w="1054" w:type="dxa"/>
            <w:tcBorders>
              <w:top w:val="nil"/>
              <w:left w:val="nil"/>
              <w:bottom w:val="nil"/>
              <w:right w:val="nil"/>
            </w:tcBorders>
            <w:shd w:val="clear" w:color="auto" w:fill="auto"/>
            <w:noWrap/>
            <w:vAlign w:val="center"/>
            <w:hideMark/>
          </w:tcPr>
          <w:p w14:paraId="43CE505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5CEDCD7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06B22F39"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C10893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416CBAE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-0.17%</w:t>
            </w:r>
          </w:p>
        </w:tc>
        <w:tc>
          <w:tcPr>
            <w:tcW w:w="988" w:type="dxa"/>
            <w:tcBorders>
              <w:top w:val="nil"/>
              <w:left w:val="nil"/>
              <w:bottom w:val="nil"/>
              <w:right w:val="nil"/>
            </w:tcBorders>
            <w:shd w:val="clear" w:color="auto" w:fill="auto"/>
            <w:noWrap/>
            <w:vAlign w:val="center"/>
            <w:hideMark/>
          </w:tcPr>
          <w:p w14:paraId="034A108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-0.18%</w:t>
            </w:r>
          </w:p>
        </w:tc>
        <w:tc>
          <w:tcPr>
            <w:tcW w:w="988" w:type="dxa"/>
            <w:tcBorders>
              <w:top w:val="nil"/>
              <w:left w:val="nil"/>
              <w:bottom w:val="nil"/>
              <w:right w:val="single" w:sz="4" w:space="0" w:color="auto"/>
            </w:tcBorders>
            <w:shd w:val="clear" w:color="auto" w:fill="auto"/>
            <w:noWrap/>
            <w:vAlign w:val="center"/>
            <w:hideMark/>
          </w:tcPr>
          <w:p w14:paraId="4B69974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0.03%</w:t>
            </w:r>
          </w:p>
        </w:tc>
        <w:tc>
          <w:tcPr>
            <w:tcW w:w="1054" w:type="dxa"/>
            <w:tcBorders>
              <w:top w:val="nil"/>
              <w:left w:val="nil"/>
              <w:bottom w:val="nil"/>
              <w:right w:val="nil"/>
            </w:tcBorders>
            <w:shd w:val="clear" w:color="auto" w:fill="auto"/>
            <w:noWrap/>
            <w:vAlign w:val="center"/>
            <w:hideMark/>
          </w:tcPr>
          <w:p w14:paraId="2CDDAFD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100.7%</w:t>
            </w:r>
          </w:p>
        </w:tc>
        <w:tc>
          <w:tcPr>
            <w:tcW w:w="1054" w:type="dxa"/>
            <w:tcBorders>
              <w:top w:val="nil"/>
              <w:left w:val="nil"/>
              <w:bottom w:val="nil"/>
              <w:right w:val="nil"/>
            </w:tcBorders>
            <w:shd w:val="clear" w:color="auto" w:fill="auto"/>
            <w:noWrap/>
            <w:vAlign w:val="center"/>
            <w:hideMark/>
          </w:tcPr>
          <w:p w14:paraId="4FB010FE"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3088AF1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r>
      <w:tr w:rsidR="00764CA4" w:rsidRPr="00764CA4" w14:paraId="42C4D752"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CCA48B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7754785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7E9A403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7E9E028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0ED4B83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11ABB32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0303C5B8"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r>
      <w:tr w:rsidR="00764CA4" w:rsidRPr="00764CA4" w14:paraId="64E7CE69" w14:textId="77777777" w:rsidTr="004933A2">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85367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hideMark/>
          </w:tcPr>
          <w:p w14:paraId="55873D4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-0.10%</w:t>
            </w:r>
          </w:p>
        </w:tc>
        <w:tc>
          <w:tcPr>
            <w:tcW w:w="988" w:type="dxa"/>
            <w:tcBorders>
              <w:top w:val="single" w:sz="8" w:space="0" w:color="auto"/>
              <w:left w:val="nil"/>
              <w:bottom w:val="nil"/>
              <w:right w:val="nil"/>
            </w:tcBorders>
            <w:shd w:val="clear" w:color="auto" w:fill="auto"/>
            <w:noWrap/>
            <w:vAlign w:val="center"/>
            <w:hideMark/>
          </w:tcPr>
          <w:p w14:paraId="4045F880"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-0.01%</w:t>
            </w:r>
          </w:p>
        </w:tc>
        <w:tc>
          <w:tcPr>
            <w:tcW w:w="988" w:type="dxa"/>
            <w:tcBorders>
              <w:top w:val="single" w:sz="8" w:space="0" w:color="auto"/>
              <w:left w:val="nil"/>
              <w:bottom w:val="nil"/>
              <w:right w:val="single" w:sz="4" w:space="0" w:color="auto"/>
            </w:tcBorders>
            <w:shd w:val="clear" w:color="auto" w:fill="auto"/>
            <w:noWrap/>
            <w:vAlign w:val="center"/>
            <w:hideMark/>
          </w:tcPr>
          <w:p w14:paraId="575B131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-0.02%</w:t>
            </w:r>
          </w:p>
        </w:tc>
        <w:tc>
          <w:tcPr>
            <w:tcW w:w="1054" w:type="dxa"/>
            <w:tcBorders>
              <w:top w:val="single" w:sz="8" w:space="0" w:color="auto"/>
              <w:left w:val="nil"/>
              <w:bottom w:val="nil"/>
              <w:right w:val="nil"/>
            </w:tcBorders>
            <w:shd w:val="clear" w:color="auto" w:fill="auto"/>
            <w:noWrap/>
            <w:vAlign w:val="center"/>
            <w:hideMark/>
          </w:tcPr>
          <w:p w14:paraId="5BF7B22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101.1%</w:t>
            </w:r>
          </w:p>
        </w:tc>
        <w:tc>
          <w:tcPr>
            <w:tcW w:w="1054" w:type="dxa"/>
            <w:tcBorders>
              <w:top w:val="single" w:sz="8" w:space="0" w:color="auto"/>
              <w:left w:val="nil"/>
              <w:bottom w:val="nil"/>
              <w:right w:val="nil"/>
            </w:tcBorders>
            <w:shd w:val="clear" w:color="auto" w:fill="auto"/>
            <w:noWrap/>
            <w:vAlign w:val="center"/>
            <w:hideMark/>
          </w:tcPr>
          <w:p w14:paraId="487AF58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02A616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0D545352" w14:textId="77777777" w:rsidTr="0063285C">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2BE6871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D</w:t>
            </w:r>
          </w:p>
        </w:tc>
        <w:tc>
          <w:tcPr>
            <w:tcW w:w="988" w:type="dxa"/>
            <w:tcBorders>
              <w:top w:val="single" w:sz="8" w:space="0" w:color="auto"/>
              <w:left w:val="nil"/>
              <w:right w:val="nil"/>
            </w:tcBorders>
            <w:shd w:val="clear" w:color="auto" w:fill="auto"/>
            <w:noWrap/>
            <w:vAlign w:val="center"/>
            <w:hideMark/>
          </w:tcPr>
          <w:p w14:paraId="45DA056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-0.17%</w:t>
            </w:r>
          </w:p>
        </w:tc>
        <w:tc>
          <w:tcPr>
            <w:tcW w:w="988" w:type="dxa"/>
            <w:tcBorders>
              <w:top w:val="single" w:sz="8" w:space="0" w:color="auto"/>
              <w:left w:val="nil"/>
              <w:right w:val="nil"/>
            </w:tcBorders>
            <w:shd w:val="clear" w:color="auto" w:fill="auto"/>
            <w:noWrap/>
            <w:vAlign w:val="center"/>
            <w:hideMark/>
          </w:tcPr>
          <w:p w14:paraId="580E1E2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0.03%</w:t>
            </w:r>
          </w:p>
        </w:tc>
        <w:tc>
          <w:tcPr>
            <w:tcW w:w="988" w:type="dxa"/>
            <w:tcBorders>
              <w:top w:val="single" w:sz="8" w:space="0" w:color="auto"/>
              <w:left w:val="nil"/>
              <w:right w:val="single" w:sz="4" w:space="0" w:color="auto"/>
            </w:tcBorders>
            <w:shd w:val="clear" w:color="auto" w:fill="auto"/>
            <w:noWrap/>
            <w:vAlign w:val="center"/>
            <w:hideMark/>
          </w:tcPr>
          <w:p w14:paraId="30A7A0E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-0.22%</w:t>
            </w:r>
          </w:p>
        </w:tc>
        <w:tc>
          <w:tcPr>
            <w:tcW w:w="1054" w:type="dxa"/>
            <w:tcBorders>
              <w:top w:val="single" w:sz="8" w:space="0" w:color="auto"/>
              <w:left w:val="nil"/>
              <w:right w:val="nil"/>
            </w:tcBorders>
            <w:shd w:val="clear" w:color="auto" w:fill="auto"/>
            <w:noWrap/>
            <w:vAlign w:val="center"/>
            <w:hideMark/>
          </w:tcPr>
          <w:p w14:paraId="29D5670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100.6%</w:t>
            </w:r>
          </w:p>
        </w:tc>
        <w:tc>
          <w:tcPr>
            <w:tcW w:w="1054" w:type="dxa"/>
            <w:tcBorders>
              <w:top w:val="single" w:sz="8" w:space="0" w:color="auto"/>
              <w:left w:val="nil"/>
              <w:right w:val="nil"/>
            </w:tcBorders>
            <w:shd w:val="clear" w:color="auto" w:fill="auto"/>
            <w:noWrap/>
            <w:vAlign w:val="center"/>
            <w:hideMark/>
          </w:tcPr>
          <w:p w14:paraId="7ADD996E"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99.4%</w:t>
            </w:r>
          </w:p>
        </w:tc>
        <w:tc>
          <w:tcPr>
            <w:tcW w:w="1169" w:type="dxa"/>
            <w:tcBorders>
              <w:top w:val="nil"/>
              <w:left w:val="single" w:sz="4" w:space="0" w:color="auto"/>
              <w:right w:val="single" w:sz="8" w:space="0" w:color="auto"/>
            </w:tcBorders>
            <w:shd w:val="clear" w:color="auto" w:fill="auto"/>
            <w:noWrap/>
            <w:vAlign w:val="center"/>
            <w:hideMark/>
          </w:tcPr>
          <w:p w14:paraId="22540BC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1C9B4CA9" w14:textId="77777777" w:rsidTr="0063285C">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70D209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F</w:t>
            </w:r>
          </w:p>
        </w:tc>
        <w:tc>
          <w:tcPr>
            <w:tcW w:w="988" w:type="dxa"/>
            <w:tcBorders>
              <w:top w:val="nil"/>
              <w:left w:val="nil"/>
              <w:bottom w:val="single" w:sz="8" w:space="0" w:color="auto"/>
              <w:right w:val="nil"/>
            </w:tcBorders>
            <w:shd w:val="clear" w:color="auto" w:fill="auto"/>
            <w:noWrap/>
            <w:vAlign w:val="center"/>
            <w:hideMark/>
          </w:tcPr>
          <w:p w14:paraId="4DA83CB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-0.08%</w:t>
            </w:r>
          </w:p>
        </w:tc>
        <w:tc>
          <w:tcPr>
            <w:tcW w:w="988" w:type="dxa"/>
            <w:tcBorders>
              <w:top w:val="nil"/>
              <w:left w:val="nil"/>
              <w:bottom w:val="single" w:sz="8" w:space="0" w:color="auto"/>
              <w:right w:val="nil"/>
            </w:tcBorders>
            <w:shd w:val="clear" w:color="auto" w:fill="auto"/>
            <w:noWrap/>
            <w:vAlign w:val="center"/>
            <w:hideMark/>
          </w:tcPr>
          <w:p w14:paraId="4A2DF5B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-0.09%</w:t>
            </w:r>
          </w:p>
        </w:tc>
        <w:tc>
          <w:tcPr>
            <w:tcW w:w="988" w:type="dxa"/>
            <w:tcBorders>
              <w:top w:val="nil"/>
              <w:left w:val="nil"/>
              <w:bottom w:val="single" w:sz="8" w:space="0" w:color="auto"/>
              <w:right w:val="single" w:sz="4" w:space="0" w:color="auto"/>
            </w:tcBorders>
            <w:shd w:val="clear" w:color="auto" w:fill="auto"/>
            <w:noWrap/>
            <w:vAlign w:val="center"/>
            <w:hideMark/>
          </w:tcPr>
          <w:p w14:paraId="603796D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-0.07%</w:t>
            </w:r>
          </w:p>
        </w:tc>
        <w:tc>
          <w:tcPr>
            <w:tcW w:w="1054" w:type="dxa"/>
            <w:tcBorders>
              <w:top w:val="nil"/>
              <w:left w:val="nil"/>
              <w:bottom w:val="single" w:sz="8" w:space="0" w:color="auto"/>
              <w:right w:val="nil"/>
            </w:tcBorders>
            <w:shd w:val="clear" w:color="auto" w:fill="auto"/>
            <w:noWrap/>
            <w:vAlign w:val="center"/>
            <w:hideMark/>
          </w:tcPr>
          <w:p w14:paraId="4FA3770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100.8%</w:t>
            </w:r>
          </w:p>
        </w:tc>
        <w:tc>
          <w:tcPr>
            <w:tcW w:w="1054" w:type="dxa"/>
            <w:tcBorders>
              <w:top w:val="nil"/>
              <w:left w:val="nil"/>
              <w:bottom w:val="single" w:sz="8" w:space="0" w:color="auto"/>
              <w:right w:val="nil"/>
            </w:tcBorders>
            <w:shd w:val="clear" w:color="auto" w:fill="auto"/>
            <w:noWrap/>
            <w:vAlign w:val="center"/>
            <w:hideMark/>
          </w:tcPr>
          <w:p w14:paraId="4D19F9B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99.6%</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88EE2A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r>
    </w:tbl>
    <w:p w14:paraId="60D22803" w14:textId="2411F64E" w:rsidR="000400E7" w:rsidRDefault="000400E7" w:rsidP="000400E7">
      <w:pPr>
        <w:rPr>
          <w:lang w:val="en-CA"/>
        </w:rPr>
      </w:pPr>
    </w:p>
    <w:tbl>
      <w:tblPr>
        <w:tblW w:w="7281" w:type="dxa"/>
        <w:jc w:val="center"/>
        <w:tblLook w:val="04A0" w:firstRow="1" w:lastRow="0" w:firstColumn="1" w:lastColumn="0" w:noHBand="0" w:noVBand="1"/>
      </w:tblPr>
      <w:tblGrid>
        <w:gridCol w:w="1040"/>
        <w:gridCol w:w="988"/>
        <w:gridCol w:w="988"/>
        <w:gridCol w:w="988"/>
        <w:gridCol w:w="1054"/>
        <w:gridCol w:w="1054"/>
        <w:gridCol w:w="1169"/>
      </w:tblGrid>
      <w:tr w:rsidR="00764CA4" w:rsidRPr="00764CA4" w14:paraId="57FEA836"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406E8DE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6177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 xml:space="preserve">Low delay B Main 10 </w:t>
            </w:r>
          </w:p>
        </w:tc>
      </w:tr>
      <w:tr w:rsidR="00764CA4" w:rsidRPr="00764CA4" w14:paraId="0DD1BF08"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5F880F2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01BB69A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Over ECM-10.0</w:t>
            </w:r>
          </w:p>
        </w:tc>
      </w:tr>
      <w:tr w:rsidR="00764CA4" w:rsidRPr="00764CA4" w14:paraId="5496F852" w14:textId="77777777" w:rsidTr="004933A2">
        <w:trPr>
          <w:trHeight w:val="255"/>
          <w:jc w:val="center"/>
        </w:trPr>
        <w:tc>
          <w:tcPr>
            <w:tcW w:w="1040" w:type="dxa"/>
            <w:tcBorders>
              <w:top w:val="nil"/>
              <w:left w:val="nil"/>
              <w:bottom w:val="nil"/>
              <w:right w:val="nil"/>
            </w:tcBorders>
            <w:shd w:val="clear" w:color="auto" w:fill="auto"/>
            <w:noWrap/>
            <w:vAlign w:val="center"/>
            <w:hideMark/>
          </w:tcPr>
          <w:p w14:paraId="429A5DB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8" w:type="dxa"/>
            <w:tcBorders>
              <w:top w:val="nil"/>
              <w:left w:val="single" w:sz="8" w:space="0" w:color="auto"/>
              <w:bottom w:val="single" w:sz="8" w:space="0" w:color="auto"/>
              <w:right w:val="nil"/>
            </w:tcBorders>
            <w:shd w:val="clear" w:color="auto" w:fill="auto"/>
            <w:noWrap/>
            <w:vAlign w:val="center"/>
            <w:hideMark/>
          </w:tcPr>
          <w:p w14:paraId="37091A3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Y</w:t>
            </w:r>
          </w:p>
        </w:tc>
        <w:tc>
          <w:tcPr>
            <w:tcW w:w="988" w:type="dxa"/>
            <w:tcBorders>
              <w:top w:val="nil"/>
              <w:left w:val="nil"/>
              <w:bottom w:val="single" w:sz="8" w:space="0" w:color="auto"/>
              <w:right w:val="nil"/>
            </w:tcBorders>
            <w:shd w:val="clear" w:color="auto" w:fill="auto"/>
            <w:noWrap/>
            <w:vAlign w:val="center"/>
            <w:hideMark/>
          </w:tcPr>
          <w:p w14:paraId="7340157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U</w:t>
            </w:r>
          </w:p>
        </w:tc>
        <w:tc>
          <w:tcPr>
            <w:tcW w:w="988" w:type="dxa"/>
            <w:tcBorders>
              <w:top w:val="nil"/>
              <w:left w:val="nil"/>
              <w:bottom w:val="single" w:sz="8" w:space="0" w:color="auto"/>
              <w:right w:val="single" w:sz="4" w:space="0" w:color="auto"/>
            </w:tcBorders>
            <w:shd w:val="clear" w:color="auto" w:fill="auto"/>
            <w:noWrap/>
            <w:vAlign w:val="center"/>
            <w:hideMark/>
          </w:tcPr>
          <w:p w14:paraId="7C851DE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V</w:t>
            </w:r>
          </w:p>
        </w:tc>
        <w:tc>
          <w:tcPr>
            <w:tcW w:w="1054" w:type="dxa"/>
            <w:tcBorders>
              <w:top w:val="nil"/>
              <w:left w:val="nil"/>
              <w:bottom w:val="single" w:sz="8" w:space="0" w:color="auto"/>
              <w:right w:val="nil"/>
            </w:tcBorders>
            <w:shd w:val="clear" w:color="auto" w:fill="auto"/>
            <w:noWrap/>
            <w:vAlign w:val="center"/>
            <w:hideMark/>
          </w:tcPr>
          <w:p w14:paraId="19D8D11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EncT</w:t>
            </w:r>
            <w:proofErr w:type="spellEnd"/>
          </w:p>
        </w:tc>
        <w:tc>
          <w:tcPr>
            <w:tcW w:w="1054" w:type="dxa"/>
            <w:tcBorders>
              <w:top w:val="nil"/>
              <w:left w:val="nil"/>
              <w:bottom w:val="single" w:sz="8" w:space="0" w:color="auto"/>
              <w:right w:val="nil"/>
            </w:tcBorders>
            <w:shd w:val="clear" w:color="auto" w:fill="auto"/>
            <w:noWrap/>
            <w:vAlign w:val="center"/>
            <w:hideMark/>
          </w:tcPr>
          <w:p w14:paraId="2DDAB67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A972C9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64CA4">
              <w:rPr>
                <w:rFonts w:ascii="Arial" w:hAnsi="Arial" w:cs="Arial"/>
                <w:color w:val="000000"/>
                <w:sz w:val="18"/>
                <w:szCs w:val="18"/>
                <w:lang w:eastAsia="zh-TW"/>
              </w:rPr>
              <w:t>VmPeak</w:t>
            </w:r>
            <w:proofErr w:type="spellEnd"/>
          </w:p>
        </w:tc>
      </w:tr>
      <w:tr w:rsidR="00764CA4" w:rsidRPr="00764CA4" w14:paraId="3F4BF3C5" w14:textId="77777777" w:rsidTr="004933A2">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C13C9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A1</w:t>
            </w:r>
          </w:p>
        </w:tc>
        <w:tc>
          <w:tcPr>
            <w:tcW w:w="988" w:type="dxa"/>
            <w:tcBorders>
              <w:top w:val="nil"/>
              <w:left w:val="nil"/>
              <w:bottom w:val="nil"/>
              <w:right w:val="nil"/>
            </w:tcBorders>
            <w:shd w:val="clear" w:color="auto" w:fill="auto"/>
            <w:noWrap/>
            <w:vAlign w:val="center"/>
            <w:hideMark/>
          </w:tcPr>
          <w:p w14:paraId="163EBF7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00449BDE"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988" w:type="dxa"/>
            <w:tcBorders>
              <w:top w:val="nil"/>
              <w:left w:val="nil"/>
              <w:bottom w:val="nil"/>
              <w:right w:val="single" w:sz="4" w:space="0" w:color="auto"/>
            </w:tcBorders>
            <w:shd w:val="clear" w:color="auto" w:fill="auto"/>
            <w:noWrap/>
            <w:vAlign w:val="center"/>
            <w:hideMark/>
          </w:tcPr>
          <w:p w14:paraId="631C406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4DDEB3F0"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73A9D93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169" w:type="dxa"/>
            <w:tcBorders>
              <w:top w:val="nil"/>
              <w:left w:val="single" w:sz="4" w:space="0" w:color="auto"/>
              <w:bottom w:val="nil"/>
              <w:right w:val="single" w:sz="8" w:space="0" w:color="auto"/>
            </w:tcBorders>
            <w:shd w:val="clear" w:color="auto" w:fill="auto"/>
            <w:noWrap/>
            <w:vAlign w:val="center"/>
            <w:hideMark/>
          </w:tcPr>
          <w:p w14:paraId="55FF542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r>
      <w:tr w:rsidR="00764CA4" w:rsidRPr="00764CA4" w14:paraId="6E72E666"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FD3AEB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A2</w:t>
            </w:r>
          </w:p>
        </w:tc>
        <w:tc>
          <w:tcPr>
            <w:tcW w:w="988" w:type="dxa"/>
            <w:tcBorders>
              <w:top w:val="nil"/>
              <w:left w:val="nil"/>
              <w:bottom w:val="nil"/>
              <w:right w:val="nil"/>
            </w:tcBorders>
            <w:shd w:val="clear" w:color="auto" w:fill="auto"/>
            <w:noWrap/>
            <w:vAlign w:val="center"/>
            <w:hideMark/>
          </w:tcPr>
          <w:p w14:paraId="56E2C71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988" w:type="dxa"/>
            <w:tcBorders>
              <w:top w:val="nil"/>
              <w:left w:val="nil"/>
              <w:bottom w:val="nil"/>
              <w:right w:val="nil"/>
            </w:tcBorders>
            <w:shd w:val="clear" w:color="auto" w:fill="auto"/>
            <w:noWrap/>
            <w:vAlign w:val="center"/>
            <w:hideMark/>
          </w:tcPr>
          <w:p w14:paraId="54FCE665"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8" w:type="dxa"/>
            <w:tcBorders>
              <w:top w:val="nil"/>
              <w:left w:val="nil"/>
              <w:bottom w:val="nil"/>
              <w:right w:val="single" w:sz="4" w:space="0" w:color="auto"/>
            </w:tcBorders>
            <w:shd w:val="clear" w:color="auto" w:fill="auto"/>
            <w:noWrap/>
            <w:vAlign w:val="center"/>
            <w:hideMark/>
          </w:tcPr>
          <w:p w14:paraId="051F822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24D0639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c>
          <w:tcPr>
            <w:tcW w:w="1054" w:type="dxa"/>
            <w:tcBorders>
              <w:top w:val="nil"/>
              <w:left w:val="nil"/>
              <w:bottom w:val="nil"/>
              <w:right w:val="nil"/>
            </w:tcBorders>
            <w:shd w:val="clear" w:color="auto" w:fill="auto"/>
            <w:noWrap/>
            <w:vAlign w:val="center"/>
            <w:hideMark/>
          </w:tcPr>
          <w:p w14:paraId="698865E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single" w:sz="4" w:space="0" w:color="auto"/>
              <w:bottom w:val="nil"/>
              <w:right w:val="single" w:sz="8" w:space="0" w:color="auto"/>
            </w:tcBorders>
            <w:shd w:val="clear" w:color="auto" w:fill="auto"/>
            <w:noWrap/>
            <w:vAlign w:val="center"/>
            <w:hideMark/>
          </w:tcPr>
          <w:p w14:paraId="30BA198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 </w:t>
            </w:r>
          </w:p>
        </w:tc>
      </w:tr>
      <w:tr w:rsidR="00764CA4" w:rsidRPr="00764CA4" w14:paraId="0BEBC735"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8FDCF6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B</w:t>
            </w:r>
          </w:p>
        </w:tc>
        <w:tc>
          <w:tcPr>
            <w:tcW w:w="988" w:type="dxa"/>
            <w:tcBorders>
              <w:top w:val="nil"/>
              <w:left w:val="nil"/>
              <w:bottom w:val="nil"/>
              <w:right w:val="nil"/>
            </w:tcBorders>
            <w:shd w:val="clear" w:color="auto" w:fill="auto"/>
            <w:noWrap/>
            <w:vAlign w:val="center"/>
            <w:hideMark/>
          </w:tcPr>
          <w:p w14:paraId="4C09FE6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-0.13%</w:t>
            </w:r>
          </w:p>
        </w:tc>
        <w:tc>
          <w:tcPr>
            <w:tcW w:w="988" w:type="dxa"/>
            <w:tcBorders>
              <w:top w:val="nil"/>
              <w:left w:val="nil"/>
              <w:bottom w:val="nil"/>
              <w:right w:val="nil"/>
            </w:tcBorders>
            <w:shd w:val="clear" w:color="auto" w:fill="auto"/>
            <w:noWrap/>
            <w:vAlign w:val="center"/>
            <w:hideMark/>
          </w:tcPr>
          <w:p w14:paraId="36709AE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0.22%</w:t>
            </w:r>
          </w:p>
        </w:tc>
        <w:tc>
          <w:tcPr>
            <w:tcW w:w="988" w:type="dxa"/>
            <w:tcBorders>
              <w:top w:val="nil"/>
              <w:left w:val="nil"/>
              <w:bottom w:val="nil"/>
              <w:right w:val="single" w:sz="4" w:space="0" w:color="auto"/>
            </w:tcBorders>
            <w:shd w:val="clear" w:color="auto" w:fill="auto"/>
            <w:noWrap/>
            <w:vAlign w:val="center"/>
            <w:hideMark/>
          </w:tcPr>
          <w:p w14:paraId="18F3EE6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-0.29%</w:t>
            </w:r>
          </w:p>
        </w:tc>
        <w:tc>
          <w:tcPr>
            <w:tcW w:w="1054" w:type="dxa"/>
            <w:tcBorders>
              <w:top w:val="nil"/>
              <w:left w:val="nil"/>
              <w:bottom w:val="nil"/>
              <w:right w:val="nil"/>
            </w:tcBorders>
            <w:shd w:val="clear" w:color="auto" w:fill="auto"/>
            <w:noWrap/>
            <w:vAlign w:val="center"/>
            <w:hideMark/>
          </w:tcPr>
          <w:p w14:paraId="610CE43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103.7%</w:t>
            </w:r>
          </w:p>
        </w:tc>
        <w:tc>
          <w:tcPr>
            <w:tcW w:w="1054" w:type="dxa"/>
            <w:tcBorders>
              <w:top w:val="nil"/>
              <w:left w:val="nil"/>
              <w:bottom w:val="nil"/>
              <w:right w:val="nil"/>
            </w:tcBorders>
            <w:shd w:val="clear" w:color="auto" w:fill="auto"/>
            <w:noWrap/>
            <w:vAlign w:val="center"/>
            <w:hideMark/>
          </w:tcPr>
          <w:p w14:paraId="469CF2A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0E16634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100.0%</w:t>
            </w:r>
          </w:p>
        </w:tc>
      </w:tr>
      <w:tr w:rsidR="00764CA4" w:rsidRPr="00764CA4" w14:paraId="70BDE6D3"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F45EE01"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C</w:t>
            </w:r>
          </w:p>
        </w:tc>
        <w:tc>
          <w:tcPr>
            <w:tcW w:w="988" w:type="dxa"/>
            <w:tcBorders>
              <w:top w:val="nil"/>
              <w:left w:val="nil"/>
              <w:bottom w:val="nil"/>
              <w:right w:val="nil"/>
            </w:tcBorders>
            <w:shd w:val="clear" w:color="auto" w:fill="auto"/>
            <w:noWrap/>
            <w:vAlign w:val="center"/>
            <w:hideMark/>
          </w:tcPr>
          <w:p w14:paraId="68C88D9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-0.21%</w:t>
            </w:r>
          </w:p>
        </w:tc>
        <w:tc>
          <w:tcPr>
            <w:tcW w:w="988" w:type="dxa"/>
            <w:tcBorders>
              <w:top w:val="nil"/>
              <w:left w:val="nil"/>
              <w:bottom w:val="nil"/>
              <w:right w:val="nil"/>
            </w:tcBorders>
            <w:shd w:val="clear" w:color="auto" w:fill="auto"/>
            <w:noWrap/>
            <w:vAlign w:val="center"/>
            <w:hideMark/>
          </w:tcPr>
          <w:p w14:paraId="70EC524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-0.31%</w:t>
            </w:r>
          </w:p>
        </w:tc>
        <w:tc>
          <w:tcPr>
            <w:tcW w:w="988" w:type="dxa"/>
            <w:tcBorders>
              <w:top w:val="nil"/>
              <w:left w:val="nil"/>
              <w:bottom w:val="nil"/>
              <w:right w:val="single" w:sz="4" w:space="0" w:color="auto"/>
            </w:tcBorders>
            <w:shd w:val="clear" w:color="auto" w:fill="auto"/>
            <w:noWrap/>
            <w:vAlign w:val="center"/>
            <w:hideMark/>
          </w:tcPr>
          <w:p w14:paraId="351DAD7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0.08%</w:t>
            </w:r>
          </w:p>
        </w:tc>
        <w:tc>
          <w:tcPr>
            <w:tcW w:w="1054" w:type="dxa"/>
            <w:tcBorders>
              <w:top w:val="nil"/>
              <w:left w:val="nil"/>
              <w:bottom w:val="nil"/>
              <w:right w:val="nil"/>
            </w:tcBorders>
            <w:shd w:val="clear" w:color="auto" w:fill="auto"/>
            <w:noWrap/>
            <w:vAlign w:val="center"/>
            <w:hideMark/>
          </w:tcPr>
          <w:p w14:paraId="4E9453E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102.3%</w:t>
            </w:r>
          </w:p>
        </w:tc>
        <w:tc>
          <w:tcPr>
            <w:tcW w:w="1054" w:type="dxa"/>
            <w:tcBorders>
              <w:top w:val="nil"/>
              <w:left w:val="nil"/>
              <w:bottom w:val="nil"/>
              <w:right w:val="nil"/>
            </w:tcBorders>
            <w:shd w:val="clear" w:color="auto" w:fill="auto"/>
            <w:noWrap/>
            <w:vAlign w:val="center"/>
            <w:hideMark/>
          </w:tcPr>
          <w:p w14:paraId="2B64463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40E6C91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650CAF7D" w14:textId="77777777" w:rsidTr="004933A2">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04D1A9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E</w:t>
            </w:r>
          </w:p>
        </w:tc>
        <w:tc>
          <w:tcPr>
            <w:tcW w:w="988" w:type="dxa"/>
            <w:tcBorders>
              <w:top w:val="nil"/>
              <w:left w:val="nil"/>
              <w:bottom w:val="nil"/>
              <w:right w:val="nil"/>
            </w:tcBorders>
            <w:shd w:val="clear" w:color="auto" w:fill="auto"/>
            <w:noWrap/>
            <w:vAlign w:val="center"/>
            <w:hideMark/>
          </w:tcPr>
          <w:p w14:paraId="69013EDC"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-0.93%</w:t>
            </w:r>
          </w:p>
        </w:tc>
        <w:tc>
          <w:tcPr>
            <w:tcW w:w="988" w:type="dxa"/>
            <w:tcBorders>
              <w:top w:val="nil"/>
              <w:left w:val="nil"/>
              <w:bottom w:val="nil"/>
              <w:right w:val="nil"/>
            </w:tcBorders>
            <w:shd w:val="clear" w:color="auto" w:fill="auto"/>
            <w:noWrap/>
            <w:vAlign w:val="center"/>
            <w:hideMark/>
          </w:tcPr>
          <w:p w14:paraId="6FD5665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-0.79%</w:t>
            </w:r>
          </w:p>
        </w:tc>
        <w:tc>
          <w:tcPr>
            <w:tcW w:w="988" w:type="dxa"/>
            <w:tcBorders>
              <w:top w:val="nil"/>
              <w:left w:val="nil"/>
              <w:bottom w:val="nil"/>
              <w:right w:val="single" w:sz="4" w:space="0" w:color="auto"/>
            </w:tcBorders>
            <w:shd w:val="clear" w:color="auto" w:fill="auto"/>
            <w:noWrap/>
            <w:vAlign w:val="center"/>
            <w:hideMark/>
          </w:tcPr>
          <w:p w14:paraId="68C52C4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-0.79%</w:t>
            </w:r>
          </w:p>
        </w:tc>
        <w:tc>
          <w:tcPr>
            <w:tcW w:w="1054" w:type="dxa"/>
            <w:tcBorders>
              <w:top w:val="nil"/>
              <w:left w:val="nil"/>
              <w:bottom w:val="nil"/>
              <w:right w:val="nil"/>
            </w:tcBorders>
            <w:shd w:val="clear" w:color="auto" w:fill="auto"/>
            <w:noWrap/>
            <w:vAlign w:val="center"/>
            <w:hideMark/>
          </w:tcPr>
          <w:p w14:paraId="6F4114BB"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103.6%</w:t>
            </w:r>
          </w:p>
        </w:tc>
        <w:tc>
          <w:tcPr>
            <w:tcW w:w="1054" w:type="dxa"/>
            <w:tcBorders>
              <w:top w:val="nil"/>
              <w:left w:val="nil"/>
              <w:bottom w:val="nil"/>
              <w:right w:val="nil"/>
            </w:tcBorders>
            <w:shd w:val="clear" w:color="auto" w:fill="auto"/>
            <w:noWrap/>
            <w:vAlign w:val="center"/>
            <w:hideMark/>
          </w:tcPr>
          <w:p w14:paraId="2EC541D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607AE0BD"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r>
      <w:tr w:rsidR="00764CA4" w:rsidRPr="00764CA4" w14:paraId="655F7C15" w14:textId="77777777" w:rsidTr="004933A2">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B53FC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64CA4">
              <w:rPr>
                <w:rFonts w:ascii="Arial" w:hAnsi="Arial" w:cs="Arial"/>
                <w:b/>
                <w:bCs/>
                <w:color w:val="000000"/>
                <w:sz w:val="18"/>
                <w:szCs w:val="18"/>
                <w:lang w:eastAsia="zh-TW"/>
              </w:rPr>
              <w:t>Overall</w:t>
            </w:r>
          </w:p>
        </w:tc>
        <w:tc>
          <w:tcPr>
            <w:tcW w:w="988" w:type="dxa"/>
            <w:tcBorders>
              <w:top w:val="single" w:sz="8" w:space="0" w:color="auto"/>
              <w:left w:val="nil"/>
              <w:bottom w:val="nil"/>
              <w:right w:val="nil"/>
            </w:tcBorders>
            <w:shd w:val="clear" w:color="auto" w:fill="auto"/>
            <w:noWrap/>
            <w:vAlign w:val="center"/>
            <w:hideMark/>
          </w:tcPr>
          <w:p w14:paraId="6E5C8850"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-0.36%</w:t>
            </w:r>
          </w:p>
        </w:tc>
        <w:tc>
          <w:tcPr>
            <w:tcW w:w="988" w:type="dxa"/>
            <w:tcBorders>
              <w:top w:val="single" w:sz="8" w:space="0" w:color="auto"/>
              <w:left w:val="nil"/>
              <w:bottom w:val="nil"/>
              <w:right w:val="nil"/>
            </w:tcBorders>
            <w:shd w:val="clear" w:color="auto" w:fill="auto"/>
            <w:noWrap/>
            <w:vAlign w:val="center"/>
            <w:hideMark/>
          </w:tcPr>
          <w:p w14:paraId="6EE648C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-0.21%</w:t>
            </w:r>
          </w:p>
        </w:tc>
        <w:tc>
          <w:tcPr>
            <w:tcW w:w="988" w:type="dxa"/>
            <w:tcBorders>
              <w:top w:val="single" w:sz="8" w:space="0" w:color="auto"/>
              <w:left w:val="nil"/>
              <w:bottom w:val="nil"/>
              <w:right w:val="single" w:sz="4" w:space="0" w:color="auto"/>
            </w:tcBorders>
            <w:shd w:val="clear" w:color="auto" w:fill="auto"/>
            <w:noWrap/>
            <w:vAlign w:val="center"/>
            <w:hideMark/>
          </w:tcPr>
          <w:p w14:paraId="1383649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-0.29%</w:t>
            </w:r>
          </w:p>
        </w:tc>
        <w:tc>
          <w:tcPr>
            <w:tcW w:w="1054" w:type="dxa"/>
            <w:tcBorders>
              <w:top w:val="single" w:sz="8" w:space="0" w:color="auto"/>
              <w:left w:val="nil"/>
              <w:bottom w:val="nil"/>
              <w:right w:val="nil"/>
            </w:tcBorders>
            <w:shd w:val="clear" w:color="auto" w:fill="auto"/>
            <w:noWrap/>
            <w:vAlign w:val="center"/>
            <w:hideMark/>
          </w:tcPr>
          <w:p w14:paraId="32B6F4C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103.2%</w:t>
            </w:r>
          </w:p>
        </w:tc>
        <w:tc>
          <w:tcPr>
            <w:tcW w:w="1054" w:type="dxa"/>
            <w:tcBorders>
              <w:top w:val="single" w:sz="8" w:space="0" w:color="auto"/>
              <w:left w:val="nil"/>
              <w:bottom w:val="nil"/>
              <w:right w:val="nil"/>
            </w:tcBorders>
            <w:shd w:val="clear" w:color="auto" w:fill="auto"/>
            <w:noWrap/>
            <w:vAlign w:val="center"/>
            <w:hideMark/>
          </w:tcPr>
          <w:p w14:paraId="2FD892A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99.7%</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27E6117"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r>
      <w:tr w:rsidR="00764CA4" w:rsidRPr="00764CA4" w14:paraId="63C3263F" w14:textId="77777777" w:rsidTr="0063285C">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1B280B78"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D</w:t>
            </w:r>
          </w:p>
        </w:tc>
        <w:tc>
          <w:tcPr>
            <w:tcW w:w="988" w:type="dxa"/>
            <w:tcBorders>
              <w:top w:val="single" w:sz="8" w:space="0" w:color="auto"/>
              <w:left w:val="nil"/>
              <w:right w:val="nil"/>
            </w:tcBorders>
            <w:shd w:val="clear" w:color="auto" w:fill="auto"/>
            <w:noWrap/>
            <w:vAlign w:val="center"/>
            <w:hideMark/>
          </w:tcPr>
          <w:p w14:paraId="6A4CCC43"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-0.42%</w:t>
            </w:r>
          </w:p>
        </w:tc>
        <w:tc>
          <w:tcPr>
            <w:tcW w:w="988" w:type="dxa"/>
            <w:tcBorders>
              <w:top w:val="single" w:sz="8" w:space="0" w:color="auto"/>
              <w:left w:val="nil"/>
              <w:right w:val="nil"/>
            </w:tcBorders>
            <w:shd w:val="clear" w:color="auto" w:fill="auto"/>
            <w:noWrap/>
            <w:vAlign w:val="center"/>
            <w:hideMark/>
          </w:tcPr>
          <w:p w14:paraId="1F452618"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-0.60%</w:t>
            </w:r>
          </w:p>
        </w:tc>
        <w:tc>
          <w:tcPr>
            <w:tcW w:w="988" w:type="dxa"/>
            <w:tcBorders>
              <w:top w:val="single" w:sz="8" w:space="0" w:color="auto"/>
              <w:left w:val="nil"/>
              <w:right w:val="single" w:sz="4" w:space="0" w:color="auto"/>
            </w:tcBorders>
            <w:shd w:val="clear" w:color="auto" w:fill="auto"/>
            <w:noWrap/>
            <w:vAlign w:val="center"/>
            <w:hideMark/>
          </w:tcPr>
          <w:p w14:paraId="3AD334F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-0.52%</w:t>
            </w:r>
          </w:p>
        </w:tc>
        <w:tc>
          <w:tcPr>
            <w:tcW w:w="1054" w:type="dxa"/>
            <w:tcBorders>
              <w:top w:val="single" w:sz="8" w:space="0" w:color="auto"/>
              <w:left w:val="nil"/>
              <w:right w:val="nil"/>
            </w:tcBorders>
            <w:shd w:val="clear" w:color="auto" w:fill="auto"/>
            <w:noWrap/>
            <w:vAlign w:val="center"/>
            <w:hideMark/>
          </w:tcPr>
          <w:p w14:paraId="53A2F3A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102.7%</w:t>
            </w:r>
          </w:p>
        </w:tc>
        <w:tc>
          <w:tcPr>
            <w:tcW w:w="1054" w:type="dxa"/>
            <w:tcBorders>
              <w:top w:val="single" w:sz="8" w:space="0" w:color="auto"/>
              <w:left w:val="nil"/>
              <w:right w:val="nil"/>
            </w:tcBorders>
            <w:shd w:val="clear" w:color="auto" w:fill="auto"/>
            <w:noWrap/>
            <w:vAlign w:val="center"/>
            <w:hideMark/>
          </w:tcPr>
          <w:p w14:paraId="2D6AB31A"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98.1%</w:t>
            </w:r>
          </w:p>
        </w:tc>
        <w:tc>
          <w:tcPr>
            <w:tcW w:w="1169" w:type="dxa"/>
            <w:tcBorders>
              <w:top w:val="nil"/>
              <w:left w:val="single" w:sz="4" w:space="0" w:color="auto"/>
              <w:right w:val="single" w:sz="8" w:space="0" w:color="auto"/>
            </w:tcBorders>
            <w:shd w:val="clear" w:color="auto" w:fill="auto"/>
            <w:noWrap/>
            <w:vAlign w:val="center"/>
            <w:hideMark/>
          </w:tcPr>
          <w:p w14:paraId="7165A6F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100.2%</w:t>
            </w:r>
          </w:p>
        </w:tc>
      </w:tr>
      <w:tr w:rsidR="00764CA4" w:rsidRPr="00764CA4" w14:paraId="6A8A9F99" w14:textId="77777777" w:rsidTr="0063285C">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9F3AE4"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Class F</w:t>
            </w:r>
          </w:p>
        </w:tc>
        <w:tc>
          <w:tcPr>
            <w:tcW w:w="988" w:type="dxa"/>
            <w:tcBorders>
              <w:top w:val="nil"/>
              <w:left w:val="nil"/>
              <w:bottom w:val="single" w:sz="8" w:space="0" w:color="auto"/>
              <w:right w:val="nil"/>
            </w:tcBorders>
            <w:shd w:val="clear" w:color="auto" w:fill="auto"/>
            <w:noWrap/>
            <w:vAlign w:val="center"/>
            <w:hideMark/>
          </w:tcPr>
          <w:p w14:paraId="07A32E46"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-0.13%</w:t>
            </w:r>
          </w:p>
        </w:tc>
        <w:tc>
          <w:tcPr>
            <w:tcW w:w="988" w:type="dxa"/>
            <w:tcBorders>
              <w:top w:val="nil"/>
              <w:left w:val="nil"/>
              <w:bottom w:val="single" w:sz="8" w:space="0" w:color="auto"/>
              <w:right w:val="nil"/>
            </w:tcBorders>
            <w:shd w:val="clear" w:color="auto" w:fill="auto"/>
            <w:noWrap/>
            <w:vAlign w:val="center"/>
            <w:hideMark/>
          </w:tcPr>
          <w:p w14:paraId="1A32E70F"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0.29%</w:t>
            </w:r>
          </w:p>
        </w:tc>
        <w:tc>
          <w:tcPr>
            <w:tcW w:w="988" w:type="dxa"/>
            <w:tcBorders>
              <w:top w:val="nil"/>
              <w:left w:val="nil"/>
              <w:bottom w:val="single" w:sz="8" w:space="0" w:color="auto"/>
              <w:right w:val="single" w:sz="4" w:space="0" w:color="auto"/>
            </w:tcBorders>
            <w:shd w:val="clear" w:color="auto" w:fill="auto"/>
            <w:noWrap/>
            <w:vAlign w:val="center"/>
            <w:hideMark/>
          </w:tcPr>
          <w:p w14:paraId="2DD6E3B2"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0.31%</w:t>
            </w:r>
          </w:p>
        </w:tc>
        <w:tc>
          <w:tcPr>
            <w:tcW w:w="1054" w:type="dxa"/>
            <w:tcBorders>
              <w:top w:val="nil"/>
              <w:left w:val="nil"/>
              <w:bottom w:val="single" w:sz="8" w:space="0" w:color="auto"/>
              <w:right w:val="nil"/>
            </w:tcBorders>
            <w:shd w:val="clear" w:color="auto" w:fill="auto"/>
            <w:noWrap/>
            <w:vAlign w:val="center"/>
            <w:hideMark/>
          </w:tcPr>
          <w:p w14:paraId="27E9F4D0"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101.9%</w:t>
            </w:r>
          </w:p>
        </w:tc>
        <w:tc>
          <w:tcPr>
            <w:tcW w:w="1054" w:type="dxa"/>
            <w:tcBorders>
              <w:top w:val="nil"/>
              <w:left w:val="nil"/>
              <w:bottom w:val="single" w:sz="8" w:space="0" w:color="auto"/>
              <w:right w:val="nil"/>
            </w:tcBorders>
            <w:shd w:val="clear" w:color="auto" w:fill="auto"/>
            <w:noWrap/>
            <w:vAlign w:val="center"/>
            <w:hideMark/>
          </w:tcPr>
          <w:p w14:paraId="55619E89"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98.5%</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D0BD8D8" w14:textId="77777777" w:rsidR="00764CA4" w:rsidRPr="00764CA4" w:rsidRDefault="00764CA4" w:rsidP="0076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64CA4">
              <w:rPr>
                <w:rFonts w:ascii="Arial" w:hAnsi="Arial" w:cs="Arial"/>
                <w:color w:val="000000"/>
                <w:sz w:val="18"/>
                <w:szCs w:val="18"/>
                <w:lang w:eastAsia="zh-TW"/>
              </w:rPr>
              <w:t>100.1%</w:t>
            </w:r>
          </w:p>
        </w:tc>
      </w:tr>
    </w:tbl>
    <w:p w14:paraId="6022C628" w14:textId="77777777" w:rsidR="00764CA4" w:rsidRPr="000400E7" w:rsidRDefault="00764CA4" w:rsidP="000400E7">
      <w:pPr>
        <w:rPr>
          <w:lang w:val="en-CA"/>
        </w:rPr>
      </w:pPr>
    </w:p>
    <w:p w14:paraId="1A463026" w14:textId="5A81FFF7" w:rsidR="000400E7" w:rsidRDefault="000400E7" w:rsidP="00E11923">
      <w:pPr>
        <w:pStyle w:val="Heading1"/>
        <w:rPr>
          <w:lang w:val="en-CA"/>
        </w:rPr>
      </w:pPr>
      <w:r>
        <w:rPr>
          <w:lang w:val="en-CA"/>
        </w:rPr>
        <w:t>Conclusion</w:t>
      </w:r>
    </w:p>
    <w:p w14:paraId="48458344" w14:textId="7F344C5E" w:rsidR="000400E7" w:rsidRPr="000400E7" w:rsidRDefault="003462AE" w:rsidP="000400E7">
      <w:pPr>
        <w:rPr>
          <w:lang w:val="en-CA"/>
        </w:rPr>
      </w:pPr>
      <w:r>
        <w:rPr>
          <w:lang w:val="en-CA"/>
        </w:rPr>
        <w:t xml:space="preserve">The contribution proposes several changes to improve coding efficiency and reduce complexity of the AMVP with </w:t>
      </w:r>
      <w:proofErr w:type="spellStart"/>
      <w:r>
        <w:rPr>
          <w:lang w:val="en-CA"/>
        </w:rPr>
        <w:t>SbTMVP</w:t>
      </w:r>
      <w:proofErr w:type="spellEnd"/>
      <w:r>
        <w:rPr>
          <w:lang w:val="en-CA"/>
        </w:rPr>
        <w:t xml:space="preserve"> mode. The proposed methods achieve 0.10% and 0.36% BD-rate reduction with </w:t>
      </w:r>
      <w:r w:rsidR="003C0627">
        <w:rPr>
          <w:lang w:val="en-CA"/>
        </w:rPr>
        <w:t>1%</w:t>
      </w:r>
      <w:r>
        <w:rPr>
          <w:lang w:val="en-CA"/>
        </w:rPr>
        <w:t xml:space="preserve"> and 3% encoding runtime increase for RA and LB, respectively. It is recommended to study this proposal in next round of EE2.</w:t>
      </w:r>
    </w:p>
    <w:p w14:paraId="2D272D92" w14:textId="6BF66336" w:rsidR="000400E7" w:rsidRDefault="000400E7" w:rsidP="00E11923">
      <w:pPr>
        <w:pStyle w:val="Heading1"/>
        <w:rPr>
          <w:lang w:val="en-CA"/>
        </w:rPr>
      </w:pPr>
      <w:r>
        <w:rPr>
          <w:lang w:val="en-CA"/>
        </w:rPr>
        <w:t>References</w:t>
      </w:r>
    </w:p>
    <w:p w14:paraId="1CD6C2D9" w14:textId="5DDEDD23" w:rsidR="008A75A5" w:rsidRDefault="008A75A5" w:rsidP="004117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2" w:name="_Ref147152206"/>
      <w:bookmarkStart w:id="3" w:name="_Ref75791092"/>
      <w:bookmarkStart w:id="4" w:name="_Ref116400767"/>
      <w:r>
        <w:rPr>
          <w:lang w:val="en-CA"/>
        </w:rPr>
        <w:t>R.-L. Liao, J. Chen, X. Li and Y. Ye, “</w:t>
      </w:r>
      <w:r w:rsidRPr="008A75A5">
        <w:rPr>
          <w:lang w:val="en-CA"/>
        </w:rPr>
        <w:t>Non-EE2: AMVP mode with subblock-based temporal motion vector prediction</w:t>
      </w:r>
      <w:r>
        <w:rPr>
          <w:lang w:val="en-CA"/>
        </w:rPr>
        <w:t>,” JVET-AC0103, Jan. 2023.</w:t>
      </w:r>
      <w:bookmarkEnd w:id="2"/>
    </w:p>
    <w:p w14:paraId="4CAF01A4" w14:textId="353E49BE" w:rsidR="008A75A5" w:rsidRDefault="008A75A5" w:rsidP="008A75A5">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 w:name="_Ref147152210"/>
      <w:r>
        <w:rPr>
          <w:lang w:val="en-CA"/>
        </w:rPr>
        <w:t>R.-L. Liao, J. Chen, X. Li and Y. Ye, “</w:t>
      </w:r>
      <w:r w:rsidRPr="008A75A5">
        <w:rPr>
          <w:lang w:val="en-CA"/>
        </w:rPr>
        <w:t xml:space="preserve">EE2-2.2: AMVP with </w:t>
      </w:r>
      <w:proofErr w:type="spellStart"/>
      <w:r w:rsidRPr="008A75A5">
        <w:rPr>
          <w:lang w:val="en-CA"/>
        </w:rPr>
        <w:t>SbTMVP</w:t>
      </w:r>
      <w:proofErr w:type="spellEnd"/>
      <w:r w:rsidRPr="008A75A5">
        <w:rPr>
          <w:lang w:val="en-CA"/>
        </w:rPr>
        <w:t xml:space="preserve"> mode</w:t>
      </w:r>
      <w:r>
        <w:rPr>
          <w:lang w:val="en-CA"/>
        </w:rPr>
        <w:t>,” JVET-AD0152, Apr. 2023.</w:t>
      </w:r>
      <w:bookmarkEnd w:id="5"/>
    </w:p>
    <w:p w14:paraId="171BB60B" w14:textId="1F731419" w:rsidR="00411789" w:rsidRPr="003E5518" w:rsidRDefault="00411789" w:rsidP="004117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6"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AE</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3"/>
      <w:bookmarkEnd w:id="4"/>
      <w:bookmarkEnd w:id="6"/>
    </w:p>
    <w:p w14:paraId="5F0CF8E4" w14:textId="11AB4D2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6CEBF6" w:rsidR="00342FF4" w:rsidRPr="005B217D" w:rsidRDefault="000400E7"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1895" w14:textId="77777777" w:rsidR="002E7690" w:rsidRDefault="002E7690">
      <w:r>
        <w:separator/>
      </w:r>
    </w:p>
  </w:endnote>
  <w:endnote w:type="continuationSeparator" w:id="0">
    <w:p w14:paraId="64477215" w14:textId="77777777" w:rsidR="002E7690" w:rsidRDefault="002E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4A6ED" w14:textId="77777777" w:rsidR="00853737" w:rsidRDefault="00853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9C9C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1840">
      <w:rPr>
        <w:rStyle w:val="PageNumber"/>
        <w:noProof/>
      </w:rPr>
      <w:t>2023-10-06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B9B7" w14:textId="77777777" w:rsidR="00853737" w:rsidRDefault="0085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6019" w14:textId="77777777" w:rsidR="002E7690" w:rsidRDefault="002E7690">
      <w:r>
        <w:separator/>
      </w:r>
    </w:p>
  </w:footnote>
  <w:footnote w:type="continuationSeparator" w:id="0">
    <w:p w14:paraId="0E525B96" w14:textId="77777777" w:rsidR="002E7690" w:rsidRDefault="002E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EEEB" w14:textId="77777777" w:rsidR="00853737" w:rsidRDefault="00853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5F49" w14:textId="77777777" w:rsidR="00853737" w:rsidRDefault="0085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E12" w14:textId="77777777" w:rsidR="00853737" w:rsidRDefault="0085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4B1406"/>
    <w:multiLevelType w:val="hybridMultilevel"/>
    <w:tmpl w:val="C18EF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00E7"/>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5A"/>
    <w:rsid w:val="00263B99"/>
    <w:rsid w:val="002647D8"/>
    <w:rsid w:val="00266F06"/>
    <w:rsid w:val="00275BCF"/>
    <w:rsid w:val="002803F7"/>
    <w:rsid w:val="00280613"/>
    <w:rsid w:val="00286256"/>
    <w:rsid w:val="00291E36"/>
    <w:rsid w:val="00292257"/>
    <w:rsid w:val="002A54E0"/>
    <w:rsid w:val="002B1595"/>
    <w:rsid w:val="002B191D"/>
    <w:rsid w:val="002B2E83"/>
    <w:rsid w:val="002D0AF6"/>
    <w:rsid w:val="002E7690"/>
    <w:rsid w:val="002F164D"/>
    <w:rsid w:val="003021BC"/>
    <w:rsid w:val="00306206"/>
    <w:rsid w:val="00317D85"/>
    <w:rsid w:val="00327C56"/>
    <w:rsid w:val="003315A1"/>
    <w:rsid w:val="003373EC"/>
    <w:rsid w:val="00342FF4"/>
    <w:rsid w:val="00344E5A"/>
    <w:rsid w:val="00346148"/>
    <w:rsid w:val="003462AE"/>
    <w:rsid w:val="003669EA"/>
    <w:rsid w:val="003706CC"/>
    <w:rsid w:val="00377710"/>
    <w:rsid w:val="003A25F5"/>
    <w:rsid w:val="003A2D8E"/>
    <w:rsid w:val="003A7CE6"/>
    <w:rsid w:val="003C0627"/>
    <w:rsid w:val="003C20E4"/>
    <w:rsid w:val="003D6342"/>
    <w:rsid w:val="003E6F90"/>
    <w:rsid w:val="003E73ED"/>
    <w:rsid w:val="003F5D0F"/>
    <w:rsid w:val="00411789"/>
    <w:rsid w:val="00414101"/>
    <w:rsid w:val="004219CF"/>
    <w:rsid w:val="004234F0"/>
    <w:rsid w:val="00427EEC"/>
    <w:rsid w:val="00433DDB"/>
    <w:rsid w:val="00435A29"/>
    <w:rsid w:val="00437619"/>
    <w:rsid w:val="00465A1E"/>
    <w:rsid w:val="004933A2"/>
    <w:rsid w:val="0049445A"/>
    <w:rsid w:val="004957D9"/>
    <w:rsid w:val="004A1840"/>
    <w:rsid w:val="004A2A63"/>
    <w:rsid w:val="004B210C"/>
    <w:rsid w:val="004B6170"/>
    <w:rsid w:val="004D405F"/>
    <w:rsid w:val="004E4F4F"/>
    <w:rsid w:val="004E6789"/>
    <w:rsid w:val="004F61E3"/>
    <w:rsid w:val="00502E10"/>
    <w:rsid w:val="0050354E"/>
    <w:rsid w:val="0051015C"/>
    <w:rsid w:val="00516CF1"/>
    <w:rsid w:val="0051744A"/>
    <w:rsid w:val="00531AE9"/>
    <w:rsid w:val="00536188"/>
    <w:rsid w:val="00541FF1"/>
    <w:rsid w:val="00550A66"/>
    <w:rsid w:val="00551058"/>
    <w:rsid w:val="0056443B"/>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73F2"/>
    <w:rsid w:val="00624B33"/>
    <w:rsid w:val="0063041A"/>
    <w:rsid w:val="00630AA2"/>
    <w:rsid w:val="00631D8B"/>
    <w:rsid w:val="0063285C"/>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3ABC"/>
    <w:rsid w:val="00712F60"/>
    <w:rsid w:val="00720E3B"/>
    <w:rsid w:val="0074393F"/>
    <w:rsid w:val="00745F6B"/>
    <w:rsid w:val="00747396"/>
    <w:rsid w:val="0075175B"/>
    <w:rsid w:val="0075585E"/>
    <w:rsid w:val="00756D29"/>
    <w:rsid w:val="00764CA4"/>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3737"/>
    <w:rsid w:val="0086387C"/>
    <w:rsid w:val="00874A6C"/>
    <w:rsid w:val="00876C65"/>
    <w:rsid w:val="00882F72"/>
    <w:rsid w:val="00893DC4"/>
    <w:rsid w:val="008A147E"/>
    <w:rsid w:val="008A4B4C"/>
    <w:rsid w:val="008A75A5"/>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0BDA"/>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BE6AF3"/>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20D21"/>
    <w:rsid w:val="00D446EC"/>
    <w:rsid w:val="00D51BF0"/>
    <w:rsid w:val="00D531DB"/>
    <w:rsid w:val="00D55942"/>
    <w:rsid w:val="00D807BF"/>
    <w:rsid w:val="00D81499"/>
    <w:rsid w:val="00D82FCC"/>
    <w:rsid w:val="00DA17FC"/>
    <w:rsid w:val="00DA7887"/>
    <w:rsid w:val="00DB2C26"/>
    <w:rsid w:val="00DB45C3"/>
    <w:rsid w:val="00DC58CD"/>
    <w:rsid w:val="00DD02F4"/>
    <w:rsid w:val="00DD260A"/>
    <w:rsid w:val="00DD6622"/>
    <w:rsid w:val="00DE1C7C"/>
    <w:rsid w:val="00DE6B43"/>
    <w:rsid w:val="00E041C6"/>
    <w:rsid w:val="00E11923"/>
    <w:rsid w:val="00E207D8"/>
    <w:rsid w:val="00E262D4"/>
    <w:rsid w:val="00E36250"/>
    <w:rsid w:val="00E42E69"/>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19C"/>
    <w:rsid w:val="00F00801"/>
    <w:rsid w:val="00F2488D"/>
    <w:rsid w:val="00F601A0"/>
    <w:rsid w:val="00F712E9"/>
    <w:rsid w:val="00F73032"/>
    <w:rsid w:val="00F848FC"/>
    <w:rsid w:val="00F906F6"/>
    <w:rsid w:val="00F9282A"/>
    <w:rsid w:val="00F96BAD"/>
    <w:rsid w:val="00FA139D"/>
    <w:rsid w:val="00FA56CF"/>
    <w:rsid w:val="00FA60F5"/>
    <w:rsid w:val="00FB0E84"/>
    <w:rsid w:val="00FC00A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411789"/>
    <w:pPr>
      <w:ind w:firstLineChars="200" w:firstLine="420"/>
    </w:pPr>
    <w:rPr>
      <w:rFonts w:eastAsiaTheme="minorEastAsia"/>
    </w:rPr>
  </w:style>
  <w:style w:type="character" w:customStyle="1" w:styleId="ListParagraphChar">
    <w:name w:val="List Paragraph Char"/>
    <w:link w:val="ListParagraph"/>
    <w:uiPriority w:val="34"/>
    <w:rsid w:val="00411789"/>
    <w:rPr>
      <w:rFonts w:eastAsiaTheme="minorEastAsia"/>
      <w:sz w:val="22"/>
    </w:rPr>
  </w:style>
  <w:style w:type="paragraph" w:styleId="Caption">
    <w:name w:val="caption"/>
    <w:basedOn w:val="Normal"/>
    <w:next w:val="Normal"/>
    <w:unhideWhenUsed/>
    <w:qFormat/>
    <w:rsid w:val="004933A2"/>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6605">
      <w:bodyDiv w:val="1"/>
      <w:marLeft w:val="0"/>
      <w:marRight w:val="0"/>
      <w:marTop w:val="0"/>
      <w:marBottom w:val="0"/>
      <w:divBdr>
        <w:top w:val="none" w:sz="0" w:space="0" w:color="auto"/>
        <w:left w:val="none" w:sz="0" w:space="0" w:color="auto"/>
        <w:bottom w:val="none" w:sz="0" w:space="0" w:color="auto"/>
        <w:right w:val="none" w:sz="0" w:space="0" w:color="auto"/>
      </w:divBdr>
    </w:div>
    <w:div w:id="1252080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30561-5C9A-4BBA-BDE1-25B1DF75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AE0151</cp:lastModifiedBy>
  <cp:revision>22</cp:revision>
  <cp:lastPrinted>1900-01-01T08:00:00Z</cp:lastPrinted>
  <dcterms:created xsi:type="dcterms:W3CDTF">2023-07-23T13:07:00Z</dcterms:created>
  <dcterms:modified xsi:type="dcterms:W3CDTF">2023-10-06T14:03:00Z</dcterms:modified>
</cp:coreProperties>
</file>