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AD6D4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39E26895" w:rsidR="008A4B4C" w:rsidRPr="005B217D" w:rsidRDefault="00E61DAC" w:rsidP="00C22F7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C22F71">
              <w:rPr>
                <w:lang w:val="en-CA"/>
              </w:rPr>
              <w:t>0108</w:t>
            </w:r>
            <w:r w:rsidR="006A0E5C" w:rsidRPr="006A0E5C">
              <w:rPr>
                <w:lang w:val="en-CA"/>
              </w:rPr>
              <w:t>-v</w:t>
            </w:r>
            <w:r w:rsidR="00C22F71" w:rsidRPr="00C22F71">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A97CB31" w:rsidR="00E61DAC" w:rsidRPr="005B217D" w:rsidRDefault="001D7CBF" w:rsidP="009D7CE6">
            <w:pPr>
              <w:spacing w:before="60" w:after="60"/>
              <w:rPr>
                <w:b/>
                <w:szCs w:val="22"/>
                <w:lang w:val="en-CA"/>
              </w:rPr>
            </w:pPr>
            <w:r>
              <w:rPr>
                <w:b/>
                <w:szCs w:val="22"/>
                <w:lang w:val="en-CA"/>
              </w:rPr>
              <w:t>EE2-1.1: Non-square quadtree partitioning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1101BCB" w:rsidR="00E61DAC" w:rsidRPr="005B217D" w:rsidRDefault="0013458C" w:rsidP="001D7CB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AD64527" w:rsidR="00E61DAC" w:rsidRPr="005B217D" w:rsidRDefault="001D7CBF" w:rsidP="005E1AC6">
            <w:pPr>
              <w:spacing w:before="60" w:after="60"/>
              <w:rPr>
                <w:szCs w:val="22"/>
                <w:lang w:val="en-CA"/>
              </w:rPr>
            </w:pPr>
            <w:r>
              <w:rPr>
                <w:rFonts w:hint="eastAsia"/>
                <w:szCs w:val="22"/>
                <w:lang w:val="en-CA" w:eastAsia="ko-KR"/>
              </w:rPr>
              <w:t>Proposal</w:t>
            </w:r>
          </w:p>
        </w:tc>
      </w:tr>
      <w:tr w:rsidR="001D7CBF" w:rsidRPr="005B217D" w14:paraId="714CD808" w14:textId="77777777" w:rsidTr="000962AC">
        <w:tc>
          <w:tcPr>
            <w:tcW w:w="1458" w:type="dxa"/>
          </w:tcPr>
          <w:p w14:paraId="4DB59313" w14:textId="77777777" w:rsidR="001D7CBF" w:rsidRPr="005B217D" w:rsidRDefault="001D7CBF" w:rsidP="001D7CB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EE9029A" w14:textId="77777777" w:rsidR="001D7CBF" w:rsidRDefault="001D7CBF" w:rsidP="001D7CBF">
            <w:pPr>
              <w:pStyle w:val="Normal-3-3"/>
              <w:rPr>
                <w:lang w:val="en-GB"/>
              </w:rPr>
            </w:pPr>
            <w:r w:rsidRPr="00C570DD">
              <w:rPr>
                <w:bCs/>
                <w:lang w:val="en-GB"/>
              </w:rPr>
              <w:t>Yongjo Ahn</w:t>
            </w:r>
            <w:r w:rsidRPr="00C570DD">
              <w:rPr>
                <w:bCs/>
                <w:lang w:val="en-GB"/>
              </w:rPr>
              <w:br/>
            </w:r>
            <w:r>
              <w:rPr>
                <w:bCs/>
                <w:lang w:val="en-GB"/>
              </w:rPr>
              <w:t>Junghak Nam</w:t>
            </w:r>
            <w:r w:rsidRPr="00C570DD">
              <w:rPr>
                <w:bCs/>
                <w:lang w:val="en-GB"/>
              </w:rPr>
              <w:br/>
            </w:r>
            <w:r>
              <w:rPr>
                <w:bCs/>
                <w:lang w:val="en-GB"/>
              </w:rPr>
              <w:t>Naeri Park</w:t>
            </w:r>
            <w:r w:rsidRPr="00C570DD">
              <w:rPr>
                <w:bCs/>
                <w:lang w:val="en-GB"/>
              </w:rPr>
              <w:br/>
            </w:r>
            <w:r>
              <w:rPr>
                <w:bCs/>
                <w:lang w:val="en-GB"/>
              </w:rPr>
              <w:t>Jaehyun Lim</w:t>
            </w:r>
            <w:r>
              <w:rPr>
                <w:bCs/>
                <w:lang w:val="en-GB"/>
              </w:rPr>
              <w:br/>
            </w:r>
            <w:r>
              <w:rPr>
                <w:lang w:val="en-GB"/>
              </w:rPr>
              <w:t>19 Yangjaedaero-11gil, Soecho-gu, Seoul 06772, South Korea</w:t>
            </w:r>
          </w:p>
          <w:p w14:paraId="49D81240" w14:textId="4C15C36F" w:rsidR="001D7CBF" w:rsidRPr="005B217D" w:rsidRDefault="001D7CBF" w:rsidP="001D7CBF">
            <w:pPr>
              <w:spacing w:before="60" w:after="60"/>
              <w:rPr>
                <w:szCs w:val="22"/>
                <w:lang w:val="en-CA"/>
              </w:rPr>
            </w:pPr>
            <w:r w:rsidRPr="00C570DD">
              <w:rPr>
                <w:bCs/>
                <w:lang w:val="en-GB"/>
              </w:rPr>
              <w:t>Seunghwan Kim</w:t>
            </w:r>
            <w:r w:rsidRPr="00C570DD">
              <w:rPr>
                <w:bCs/>
                <w:lang w:val="en-GB"/>
              </w:rPr>
              <w:br/>
            </w:r>
            <w:r>
              <w:rPr>
                <w:szCs w:val="22"/>
                <w:lang w:val="en-GB"/>
              </w:rPr>
              <w:t>10680 Treena St, San Diego, CA 92131, USA</w:t>
            </w:r>
          </w:p>
        </w:tc>
        <w:tc>
          <w:tcPr>
            <w:tcW w:w="900" w:type="dxa"/>
          </w:tcPr>
          <w:p w14:paraId="0140ECA2" w14:textId="77777777" w:rsidR="001D7CBF" w:rsidRPr="005B217D" w:rsidRDefault="001D7CBF" w:rsidP="001D7CBF">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6757E53" w:rsidR="001D7CBF" w:rsidRPr="001D7CBF" w:rsidRDefault="001D7CBF" w:rsidP="001D7CBF">
            <w:pPr>
              <w:spacing w:before="60" w:after="60"/>
              <w:rPr>
                <w:szCs w:val="22"/>
                <w:lang w:val="en-GB"/>
              </w:rPr>
            </w:pPr>
            <w:r w:rsidRPr="00235B52">
              <w:rPr>
                <w:lang w:val="en-GB"/>
              </w:rPr>
              <w:br/>
            </w:r>
            <w:r>
              <w:rPr>
                <w:szCs w:val="22"/>
                <w:lang w:val="en-GB"/>
              </w:rPr>
              <w:t>+82-2-6912-6561</w:t>
            </w:r>
            <w:r>
              <w:rPr>
                <w:szCs w:val="22"/>
                <w:lang w:val="en-GB"/>
              </w:rPr>
              <w:br/>
            </w:r>
            <w:hyperlink r:id="rId9" w:history="1">
              <w:r w:rsidRPr="00450841">
                <w:rPr>
                  <w:rStyle w:val="a6"/>
                  <w:szCs w:val="22"/>
                  <w:lang w:val="en-GB"/>
                </w:rPr>
                <w:t>yongjo.ahn@lge.com</w:t>
              </w:r>
            </w:hyperlink>
            <w:r>
              <w:rPr>
                <w:szCs w:val="22"/>
                <w:lang w:val="en-GB"/>
              </w:rPr>
              <w:br/>
            </w:r>
          </w:p>
        </w:tc>
      </w:tr>
      <w:tr w:rsidR="001D7CBF" w:rsidRPr="005B217D" w14:paraId="49AFAA61" w14:textId="77777777" w:rsidTr="000962AC">
        <w:tc>
          <w:tcPr>
            <w:tcW w:w="1458" w:type="dxa"/>
          </w:tcPr>
          <w:p w14:paraId="2C08AF6B" w14:textId="77777777" w:rsidR="001D7CBF" w:rsidRPr="005B217D" w:rsidRDefault="001D7CBF" w:rsidP="001D7CBF">
            <w:pPr>
              <w:spacing w:before="60" w:after="60"/>
              <w:rPr>
                <w:i/>
                <w:szCs w:val="22"/>
                <w:lang w:val="en-CA"/>
              </w:rPr>
            </w:pPr>
            <w:r w:rsidRPr="005B217D">
              <w:rPr>
                <w:i/>
                <w:szCs w:val="22"/>
                <w:lang w:val="en-CA"/>
              </w:rPr>
              <w:t>Source:</w:t>
            </w:r>
          </w:p>
        </w:tc>
        <w:tc>
          <w:tcPr>
            <w:tcW w:w="7902" w:type="dxa"/>
            <w:gridSpan w:val="3"/>
          </w:tcPr>
          <w:p w14:paraId="643E6B85" w14:textId="14B39196" w:rsidR="001D7CBF" w:rsidRPr="005B217D" w:rsidRDefault="001D7CBF" w:rsidP="001D7CBF">
            <w:pPr>
              <w:spacing w:before="60" w:after="60"/>
              <w:rPr>
                <w:szCs w:val="22"/>
                <w:lang w:val="en-CA"/>
              </w:rPr>
            </w:pPr>
            <w:r>
              <w:rPr>
                <w:lang w:val="en-GB"/>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63628071" w:rsidR="00263398" w:rsidRDefault="001D7CBF" w:rsidP="009234A5">
      <w:pPr>
        <w:rPr>
          <w:lang w:val="en-CA"/>
        </w:rPr>
      </w:pPr>
      <w:r>
        <w:rPr>
          <w:lang w:val="en-CA"/>
        </w:rPr>
        <w:t xml:space="preserve">This contribution reports results for EE2 Test 1.1 on non-square quadtree partitioning. In </w:t>
      </w:r>
      <w:r w:rsidR="00313E63">
        <w:rPr>
          <w:lang w:val="en-CA"/>
        </w:rPr>
        <w:t>this test</w:t>
      </w:r>
      <w:r>
        <w:rPr>
          <w:lang w:val="en-CA"/>
        </w:rPr>
        <w:t xml:space="preserve">, quadtree partitioning for non-square blocks </w:t>
      </w:r>
      <w:r w:rsidR="000A59A0">
        <w:rPr>
          <w:lang w:val="en-CA"/>
        </w:rPr>
        <w:t>of which shapes are 2N</w:t>
      </w:r>
      <w:r w:rsidR="000A59A0">
        <w:rPr>
          <w:lang w:val="en-CA" w:eastAsia="ko-KR"/>
        </w:rPr>
        <w:t>×</w:t>
      </w:r>
      <w:r w:rsidR="000A59A0">
        <w:rPr>
          <w:lang w:val="en-CA"/>
        </w:rPr>
        <w:t>N and N</w:t>
      </w:r>
      <w:r w:rsidR="000A59A0">
        <w:rPr>
          <w:lang w:val="en-CA" w:eastAsia="ko-KR"/>
        </w:rPr>
        <w:t>×</w:t>
      </w:r>
      <w:r w:rsidR="000A59A0">
        <w:rPr>
          <w:lang w:val="en-CA"/>
        </w:rPr>
        <w:t xml:space="preserve">2N </w:t>
      </w:r>
      <w:r>
        <w:rPr>
          <w:lang w:val="en-CA"/>
        </w:rPr>
        <w:t xml:space="preserve">is proposed. </w:t>
      </w:r>
      <w:r w:rsidR="000A59A0">
        <w:rPr>
          <w:lang w:val="en-CA"/>
        </w:rPr>
        <w:t xml:space="preserve"> In the Test 1.1a, proposed non-square quadtree partition is tested. In the Test 1.1b, </w:t>
      </w:r>
      <w:r w:rsidR="000A59A0">
        <w:rPr>
          <w:lang w:val="en-CA" w:eastAsia="ko-KR"/>
        </w:rPr>
        <w:t xml:space="preserve">ECM-10.0 with maximum MTT depth plus 1 is </w:t>
      </w:r>
      <w:r w:rsidR="00313E63">
        <w:rPr>
          <w:lang w:val="en-CA" w:eastAsia="ko-KR"/>
        </w:rPr>
        <w:t>tested as compared to Test 1.1a</w:t>
      </w:r>
      <w:r w:rsidR="000A59A0">
        <w:rPr>
          <w:lang w:val="en-CA" w:eastAsia="ko-KR"/>
        </w:rPr>
        <w:t xml:space="preserve">. </w:t>
      </w:r>
      <w:r>
        <w:rPr>
          <w:lang w:val="en-CA"/>
        </w:rPr>
        <w:t>The proposed partitioning method was implemented on top of ECM-10.0 and the summarized test results are shown as follows:</w:t>
      </w:r>
    </w:p>
    <w:p w14:paraId="4919B677" w14:textId="00EA3151" w:rsidR="001D27AA" w:rsidRDefault="000A59A0" w:rsidP="001D7CBF">
      <w:pPr>
        <w:rPr>
          <w:lang w:val="en-CA" w:eastAsia="ko-KR"/>
        </w:rPr>
      </w:pPr>
      <w:r>
        <w:rPr>
          <w:lang w:val="en-CA" w:eastAsia="ko-KR"/>
        </w:rPr>
        <w:t>Test 1.1a:</w:t>
      </w:r>
    </w:p>
    <w:p w14:paraId="44852A1F" w14:textId="5D757724" w:rsidR="001D7CBF" w:rsidRDefault="001D7CBF" w:rsidP="00854B04">
      <w:pPr>
        <w:ind w:leftChars="100" w:left="220"/>
        <w:rPr>
          <w:lang w:val="en-CA" w:eastAsia="ko-KR"/>
        </w:rPr>
      </w:pPr>
      <w:r w:rsidRPr="00FA2397">
        <w:rPr>
          <w:lang w:val="en-CA" w:eastAsia="ko-KR"/>
        </w:rPr>
        <w:t>AI:</w:t>
      </w:r>
      <w:r>
        <w:rPr>
          <w:lang w:val="en-CA" w:eastAsia="ko-KR"/>
        </w:rPr>
        <w:t xml:space="preserve"> </w:t>
      </w:r>
      <w:r w:rsidR="00A1228E">
        <w:rPr>
          <w:lang w:val="en-CA" w:eastAsia="ko-KR"/>
        </w:rPr>
        <w:t>-0.11</w:t>
      </w:r>
      <w:r w:rsidRPr="00FA2397">
        <w:rPr>
          <w:lang w:val="en-CA" w:eastAsia="ko-KR"/>
        </w:rPr>
        <w:t>%</w:t>
      </w:r>
      <w:r>
        <w:rPr>
          <w:lang w:val="en-CA" w:eastAsia="ko-KR"/>
        </w:rPr>
        <w:t>/</w:t>
      </w:r>
      <w:r w:rsidRPr="00FA2397">
        <w:rPr>
          <w:lang w:val="en-CA" w:eastAsia="ko-KR"/>
        </w:rPr>
        <w:t>-0.2</w:t>
      </w:r>
      <w:r w:rsidR="00A1228E">
        <w:rPr>
          <w:lang w:val="en-CA" w:eastAsia="ko-KR"/>
        </w:rPr>
        <w:t>0</w:t>
      </w:r>
      <w:r w:rsidRPr="00FA2397">
        <w:rPr>
          <w:lang w:val="en-CA" w:eastAsia="ko-KR"/>
        </w:rPr>
        <w:t>%</w:t>
      </w:r>
      <w:r>
        <w:rPr>
          <w:lang w:val="en-CA" w:eastAsia="ko-KR"/>
        </w:rPr>
        <w:t>/</w:t>
      </w:r>
      <w:r w:rsidRPr="00FA2397">
        <w:rPr>
          <w:lang w:val="en-CA" w:eastAsia="ko-KR"/>
        </w:rPr>
        <w:t>-0.</w:t>
      </w:r>
      <w:r w:rsidR="00A1228E">
        <w:rPr>
          <w:lang w:val="en-CA" w:eastAsia="ko-KR"/>
        </w:rPr>
        <w:t>25</w:t>
      </w:r>
      <w:r w:rsidRPr="00FA2397">
        <w:rPr>
          <w:lang w:val="en-CA" w:eastAsia="ko-KR"/>
        </w:rPr>
        <w:t>%</w:t>
      </w:r>
      <w:r>
        <w:rPr>
          <w:lang w:val="en-CA" w:eastAsia="ko-KR"/>
        </w:rPr>
        <w:t xml:space="preserve"> (Y/U/V</w:t>
      </w:r>
      <w:r w:rsidRPr="00FA2397">
        <w:rPr>
          <w:lang w:val="en-CA" w:eastAsia="ko-KR"/>
        </w:rPr>
        <w:t>)</w:t>
      </w:r>
      <w:r>
        <w:rPr>
          <w:lang w:val="en-CA" w:eastAsia="ko-KR"/>
        </w:rPr>
        <w:t>,</w:t>
      </w:r>
      <w:r w:rsidR="00A1228E">
        <w:rPr>
          <w:lang w:val="en-CA" w:eastAsia="ko-KR"/>
        </w:rPr>
        <w:t xml:space="preserve"> 120.9</w:t>
      </w:r>
      <w:r w:rsidRPr="00FA2397">
        <w:rPr>
          <w:lang w:val="en-CA" w:eastAsia="ko-KR"/>
        </w:rPr>
        <w:t>%</w:t>
      </w:r>
      <w:r>
        <w:rPr>
          <w:lang w:val="en-CA" w:eastAsia="ko-KR"/>
        </w:rPr>
        <w:t xml:space="preserve"> </w:t>
      </w:r>
      <w:r w:rsidRPr="00FA2397">
        <w:rPr>
          <w:lang w:val="en-CA" w:eastAsia="ko-KR"/>
        </w:rPr>
        <w:t>(EncT)</w:t>
      </w:r>
      <w:r>
        <w:rPr>
          <w:lang w:val="en-CA" w:eastAsia="ko-KR"/>
        </w:rPr>
        <w:t>,</w:t>
      </w:r>
      <w:r w:rsidR="00A1228E">
        <w:rPr>
          <w:lang w:val="en-CA" w:eastAsia="ko-KR"/>
        </w:rPr>
        <w:t xml:space="preserve"> 99.5</w:t>
      </w:r>
      <w:r w:rsidRPr="00FA2397">
        <w:rPr>
          <w:lang w:val="en-CA" w:eastAsia="ko-KR"/>
        </w:rPr>
        <w:t>% (DecT)</w:t>
      </w:r>
    </w:p>
    <w:p w14:paraId="43ADC0BA" w14:textId="10E97FCF" w:rsidR="001D7CBF" w:rsidRDefault="00A1228E" w:rsidP="00854B04">
      <w:pPr>
        <w:ind w:leftChars="100" w:left="220"/>
        <w:rPr>
          <w:lang w:val="en-CA" w:eastAsia="ko-KR"/>
        </w:rPr>
      </w:pPr>
      <w:r>
        <w:rPr>
          <w:lang w:val="en-CA" w:eastAsia="ko-KR"/>
        </w:rPr>
        <w:t>RA: -0.34</w:t>
      </w:r>
      <w:r w:rsidR="001D7CBF" w:rsidRPr="00FA2397">
        <w:rPr>
          <w:lang w:val="en-CA" w:eastAsia="ko-KR"/>
        </w:rPr>
        <w:t>%</w:t>
      </w:r>
      <w:r w:rsidR="001D7CBF">
        <w:rPr>
          <w:lang w:val="en-CA" w:eastAsia="ko-KR"/>
        </w:rPr>
        <w:t>/</w:t>
      </w:r>
      <w:r w:rsidR="001D7CBF" w:rsidRPr="00FA2397">
        <w:rPr>
          <w:lang w:val="en-CA" w:eastAsia="ko-KR"/>
        </w:rPr>
        <w:t>-0.</w:t>
      </w:r>
      <w:r>
        <w:rPr>
          <w:lang w:val="en-CA" w:eastAsia="ko-KR"/>
        </w:rPr>
        <w:t>44</w:t>
      </w:r>
      <w:r w:rsidR="001D7CBF" w:rsidRPr="00FA2397">
        <w:rPr>
          <w:lang w:val="en-CA" w:eastAsia="ko-KR"/>
        </w:rPr>
        <w:t>%</w:t>
      </w:r>
      <w:r w:rsidR="001D7CBF">
        <w:rPr>
          <w:lang w:val="en-CA" w:eastAsia="ko-KR"/>
        </w:rPr>
        <w:t>/</w:t>
      </w:r>
      <w:r w:rsidR="001D7CBF" w:rsidRPr="00FA2397">
        <w:rPr>
          <w:lang w:val="en-CA" w:eastAsia="ko-KR"/>
        </w:rPr>
        <w:t>-0.</w:t>
      </w:r>
      <w:r>
        <w:rPr>
          <w:lang w:val="en-CA" w:eastAsia="ko-KR"/>
        </w:rPr>
        <w:t>45</w:t>
      </w:r>
      <w:r w:rsidR="001D7CBF" w:rsidRPr="00FA2397">
        <w:rPr>
          <w:lang w:val="en-CA" w:eastAsia="ko-KR"/>
        </w:rPr>
        <w:t>% (</w:t>
      </w:r>
      <w:r w:rsidR="001D7CBF">
        <w:rPr>
          <w:lang w:val="en-CA" w:eastAsia="ko-KR"/>
        </w:rPr>
        <w:t>Y/U/</w:t>
      </w:r>
      <w:r w:rsidR="001D7CBF" w:rsidRPr="00FA2397">
        <w:rPr>
          <w:lang w:val="en-CA" w:eastAsia="ko-KR"/>
        </w:rPr>
        <w:t>V)</w:t>
      </w:r>
      <w:r w:rsidR="001D7CBF">
        <w:rPr>
          <w:lang w:val="en-CA" w:eastAsia="ko-KR"/>
        </w:rPr>
        <w:t>,</w:t>
      </w:r>
      <w:r w:rsidR="001D7CBF" w:rsidRPr="00FA2397">
        <w:rPr>
          <w:lang w:val="en-CA" w:eastAsia="ko-KR"/>
        </w:rPr>
        <w:t xml:space="preserve"> 1</w:t>
      </w:r>
      <w:r>
        <w:rPr>
          <w:lang w:val="en-CA" w:eastAsia="ko-KR"/>
        </w:rPr>
        <w:t>21.9</w:t>
      </w:r>
      <w:r w:rsidR="001D7CBF" w:rsidRPr="00FA2397">
        <w:rPr>
          <w:lang w:val="en-CA" w:eastAsia="ko-KR"/>
        </w:rPr>
        <w:t>% (EncT)</w:t>
      </w:r>
      <w:r w:rsidR="001D7CBF">
        <w:rPr>
          <w:lang w:val="en-CA" w:eastAsia="ko-KR"/>
        </w:rPr>
        <w:t>,</w:t>
      </w:r>
      <w:r w:rsidR="001D7CBF" w:rsidRPr="00FA2397">
        <w:rPr>
          <w:lang w:val="en-CA" w:eastAsia="ko-KR"/>
        </w:rPr>
        <w:t xml:space="preserve"> 100</w:t>
      </w:r>
      <w:r w:rsidR="00276831">
        <w:rPr>
          <w:lang w:val="en-CA" w:eastAsia="ko-KR"/>
        </w:rPr>
        <w:t>.7</w:t>
      </w:r>
      <w:r w:rsidR="001D7CBF" w:rsidRPr="00FA2397">
        <w:rPr>
          <w:lang w:val="en-CA" w:eastAsia="ko-KR"/>
        </w:rPr>
        <w:t>% (DecT</w:t>
      </w:r>
      <w:r w:rsidR="001D7CBF">
        <w:rPr>
          <w:lang w:val="en-CA" w:eastAsia="ko-KR"/>
        </w:rPr>
        <w:t>)</w:t>
      </w:r>
    </w:p>
    <w:p w14:paraId="7BC774C3" w14:textId="337128FA" w:rsidR="001D7CBF" w:rsidRDefault="00276831" w:rsidP="00854B04">
      <w:pPr>
        <w:ind w:leftChars="100" w:left="220"/>
        <w:rPr>
          <w:lang w:val="en-CA" w:eastAsia="ko-KR"/>
        </w:rPr>
      </w:pPr>
      <w:r>
        <w:rPr>
          <w:lang w:val="en-CA" w:eastAsia="ko-KR"/>
        </w:rPr>
        <w:t>LDB: -0.21</w:t>
      </w:r>
      <w:r w:rsidR="001D7CBF" w:rsidRPr="00FA2397">
        <w:rPr>
          <w:lang w:val="en-CA" w:eastAsia="ko-KR"/>
        </w:rPr>
        <w:t>%</w:t>
      </w:r>
      <w:r w:rsidR="001D7CBF">
        <w:rPr>
          <w:lang w:val="en-CA" w:eastAsia="ko-KR"/>
        </w:rPr>
        <w:t>/</w:t>
      </w:r>
      <w:r>
        <w:rPr>
          <w:lang w:val="en-CA" w:eastAsia="ko-KR"/>
        </w:rPr>
        <w:t xml:space="preserve"> 0.08</w:t>
      </w:r>
      <w:r w:rsidR="001D7CBF" w:rsidRPr="00FA2397">
        <w:rPr>
          <w:lang w:val="en-CA" w:eastAsia="ko-KR"/>
        </w:rPr>
        <w:t>%</w:t>
      </w:r>
      <w:r w:rsidR="001D7CBF">
        <w:rPr>
          <w:lang w:val="en-CA" w:eastAsia="ko-KR"/>
        </w:rPr>
        <w:t>/</w:t>
      </w:r>
      <w:r w:rsidR="001D7CBF" w:rsidRPr="00FA2397">
        <w:rPr>
          <w:lang w:val="en-CA" w:eastAsia="ko-KR"/>
        </w:rPr>
        <w:t>-0.</w:t>
      </w:r>
      <w:r>
        <w:rPr>
          <w:lang w:val="en-CA" w:eastAsia="ko-KR"/>
        </w:rPr>
        <w:t>24</w:t>
      </w:r>
      <w:r w:rsidR="001D7CBF" w:rsidRPr="00FA2397">
        <w:rPr>
          <w:lang w:val="en-CA" w:eastAsia="ko-KR"/>
        </w:rPr>
        <w:t>% (</w:t>
      </w:r>
      <w:r w:rsidR="001D7CBF">
        <w:rPr>
          <w:lang w:val="en-CA" w:eastAsia="ko-KR"/>
        </w:rPr>
        <w:t>Y/U/</w:t>
      </w:r>
      <w:r w:rsidR="001D7CBF" w:rsidRPr="00FA2397">
        <w:rPr>
          <w:lang w:val="en-CA" w:eastAsia="ko-KR"/>
        </w:rPr>
        <w:t>V)</w:t>
      </w:r>
      <w:r w:rsidR="001D7CBF">
        <w:rPr>
          <w:lang w:val="en-CA" w:eastAsia="ko-KR"/>
        </w:rPr>
        <w:t>,</w:t>
      </w:r>
      <w:r>
        <w:rPr>
          <w:lang w:val="en-CA" w:eastAsia="ko-KR"/>
        </w:rPr>
        <w:t xml:space="preserve"> 116.4</w:t>
      </w:r>
      <w:r w:rsidR="001D7CBF" w:rsidRPr="00FA2397">
        <w:rPr>
          <w:lang w:val="en-CA" w:eastAsia="ko-KR"/>
        </w:rPr>
        <w:t>% (EncT)</w:t>
      </w:r>
      <w:r w:rsidR="001D7CBF">
        <w:rPr>
          <w:lang w:val="en-CA" w:eastAsia="ko-KR"/>
        </w:rPr>
        <w:t>,</w:t>
      </w:r>
      <w:r>
        <w:rPr>
          <w:lang w:val="en-CA" w:eastAsia="ko-KR"/>
        </w:rPr>
        <w:t xml:space="preserve"> 100.4</w:t>
      </w:r>
      <w:r w:rsidR="001D7CBF" w:rsidRPr="00FA2397">
        <w:rPr>
          <w:lang w:val="en-CA" w:eastAsia="ko-KR"/>
        </w:rPr>
        <w:t>% (DecT)</w:t>
      </w:r>
    </w:p>
    <w:p w14:paraId="60DBABB4" w14:textId="7B35FD24" w:rsidR="001D7CBF" w:rsidRDefault="001D27AA" w:rsidP="009234A5">
      <w:pPr>
        <w:rPr>
          <w:szCs w:val="22"/>
          <w:lang w:val="en-CA"/>
        </w:rPr>
      </w:pPr>
      <w:r>
        <w:rPr>
          <w:lang w:val="en-CA" w:eastAsia="ko-KR"/>
        </w:rPr>
        <w:t>Test 1.1b:</w:t>
      </w:r>
    </w:p>
    <w:p w14:paraId="7F04884C" w14:textId="58A308C6" w:rsidR="001D27AA" w:rsidRDefault="001D27AA" w:rsidP="001D27AA">
      <w:pPr>
        <w:ind w:leftChars="100" w:left="220"/>
        <w:rPr>
          <w:lang w:val="en-CA" w:eastAsia="ko-KR"/>
        </w:rPr>
      </w:pPr>
      <w:r w:rsidRPr="00FA2397">
        <w:rPr>
          <w:lang w:val="en-CA" w:eastAsia="ko-KR"/>
        </w:rPr>
        <w:t>AI:</w:t>
      </w:r>
      <w:r>
        <w:rPr>
          <w:lang w:val="en-CA" w:eastAsia="ko-KR"/>
        </w:rPr>
        <w:t xml:space="preserve"> -0.43</w:t>
      </w:r>
      <w:r w:rsidRPr="00FA2397">
        <w:rPr>
          <w:lang w:val="en-CA" w:eastAsia="ko-KR"/>
        </w:rPr>
        <w:t>%</w:t>
      </w:r>
      <w:r>
        <w:rPr>
          <w:lang w:val="en-CA" w:eastAsia="ko-KR"/>
        </w:rPr>
        <w:t>/</w:t>
      </w:r>
      <w:r w:rsidRPr="00FA2397">
        <w:rPr>
          <w:lang w:val="en-CA" w:eastAsia="ko-KR"/>
        </w:rPr>
        <w:t>-0.</w:t>
      </w:r>
      <w:r>
        <w:rPr>
          <w:lang w:val="en-CA" w:eastAsia="ko-KR"/>
        </w:rPr>
        <w:t>67</w:t>
      </w:r>
      <w:r w:rsidRPr="00FA2397">
        <w:rPr>
          <w:lang w:val="en-CA" w:eastAsia="ko-KR"/>
        </w:rPr>
        <w:t>%</w:t>
      </w:r>
      <w:r>
        <w:rPr>
          <w:lang w:val="en-CA" w:eastAsia="ko-KR"/>
        </w:rPr>
        <w:t>/</w:t>
      </w:r>
      <w:r w:rsidRPr="00FA2397">
        <w:rPr>
          <w:lang w:val="en-CA" w:eastAsia="ko-KR"/>
        </w:rPr>
        <w:t>-0.</w:t>
      </w:r>
      <w:r>
        <w:rPr>
          <w:lang w:val="en-CA" w:eastAsia="ko-KR"/>
        </w:rPr>
        <w:t>74</w:t>
      </w:r>
      <w:r w:rsidRPr="00FA2397">
        <w:rPr>
          <w:lang w:val="en-CA" w:eastAsia="ko-KR"/>
        </w:rPr>
        <w:t>%</w:t>
      </w:r>
      <w:r>
        <w:rPr>
          <w:lang w:val="en-CA" w:eastAsia="ko-KR"/>
        </w:rPr>
        <w:t xml:space="preserve"> (Y/U/V</w:t>
      </w:r>
      <w:r w:rsidRPr="00FA2397">
        <w:rPr>
          <w:lang w:val="en-CA" w:eastAsia="ko-KR"/>
        </w:rPr>
        <w:t>)</w:t>
      </w:r>
      <w:r>
        <w:rPr>
          <w:lang w:val="en-CA" w:eastAsia="ko-KR"/>
        </w:rPr>
        <w:t>, 171.8</w:t>
      </w:r>
      <w:r w:rsidRPr="00FA2397">
        <w:rPr>
          <w:lang w:val="en-CA" w:eastAsia="ko-KR"/>
        </w:rPr>
        <w:t>%</w:t>
      </w:r>
      <w:r>
        <w:rPr>
          <w:lang w:val="en-CA" w:eastAsia="ko-KR"/>
        </w:rPr>
        <w:t xml:space="preserve"> </w:t>
      </w:r>
      <w:r w:rsidRPr="00FA2397">
        <w:rPr>
          <w:lang w:val="en-CA" w:eastAsia="ko-KR"/>
        </w:rPr>
        <w:t>(EncT)</w:t>
      </w:r>
      <w:r>
        <w:rPr>
          <w:lang w:val="en-CA" w:eastAsia="ko-KR"/>
        </w:rPr>
        <w:t>, 102.2</w:t>
      </w:r>
      <w:r w:rsidRPr="00FA2397">
        <w:rPr>
          <w:lang w:val="en-CA" w:eastAsia="ko-KR"/>
        </w:rPr>
        <w:t>% (DecT)</w:t>
      </w:r>
    </w:p>
    <w:p w14:paraId="6BEDBDB9" w14:textId="7DED2001" w:rsidR="001D27AA" w:rsidRDefault="001D27AA" w:rsidP="001D27AA">
      <w:pPr>
        <w:ind w:leftChars="100" w:left="220"/>
        <w:rPr>
          <w:lang w:val="en-CA" w:eastAsia="ko-KR"/>
        </w:rPr>
      </w:pPr>
      <w:r>
        <w:rPr>
          <w:lang w:val="en-CA" w:eastAsia="ko-KR"/>
        </w:rPr>
        <w:t>RA: -</w:t>
      </w:r>
      <w:r w:rsidRPr="00854B04">
        <w:rPr>
          <w:highlight w:val="yellow"/>
          <w:lang w:val="en-CA" w:eastAsia="ko-KR"/>
        </w:rPr>
        <w:t>X.XX</w:t>
      </w:r>
      <w:r w:rsidRPr="00FA2397">
        <w:rPr>
          <w:lang w:val="en-CA" w:eastAsia="ko-KR"/>
        </w:rPr>
        <w:t>%</w:t>
      </w:r>
      <w:r>
        <w:rPr>
          <w:lang w:val="en-CA" w:eastAsia="ko-KR"/>
        </w:rPr>
        <w:t>/</w:t>
      </w:r>
      <w:r w:rsidRPr="00FA2397">
        <w:rPr>
          <w:lang w:val="en-CA" w:eastAsia="ko-KR"/>
        </w:rPr>
        <w:t>-</w:t>
      </w:r>
      <w:r w:rsidRPr="00854B04">
        <w:rPr>
          <w:highlight w:val="yellow"/>
          <w:lang w:val="en-CA" w:eastAsia="ko-KR"/>
        </w:rPr>
        <w:t>X.XX</w:t>
      </w:r>
      <w:r w:rsidRPr="00FA2397">
        <w:rPr>
          <w:lang w:val="en-CA" w:eastAsia="ko-KR"/>
        </w:rPr>
        <w:t>%</w:t>
      </w:r>
      <w:r>
        <w:rPr>
          <w:lang w:val="en-CA" w:eastAsia="ko-KR"/>
        </w:rPr>
        <w:t>/</w:t>
      </w:r>
      <w:r w:rsidRPr="00FA2397">
        <w:rPr>
          <w:lang w:val="en-CA" w:eastAsia="ko-KR"/>
        </w:rPr>
        <w:t>-</w:t>
      </w:r>
      <w:r w:rsidRPr="00854B04">
        <w:rPr>
          <w:highlight w:val="yellow"/>
          <w:lang w:val="en-CA" w:eastAsia="ko-KR"/>
        </w:rPr>
        <w:t>X.XX</w:t>
      </w:r>
      <w:r w:rsidRPr="00FA2397">
        <w:rPr>
          <w:lang w:val="en-CA" w:eastAsia="ko-KR"/>
        </w:rPr>
        <w:t>% (</w:t>
      </w:r>
      <w:r>
        <w:rPr>
          <w:lang w:val="en-CA" w:eastAsia="ko-KR"/>
        </w:rPr>
        <w:t>Y/U/</w:t>
      </w:r>
      <w:r w:rsidRPr="00FA2397">
        <w:rPr>
          <w:lang w:val="en-CA" w:eastAsia="ko-KR"/>
        </w:rPr>
        <w:t>V)</w:t>
      </w:r>
      <w:r>
        <w:rPr>
          <w:lang w:val="en-CA" w:eastAsia="ko-KR"/>
        </w:rPr>
        <w:t>,</w:t>
      </w:r>
      <w:r w:rsidRPr="00FA2397">
        <w:rPr>
          <w:lang w:val="en-CA" w:eastAsia="ko-KR"/>
        </w:rPr>
        <w:t xml:space="preserve"> </w:t>
      </w:r>
      <w:r w:rsidRPr="00854B04">
        <w:rPr>
          <w:highlight w:val="yellow"/>
          <w:lang w:val="en-CA" w:eastAsia="ko-KR"/>
        </w:rPr>
        <w:t>XXX.X</w:t>
      </w:r>
      <w:r w:rsidRPr="00FA2397">
        <w:rPr>
          <w:lang w:val="en-CA" w:eastAsia="ko-KR"/>
        </w:rPr>
        <w:t>% (EncT)</w:t>
      </w:r>
      <w:r>
        <w:rPr>
          <w:lang w:val="en-CA" w:eastAsia="ko-KR"/>
        </w:rPr>
        <w:t>,</w:t>
      </w:r>
      <w:r w:rsidRPr="00FA2397">
        <w:rPr>
          <w:lang w:val="en-CA" w:eastAsia="ko-KR"/>
        </w:rPr>
        <w:t xml:space="preserve"> </w:t>
      </w:r>
      <w:r w:rsidRPr="00854B04">
        <w:rPr>
          <w:highlight w:val="yellow"/>
          <w:lang w:val="en-CA" w:eastAsia="ko-KR"/>
        </w:rPr>
        <w:t>XXX.X</w:t>
      </w:r>
      <w:r w:rsidRPr="00FA2397">
        <w:rPr>
          <w:lang w:val="en-CA" w:eastAsia="ko-KR"/>
        </w:rPr>
        <w:t>% (DecT</w:t>
      </w:r>
      <w:r>
        <w:rPr>
          <w:lang w:val="en-CA" w:eastAsia="ko-KR"/>
        </w:rPr>
        <w:t>)</w:t>
      </w:r>
    </w:p>
    <w:p w14:paraId="71A50F11" w14:textId="3905B1F3" w:rsidR="000D4D91" w:rsidRPr="001D27AA" w:rsidRDefault="001D27AA" w:rsidP="00854B04">
      <w:pPr>
        <w:ind w:leftChars="100" w:left="220"/>
        <w:rPr>
          <w:szCs w:val="22"/>
          <w:lang w:val="en-CA"/>
        </w:rPr>
      </w:pPr>
      <w:r>
        <w:rPr>
          <w:lang w:val="en-CA" w:eastAsia="ko-KR"/>
        </w:rPr>
        <w:t>LDB: -</w:t>
      </w:r>
      <w:r w:rsidR="00AD7620">
        <w:rPr>
          <w:lang w:val="en-CA" w:eastAsia="ko-KR"/>
        </w:rPr>
        <w:t>0.77</w:t>
      </w:r>
      <w:r w:rsidRPr="00FA2397">
        <w:rPr>
          <w:lang w:val="en-CA" w:eastAsia="ko-KR"/>
        </w:rPr>
        <w:t>%</w:t>
      </w:r>
      <w:r>
        <w:rPr>
          <w:lang w:val="en-CA" w:eastAsia="ko-KR"/>
        </w:rPr>
        <w:t>/</w:t>
      </w:r>
      <w:r w:rsidRPr="00FA2397">
        <w:rPr>
          <w:lang w:val="en-CA" w:eastAsia="ko-KR"/>
        </w:rPr>
        <w:t>-</w:t>
      </w:r>
      <w:r w:rsidR="00AD7620">
        <w:rPr>
          <w:lang w:val="en-CA" w:eastAsia="ko-KR"/>
        </w:rPr>
        <w:t>1.05</w:t>
      </w:r>
      <w:r w:rsidRPr="00FA2397">
        <w:rPr>
          <w:lang w:val="en-CA" w:eastAsia="ko-KR"/>
        </w:rPr>
        <w:t>%</w:t>
      </w:r>
      <w:r>
        <w:rPr>
          <w:lang w:val="en-CA" w:eastAsia="ko-KR"/>
        </w:rPr>
        <w:t>/</w:t>
      </w:r>
      <w:r w:rsidRPr="00FA2397">
        <w:rPr>
          <w:lang w:val="en-CA" w:eastAsia="ko-KR"/>
        </w:rPr>
        <w:t>-</w:t>
      </w:r>
      <w:r w:rsidR="00AD7620">
        <w:rPr>
          <w:lang w:val="en-CA" w:eastAsia="ko-KR"/>
        </w:rPr>
        <w:t>1.37</w:t>
      </w:r>
      <w:r w:rsidRPr="00FA2397">
        <w:rPr>
          <w:lang w:val="en-CA" w:eastAsia="ko-KR"/>
        </w:rPr>
        <w:t>% (</w:t>
      </w:r>
      <w:r>
        <w:rPr>
          <w:lang w:val="en-CA" w:eastAsia="ko-KR"/>
        </w:rPr>
        <w:t>Y/U/</w:t>
      </w:r>
      <w:r w:rsidRPr="00FA2397">
        <w:rPr>
          <w:lang w:val="en-CA" w:eastAsia="ko-KR"/>
        </w:rPr>
        <w:t>V)</w:t>
      </w:r>
      <w:r>
        <w:rPr>
          <w:lang w:val="en-CA" w:eastAsia="ko-KR"/>
        </w:rPr>
        <w:t>,</w:t>
      </w:r>
      <w:r w:rsidRPr="00FA2397">
        <w:rPr>
          <w:lang w:val="en-CA" w:eastAsia="ko-KR"/>
        </w:rPr>
        <w:t xml:space="preserve"> </w:t>
      </w:r>
      <w:r w:rsidR="00AD7620">
        <w:rPr>
          <w:lang w:val="en-CA" w:eastAsia="ko-KR"/>
        </w:rPr>
        <w:t>160.8</w:t>
      </w:r>
      <w:r w:rsidRPr="00FA2397">
        <w:rPr>
          <w:lang w:val="en-CA" w:eastAsia="ko-KR"/>
        </w:rPr>
        <w:t>% (EncT)</w:t>
      </w:r>
      <w:r>
        <w:rPr>
          <w:lang w:val="en-CA" w:eastAsia="ko-KR"/>
        </w:rPr>
        <w:t>,</w:t>
      </w:r>
      <w:r w:rsidRPr="00FA2397">
        <w:rPr>
          <w:lang w:val="en-CA" w:eastAsia="ko-KR"/>
        </w:rPr>
        <w:t xml:space="preserve"> </w:t>
      </w:r>
      <w:r w:rsidR="00AD7620">
        <w:rPr>
          <w:lang w:val="en-CA" w:eastAsia="ko-KR"/>
        </w:rPr>
        <w:t>101.7</w:t>
      </w:r>
      <w:r w:rsidRPr="00FA2397">
        <w:rPr>
          <w:lang w:val="en-CA" w:eastAsia="ko-KR"/>
        </w:rPr>
        <w:t>% (DecT</w:t>
      </w:r>
      <w:r>
        <w:rPr>
          <w:lang w:val="en-CA" w:eastAsia="ko-KR"/>
        </w:rPr>
        <w:t>)</w:t>
      </w:r>
    </w:p>
    <w:p w14:paraId="7D2AC1F0" w14:textId="64FD5234" w:rsidR="00745F6B" w:rsidRPr="005B217D" w:rsidRDefault="001D7CBF" w:rsidP="00E11923">
      <w:pPr>
        <w:pStyle w:val="1"/>
        <w:rPr>
          <w:lang w:val="en-CA"/>
        </w:rPr>
      </w:pPr>
      <w:r>
        <w:rPr>
          <w:lang w:val="en-CA"/>
        </w:rPr>
        <w:t>Introduction</w:t>
      </w:r>
    </w:p>
    <w:p w14:paraId="1539A21D" w14:textId="5104DDE1" w:rsidR="001F2594" w:rsidRDefault="000D4D91" w:rsidP="001D7CBF">
      <w:pPr>
        <w:rPr>
          <w:lang w:val="en-CA"/>
        </w:rPr>
      </w:pPr>
      <w:r>
        <w:rPr>
          <w:rFonts w:hint="eastAsia"/>
          <w:szCs w:val="22"/>
          <w:lang w:val="en-CA" w:eastAsia="ko-KR"/>
        </w:rPr>
        <w:t>I</w:t>
      </w:r>
      <w:r>
        <w:rPr>
          <w:szCs w:val="22"/>
          <w:lang w:val="en-CA" w:eastAsia="ko-KR"/>
        </w:rPr>
        <w:t>n the current VVC and ECM, quadtree partitioning is applied to only square blocks (2</w:t>
      </w:r>
      <w:r>
        <w:rPr>
          <w:rFonts w:hint="eastAsia"/>
          <w:szCs w:val="22"/>
          <w:lang w:val="en-CA" w:eastAsia="ko-KR"/>
        </w:rPr>
        <w:t>N</w:t>
      </w:r>
      <w:r>
        <w:rPr>
          <w:lang w:val="en-CA" w:eastAsia="ko-KR"/>
        </w:rPr>
        <w:t>×</w:t>
      </w:r>
      <w:r>
        <w:rPr>
          <w:szCs w:val="22"/>
          <w:lang w:val="en-CA" w:eastAsia="ko-KR"/>
        </w:rPr>
        <w:t xml:space="preserve">2N) which are not split with binary or ternary tree while binary and ternary tree partitioning can be applied to both square and non-square blocks. </w:t>
      </w:r>
      <w:r w:rsidR="00276831">
        <w:rPr>
          <w:szCs w:val="22"/>
          <w:lang w:val="en-CA"/>
        </w:rPr>
        <w:t>In</w:t>
      </w:r>
      <w:r w:rsidR="001D7CBF">
        <w:rPr>
          <w:szCs w:val="22"/>
          <w:lang w:val="en-CA"/>
        </w:rPr>
        <w:t xml:space="preserve"> the JVET-AE meeting, JVET-AE0082 [1] was proposed to allow quadtree partitioning is also applied to non-square blocks of which shapes are </w:t>
      </w:r>
      <w:r w:rsidR="001D7CBF">
        <w:rPr>
          <w:lang w:val="en-CA"/>
        </w:rPr>
        <w:t>2N</w:t>
      </w:r>
      <w:r w:rsidR="001D7CBF">
        <w:rPr>
          <w:lang w:val="en-CA" w:eastAsia="ko-KR"/>
        </w:rPr>
        <w:t>×</w:t>
      </w:r>
      <w:r w:rsidR="001D7CBF">
        <w:rPr>
          <w:lang w:val="en-CA"/>
        </w:rPr>
        <w:t>N and N</w:t>
      </w:r>
      <w:r w:rsidR="001D7CBF">
        <w:rPr>
          <w:lang w:val="en-CA" w:eastAsia="ko-KR"/>
        </w:rPr>
        <w:t>×</w:t>
      </w:r>
      <w:r w:rsidR="001D7CBF">
        <w:rPr>
          <w:lang w:val="en-CA"/>
        </w:rPr>
        <w:t>2N. The proposed partitioning method was agreed to be included in the EE2 Test 1.1 for further study and evaluation.</w:t>
      </w:r>
    </w:p>
    <w:p w14:paraId="39A6C2D3" w14:textId="77777777" w:rsidR="000D4D91" w:rsidRPr="001D7CBF" w:rsidRDefault="000D4D91" w:rsidP="000D4D91">
      <w:pPr>
        <w:rPr>
          <w:szCs w:val="22"/>
          <w:lang w:val="en-CA"/>
        </w:rPr>
      </w:pPr>
    </w:p>
    <w:p w14:paraId="4D8CEF0B" w14:textId="22986952" w:rsidR="000D4D91" w:rsidRPr="005B217D" w:rsidRDefault="000D4D91" w:rsidP="000D4D91">
      <w:pPr>
        <w:pStyle w:val="1"/>
        <w:rPr>
          <w:lang w:val="en-CA"/>
        </w:rPr>
      </w:pPr>
      <w:r>
        <w:rPr>
          <w:rFonts w:hint="eastAsia"/>
          <w:lang w:val="en-CA" w:eastAsia="ko-KR"/>
        </w:rPr>
        <w:lastRenderedPageBreak/>
        <w:t>P</w:t>
      </w:r>
      <w:r>
        <w:rPr>
          <w:lang w:val="en-CA" w:eastAsia="ko-KR"/>
        </w:rPr>
        <w:t>roposed methods</w:t>
      </w:r>
    </w:p>
    <w:p w14:paraId="708DD5AB" w14:textId="4D12FD46" w:rsidR="000D4D91" w:rsidRDefault="000D4D91" w:rsidP="000D4D91">
      <w:pPr>
        <w:rPr>
          <w:lang w:val="en-CA" w:eastAsia="ko-KR"/>
        </w:rPr>
      </w:pPr>
      <w:r>
        <w:rPr>
          <w:rFonts w:hint="eastAsia"/>
          <w:lang w:val="en-CA" w:eastAsia="ko-KR"/>
        </w:rPr>
        <w:t>I</w:t>
      </w:r>
      <w:r>
        <w:rPr>
          <w:lang w:val="en-CA" w:eastAsia="ko-KR"/>
        </w:rPr>
        <w:t>n the JVET-AE0082, quadtree partitioning for non-square blocks was proposed. Technical details of the proposed method are described in the following subsections:</w:t>
      </w:r>
    </w:p>
    <w:p w14:paraId="0C4AEA79" w14:textId="77777777" w:rsidR="000D4D91" w:rsidRDefault="000D4D91" w:rsidP="000D4D91">
      <w:pPr>
        <w:rPr>
          <w:lang w:val="en-CA" w:eastAsia="ko-KR"/>
        </w:rPr>
      </w:pPr>
    </w:p>
    <w:p w14:paraId="3111E66B" w14:textId="77777777" w:rsidR="000D4D91" w:rsidRDefault="000D4D91" w:rsidP="000D4D91">
      <w:pPr>
        <w:pStyle w:val="2"/>
        <w:tabs>
          <w:tab w:val="clear" w:pos="1800"/>
          <w:tab w:val="clear" w:pos="2160"/>
          <w:tab w:val="clear" w:pos="2520"/>
          <w:tab w:val="clear" w:pos="2880"/>
          <w:tab w:val="clear" w:pos="3240"/>
          <w:tab w:val="clear" w:pos="3600"/>
          <w:tab w:val="clear" w:pos="3960"/>
          <w:tab w:val="clear" w:pos="4320"/>
        </w:tabs>
        <w:jc w:val="left"/>
        <w:rPr>
          <w:lang w:eastAsia="ko-KR"/>
        </w:rPr>
      </w:pPr>
      <w:r>
        <w:rPr>
          <w:rFonts w:hint="eastAsia"/>
          <w:lang w:eastAsia="ko-KR"/>
        </w:rPr>
        <w:t>B</w:t>
      </w:r>
      <w:r>
        <w:rPr>
          <w:lang w:eastAsia="ko-KR"/>
        </w:rPr>
        <w:t>lock shapes and sizes</w:t>
      </w:r>
    </w:p>
    <w:p w14:paraId="16C17522" w14:textId="3E1CFF52" w:rsidR="000D4D91" w:rsidRDefault="000D4D91" w:rsidP="000D4D91">
      <w:pPr>
        <w:rPr>
          <w:lang w:val="en-CA" w:eastAsia="ko-KR"/>
        </w:rPr>
      </w:pPr>
      <w:r>
        <w:rPr>
          <w:rFonts w:hint="eastAsia"/>
          <w:lang w:val="en-CA" w:eastAsia="ko-KR"/>
        </w:rPr>
        <w:t>T</w:t>
      </w:r>
      <w:r>
        <w:rPr>
          <w:lang w:val="en-CA" w:eastAsia="ko-KR"/>
        </w:rPr>
        <w:t xml:space="preserve">he current VVC and ECM </w:t>
      </w:r>
      <w:r w:rsidR="0012391C">
        <w:rPr>
          <w:lang w:val="en-CA" w:eastAsia="ko-KR"/>
        </w:rPr>
        <w:t>imposes restriction of allowing quadtree partitioning for any non-square blocks</w:t>
      </w:r>
      <w:r>
        <w:rPr>
          <w:lang w:val="en-CA" w:eastAsia="ko-KR"/>
        </w:rPr>
        <w:t xml:space="preserve">. The proposed partitioning method additionally allows quadtree partitioning for non-square blocks of which </w:t>
      </w:r>
      <w:r w:rsidRPr="0041098F">
        <w:rPr>
          <w:lang w:val="en-CA" w:eastAsia="ko-KR"/>
        </w:rPr>
        <w:t>block shapes</w:t>
      </w:r>
      <w:r w:rsidRPr="00CB3FAA">
        <w:rPr>
          <w:lang w:val="en-CA" w:eastAsia="ko-KR"/>
        </w:rPr>
        <w:t xml:space="preserve"> are 2N</w:t>
      </w:r>
      <w:r>
        <w:rPr>
          <w:lang w:val="en-CA" w:eastAsia="ko-KR"/>
        </w:rPr>
        <w:t>×</w:t>
      </w:r>
      <w:r w:rsidRPr="00CB3FAA">
        <w:rPr>
          <w:lang w:val="en-CA" w:eastAsia="ko-KR"/>
        </w:rPr>
        <w:t>N and N</w:t>
      </w:r>
      <w:r>
        <w:rPr>
          <w:lang w:val="en-CA" w:eastAsia="ko-KR"/>
        </w:rPr>
        <w:t>×</w:t>
      </w:r>
      <w:r w:rsidRPr="00CB3FAA">
        <w:rPr>
          <w:lang w:val="en-CA" w:eastAsia="ko-KR"/>
        </w:rPr>
        <w:t>2N.</w:t>
      </w:r>
    </w:p>
    <w:p w14:paraId="16B76029" w14:textId="77777777" w:rsidR="000D4D91" w:rsidRPr="006416FC" w:rsidRDefault="000D4D91" w:rsidP="000D4D91">
      <w:pPr>
        <w:rPr>
          <w:lang w:val="en-CA" w:eastAsia="ko-KR"/>
        </w:rPr>
      </w:pPr>
      <w:r>
        <w:rPr>
          <w:lang w:val="en-CA" w:eastAsia="ko-KR"/>
        </w:rPr>
        <w:t>Specifically, it is applied for block sizes which are greater than or equal to minimum block size (i.e. 16×8 or 8×16). The minimum block size depends on picture size and configuration. The proposed method doesn’t set the specific maximum block size for the non-square quadtree partitioning. The maximum block sizes can be decided according to the maximum block sizes for binary or ternary tree partitioning. Under the common test conditions, the largest block sizes for the non-square quadtree partitioning are 128×64 or 64×128 for Class A/B and 64×32 or 32×64 for other classes.</w:t>
      </w:r>
      <w:r w:rsidRPr="006416FC" w:rsidDel="005505E2">
        <w:rPr>
          <w:lang w:val="en-CA" w:eastAsia="ko-KR"/>
        </w:rPr>
        <w:t xml:space="preserve"> </w:t>
      </w:r>
    </w:p>
    <w:p w14:paraId="13F0D153" w14:textId="77777777" w:rsidR="000D4D91" w:rsidRDefault="000D4D91" w:rsidP="000D4D91">
      <w:pPr>
        <w:keepNext/>
        <w:jc w:val="center"/>
      </w:pPr>
      <w:r w:rsidRPr="00CB3FAA">
        <w:rPr>
          <w:noProof/>
          <w:lang w:eastAsia="ko-KR"/>
        </w:rPr>
        <w:drawing>
          <wp:inline distT="0" distB="0" distL="0" distR="0" wp14:anchorId="575EBD60" wp14:editId="6893DDD8">
            <wp:extent cx="5943600" cy="4500245"/>
            <wp:effectExtent l="0" t="0" r="0" b="0"/>
            <wp:docPr id="29"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pic:cNvPicPr>
                  </pic:nvPicPr>
                  <pic:blipFill>
                    <a:blip r:embed="rId10"/>
                    <a:stretch>
                      <a:fillRect/>
                    </a:stretch>
                  </pic:blipFill>
                  <pic:spPr>
                    <a:xfrm>
                      <a:off x="0" y="0"/>
                      <a:ext cx="5943600" cy="4500245"/>
                    </a:xfrm>
                    <a:prstGeom prst="rect">
                      <a:avLst/>
                    </a:prstGeom>
                  </pic:spPr>
                </pic:pic>
              </a:graphicData>
            </a:graphic>
          </wp:inline>
        </w:drawing>
      </w:r>
    </w:p>
    <w:p w14:paraId="189B1B1F" w14:textId="0DCCD825" w:rsidR="000D4D91" w:rsidRDefault="000D4D91" w:rsidP="000D4D91">
      <w:pPr>
        <w:pStyle w:val="ab"/>
        <w:jc w:val="center"/>
      </w:pPr>
      <w:r>
        <w:t xml:space="preserve">Figure </w:t>
      </w:r>
      <w:r w:rsidR="005E703B">
        <w:fldChar w:fldCharType="begin"/>
      </w:r>
      <w:r w:rsidR="005E703B">
        <w:instrText xml:space="preserve"> SEQ Figure \* ARABIC </w:instrText>
      </w:r>
      <w:r w:rsidR="005E703B">
        <w:fldChar w:fldCharType="separate"/>
      </w:r>
      <w:r w:rsidR="00C22F71">
        <w:rPr>
          <w:noProof/>
        </w:rPr>
        <w:t>1</w:t>
      </w:r>
      <w:r w:rsidR="005E703B">
        <w:rPr>
          <w:noProof/>
        </w:rPr>
        <w:fldChar w:fldCharType="end"/>
      </w:r>
      <w:r>
        <w:t>. Block partitioning syntaxes of VVC and ECM with the proposed non-square quadtree partitions</w:t>
      </w:r>
    </w:p>
    <w:p w14:paraId="116C300F" w14:textId="77777777" w:rsidR="000D4D91" w:rsidRPr="00D151E0" w:rsidRDefault="000D4D91" w:rsidP="000D4D91"/>
    <w:p w14:paraId="7E7C60F9" w14:textId="7698CF86" w:rsidR="000D4D91" w:rsidRDefault="000D4D91" w:rsidP="000D4D91">
      <w:pPr>
        <w:pStyle w:val="2"/>
        <w:tabs>
          <w:tab w:val="clear" w:pos="1800"/>
          <w:tab w:val="clear" w:pos="2160"/>
          <w:tab w:val="clear" w:pos="2520"/>
          <w:tab w:val="clear" w:pos="2880"/>
          <w:tab w:val="clear" w:pos="3240"/>
          <w:tab w:val="clear" w:pos="3600"/>
          <w:tab w:val="clear" w:pos="3960"/>
          <w:tab w:val="clear" w:pos="4320"/>
        </w:tabs>
        <w:jc w:val="left"/>
        <w:rPr>
          <w:lang w:eastAsia="ko-KR"/>
        </w:rPr>
      </w:pPr>
      <w:r>
        <w:rPr>
          <w:rFonts w:hint="eastAsia"/>
          <w:lang w:eastAsia="ko-KR"/>
        </w:rPr>
        <w:lastRenderedPageBreak/>
        <w:t>Syntax signal</w:t>
      </w:r>
      <w:r>
        <w:rPr>
          <w:lang w:eastAsia="ko-KR"/>
        </w:rPr>
        <w:t>l</w:t>
      </w:r>
      <w:r>
        <w:rPr>
          <w:rFonts w:hint="eastAsia"/>
          <w:lang w:eastAsia="ko-KR"/>
        </w:rPr>
        <w:t>ing</w:t>
      </w:r>
    </w:p>
    <w:p w14:paraId="04A13323" w14:textId="3E082380" w:rsidR="000D4D91" w:rsidRDefault="000D4D91" w:rsidP="000D4D91">
      <w:pPr>
        <w:rPr>
          <w:lang w:val="en-CA" w:eastAsia="ko-KR"/>
        </w:rPr>
      </w:pPr>
      <w:r>
        <w:rPr>
          <w:lang w:val="en-CA" w:eastAsia="ko-KR"/>
        </w:rPr>
        <w:t xml:space="preserve">In Figure </w:t>
      </w:r>
      <w:r w:rsidR="00C22F71">
        <w:rPr>
          <w:lang w:val="en-CA" w:eastAsia="ko-KR"/>
        </w:rPr>
        <w:t>1</w:t>
      </w:r>
      <w:r>
        <w:rPr>
          <w:lang w:val="en-CA" w:eastAsia="ko-KR"/>
        </w:rPr>
        <w:t xml:space="preserve">, a basic idea and syntax structure of block partitioning for the proposed method are described. </w:t>
      </w:r>
      <w:r>
        <w:rPr>
          <w:rFonts w:hint="eastAsia"/>
          <w:lang w:val="en-CA" w:eastAsia="ko-KR"/>
        </w:rPr>
        <w:t>A</w:t>
      </w:r>
      <w:r w:rsidR="00C22F71">
        <w:rPr>
          <w:lang w:val="en-CA" w:eastAsia="ko-KR"/>
        </w:rPr>
        <w:t>s shown in Figure 1</w:t>
      </w:r>
      <w:r>
        <w:rPr>
          <w:lang w:val="en-CA" w:eastAsia="ko-KR"/>
        </w:rPr>
        <w:t>, the proposed method has no additional syntax for non</w:t>
      </w:r>
      <w:r w:rsidR="00C22F71">
        <w:rPr>
          <w:lang w:val="en-CA" w:eastAsia="ko-KR"/>
        </w:rPr>
        <w:t xml:space="preserve">-square quadtree partitioning. </w:t>
      </w:r>
      <w:r>
        <w:rPr>
          <w:lang w:val="en-CA" w:eastAsia="ko-KR"/>
        </w:rPr>
        <w:t xml:space="preserve">The proposed partitioning method uses </w:t>
      </w:r>
      <w:r w:rsidRPr="006069AA">
        <w:rPr>
          <w:i/>
          <w:iCs/>
          <w:lang w:val="en-CA" w:eastAsia="ko-KR"/>
        </w:rPr>
        <w:t>split_qt_flag</w:t>
      </w:r>
      <w:r>
        <w:rPr>
          <w:lang w:val="en-CA" w:eastAsia="ko-KR"/>
        </w:rPr>
        <w:t>, a conventional syntax for quadtree partitioning for square blocks, to signal whether the non-square quadtree partitioning is applied or not. There is no additional syntax for the proposed partitioning, but, this proposal adds a CABAC context for the cases when the non-square quadtree partition can be applied.</w:t>
      </w:r>
    </w:p>
    <w:p w14:paraId="5946A9C2" w14:textId="77777777" w:rsidR="00C22F71" w:rsidRPr="005E3996" w:rsidRDefault="00C22F71" w:rsidP="000D4D91">
      <w:pPr>
        <w:rPr>
          <w:lang w:val="en-CA" w:eastAsia="ko-KR"/>
        </w:rPr>
      </w:pPr>
    </w:p>
    <w:p w14:paraId="4B7B2CF5" w14:textId="77777777" w:rsidR="000D4D91" w:rsidRPr="00887D6C" w:rsidRDefault="000D4D91" w:rsidP="000D4D91">
      <w:pPr>
        <w:pStyle w:val="2"/>
        <w:tabs>
          <w:tab w:val="clear" w:pos="1800"/>
          <w:tab w:val="clear" w:pos="2160"/>
          <w:tab w:val="clear" w:pos="2520"/>
          <w:tab w:val="clear" w:pos="2880"/>
          <w:tab w:val="clear" w:pos="3240"/>
          <w:tab w:val="clear" w:pos="3600"/>
          <w:tab w:val="clear" w:pos="3960"/>
          <w:tab w:val="clear" w:pos="4320"/>
        </w:tabs>
        <w:jc w:val="left"/>
        <w:rPr>
          <w:lang w:eastAsia="ko-KR"/>
        </w:rPr>
      </w:pPr>
      <w:r>
        <w:rPr>
          <w:rFonts w:hint="eastAsia"/>
          <w:lang w:eastAsia="ko-KR"/>
        </w:rPr>
        <w:t xml:space="preserve">Constraint of </w:t>
      </w:r>
      <w:r>
        <w:rPr>
          <w:lang w:eastAsia="ko-KR"/>
        </w:rPr>
        <w:t xml:space="preserve">the conventional </w:t>
      </w:r>
      <w:r>
        <w:rPr>
          <w:rFonts w:hint="eastAsia"/>
          <w:lang w:eastAsia="ko-KR"/>
        </w:rPr>
        <w:t>quadtree partitioning</w:t>
      </w:r>
      <w:r>
        <w:rPr>
          <w:lang w:eastAsia="ko-KR"/>
        </w:rPr>
        <w:t xml:space="preserve"> for square blocks</w:t>
      </w:r>
    </w:p>
    <w:p w14:paraId="4F788D97" w14:textId="6CD36B27" w:rsidR="000D4D91" w:rsidRDefault="000D4D91" w:rsidP="000D4D91">
      <w:pPr>
        <w:rPr>
          <w:lang w:val="en-CA" w:eastAsia="ko-KR"/>
        </w:rPr>
      </w:pPr>
      <w:r w:rsidRPr="001F524B">
        <w:rPr>
          <w:lang w:val="en-CA" w:eastAsia="ko-KR"/>
        </w:rPr>
        <w:t>In the current VVC and ECM, quadtree partition</w:t>
      </w:r>
      <w:r>
        <w:rPr>
          <w:lang w:val="en-CA" w:eastAsia="ko-KR"/>
        </w:rPr>
        <w:t>ing</w:t>
      </w:r>
      <w:r w:rsidRPr="001F524B">
        <w:rPr>
          <w:lang w:val="en-CA" w:eastAsia="ko-KR"/>
        </w:rPr>
        <w:t xml:space="preserve"> for square blocks cannot be applied to a C</w:t>
      </w:r>
      <w:r>
        <w:rPr>
          <w:lang w:val="en-CA" w:eastAsia="ko-KR"/>
        </w:rPr>
        <w:t>U</w:t>
      </w:r>
      <w:r w:rsidRPr="001F524B">
        <w:rPr>
          <w:lang w:val="en-CA" w:eastAsia="ko-KR"/>
        </w:rPr>
        <w:t xml:space="preserve"> if any of its ancestor C</w:t>
      </w:r>
      <w:r>
        <w:rPr>
          <w:lang w:val="en-CA" w:eastAsia="ko-KR"/>
        </w:rPr>
        <w:t>Us</w:t>
      </w:r>
      <w:r w:rsidRPr="001F524B">
        <w:rPr>
          <w:lang w:val="en-CA" w:eastAsia="ko-KR"/>
        </w:rPr>
        <w:t xml:space="preserve"> is split with binary or ternary tree partition</w:t>
      </w:r>
      <w:r>
        <w:rPr>
          <w:lang w:val="en-CA" w:eastAsia="ko-KR"/>
        </w:rPr>
        <w:t>s</w:t>
      </w:r>
      <w:r w:rsidRPr="001F524B">
        <w:rPr>
          <w:lang w:val="en-CA" w:eastAsia="ko-KR"/>
        </w:rPr>
        <w:t xml:space="preserve">. </w:t>
      </w:r>
      <w:r>
        <w:rPr>
          <w:lang w:val="en-CA" w:eastAsia="ko-KR"/>
        </w:rPr>
        <w:t xml:space="preserve">The proposed partitioning method also </w:t>
      </w:r>
      <w:r>
        <w:rPr>
          <w:rFonts w:hint="eastAsia"/>
          <w:lang w:val="en-CA" w:eastAsia="ko-KR"/>
        </w:rPr>
        <w:t xml:space="preserve">keeps </w:t>
      </w:r>
      <w:r>
        <w:rPr>
          <w:lang w:val="en-CA" w:eastAsia="ko-KR"/>
        </w:rPr>
        <w:t>this constraint.</w:t>
      </w:r>
      <w:r w:rsidRPr="001F524B">
        <w:rPr>
          <w:lang w:val="en-CA" w:eastAsia="ko-KR"/>
        </w:rPr>
        <w:t xml:space="preserve"> </w:t>
      </w:r>
      <w:r>
        <w:rPr>
          <w:lang w:val="en-CA" w:eastAsia="ko-KR"/>
        </w:rPr>
        <w:t>Therefore, i</w:t>
      </w:r>
      <w:r w:rsidRPr="001F524B">
        <w:rPr>
          <w:lang w:val="en-CA" w:eastAsia="ko-KR"/>
        </w:rPr>
        <w:t>f any of its ancestor C</w:t>
      </w:r>
      <w:r>
        <w:rPr>
          <w:lang w:val="en-CA" w:eastAsia="ko-KR"/>
        </w:rPr>
        <w:t>Us</w:t>
      </w:r>
      <w:r w:rsidRPr="001F524B">
        <w:rPr>
          <w:lang w:val="en-CA" w:eastAsia="ko-KR"/>
        </w:rPr>
        <w:t xml:space="preserve"> is split with </w:t>
      </w:r>
      <w:r>
        <w:rPr>
          <w:lang w:val="en-CA" w:eastAsia="ko-KR"/>
        </w:rPr>
        <w:t>b</w:t>
      </w:r>
      <w:r w:rsidRPr="001F524B">
        <w:rPr>
          <w:lang w:val="en-CA" w:eastAsia="ko-KR"/>
        </w:rPr>
        <w:t>inary, ternary</w:t>
      </w:r>
      <w:r>
        <w:rPr>
          <w:lang w:val="en-CA" w:eastAsia="ko-KR"/>
        </w:rPr>
        <w:t>, or non-square quad</w:t>
      </w:r>
      <w:r w:rsidRPr="001F524B">
        <w:rPr>
          <w:lang w:val="en-CA" w:eastAsia="ko-KR"/>
        </w:rPr>
        <w:t>tree,</w:t>
      </w:r>
      <w:r>
        <w:rPr>
          <w:lang w:val="en-CA" w:eastAsia="ko-KR"/>
        </w:rPr>
        <w:t xml:space="preserve"> the CU cannot split with</w:t>
      </w:r>
      <w:r w:rsidRPr="001F524B">
        <w:rPr>
          <w:lang w:val="en-CA" w:eastAsia="ko-KR"/>
        </w:rPr>
        <w:t xml:space="preserve"> the quadtree for square bl</w:t>
      </w:r>
      <w:r>
        <w:rPr>
          <w:lang w:val="en-CA" w:eastAsia="ko-KR"/>
        </w:rPr>
        <w:t>ocks</w:t>
      </w:r>
      <w:r w:rsidRPr="001F524B">
        <w:rPr>
          <w:lang w:val="en-CA" w:eastAsia="ko-KR"/>
        </w:rPr>
        <w:t>.</w:t>
      </w:r>
    </w:p>
    <w:p w14:paraId="05C2A59E" w14:textId="361DF33F" w:rsidR="00BC14A4" w:rsidRDefault="00BC14A4" w:rsidP="000D4D91">
      <w:pPr>
        <w:rPr>
          <w:lang w:val="en-CA" w:eastAsia="ko-KR"/>
        </w:rPr>
      </w:pPr>
    </w:p>
    <w:p w14:paraId="36097C39" w14:textId="68BA058F" w:rsidR="00BC14A4" w:rsidRDefault="00BC14A4" w:rsidP="00BC14A4">
      <w:pPr>
        <w:pStyle w:val="2"/>
        <w:rPr>
          <w:lang w:val="en-CA" w:eastAsia="ko-KR"/>
        </w:rPr>
      </w:pPr>
      <w:r>
        <w:rPr>
          <w:rFonts w:hint="eastAsia"/>
          <w:lang w:val="en-CA" w:eastAsia="ko-KR"/>
        </w:rPr>
        <w:t>Fast encoding algorithms</w:t>
      </w:r>
    </w:p>
    <w:p w14:paraId="5CE5DFFE" w14:textId="6FB4DCB2" w:rsidR="001E3681" w:rsidRDefault="00BC14A4" w:rsidP="00BC14A4">
      <w:pPr>
        <w:rPr>
          <w:lang w:val="en-CA" w:eastAsia="ko-KR"/>
        </w:rPr>
      </w:pPr>
      <w:r>
        <w:rPr>
          <w:rFonts w:hint="eastAsia"/>
          <w:lang w:val="en-CA" w:eastAsia="ko-KR"/>
        </w:rPr>
        <w:t xml:space="preserve">In the JVET-AE meeting, </w:t>
      </w:r>
      <w:r w:rsidR="001E3681">
        <w:rPr>
          <w:lang w:val="en-CA" w:eastAsia="ko-KR"/>
        </w:rPr>
        <w:t>the proposed method wa</w:t>
      </w:r>
      <w:r>
        <w:rPr>
          <w:lang w:val="en-CA" w:eastAsia="ko-KR"/>
        </w:rPr>
        <w:t>s requested to reduce encoding time increment</w:t>
      </w:r>
      <w:r w:rsidR="001E3681">
        <w:rPr>
          <w:lang w:val="en-CA" w:eastAsia="ko-KR"/>
        </w:rPr>
        <w:t xml:space="preserve"> in this round of EE. </w:t>
      </w:r>
      <w:r w:rsidR="0012391C">
        <w:rPr>
          <w:lang w:val="en-CA" w:eastAsia="ko-KR"/>
        </w:rPr>
        <w:t>Hence</w:t>
      </w:r>
      <w:r w:rsidR="001E3681">
        <w:rPr>
          <w:lang w:val="en-CA" w:eastAsia="ko-KR"/>
        </w:rPr>
        <w:t xml:space="preserve">, three fast encoding algorithms </w:t>
      </w:r>
      <w:r w:rsidR="0012391C">
        <w:rPr>
          <w:lang w:val="en-CA" w:eastAsia="ko-KR"/>
        </w:rPr>
        <w:t xml:space="preserve">have been </w:t>
      </w:r>
      <w:r w:rsidR="001D27AA">
        <w:rPr>
          <w:lang w:val="en-CA" w:eastAsia="ko-KR"/>
        </w:rPr>
        <w:t>applied to</w:t>
      </w:r>
      <w:r w:rsidR="001E3681">
        <w:rPr>
          <w:lang w:val="en-CA" w:eastAsia="ko-KR"/>
        </w:rPr>
        <w:t xml:space="preserve"> the proposed partitioning method to reduce encoding time.</w:t>
      </w:r>
      <w:r w:rsidR="001E3681">
        <w:rPr>
          <w:rFonts w:hint="eastAsia"/>
          <w:lang w:val="en-CA" w:eastAsia="ko-KR"/>
        </w:rPr>
        <w:t xml:space="preserve"> </w:t>
      </w:r>
      <w:r w:rsidR="001E3681">
        <w:rPr>
          <w:lang w:val="en-CA" w:eastAsia="ko-KR"/>
        </w:rPr>
        <w:t>The first fast encoding algorithm is related to constraints of partitioning depths</w:t>
      </w:r>
      <w:r w:rsidR="0012391C">
        <w:rPr>
          <w:lang w:val="en-CA" w:eastAsia="ko-KR"/>
        </w:rPr>
        <w:t xml:space="preserve"> considering that</w:t>
      </w:r>
      <w:r w:rsidR="001E3681">
        <w:rPr>
          <w:lang w:val="en-CA" w:eastAsia="ko-KR"/>
        </w:rPr>
        <w:t xml:space="preserve"> non-square quadtree (NQT) depth is included into multi-type-tree (MTT) depths. </w:t>
      </w:r>
      <w:r w:rsidR="001D27AA">
        <w:rPr>
          <w:lang w:val="en-CA" w:eastAsia="ko-KR"/>
        </w:rPr>
        <w:t>In addition</w:t>
      </w:r>
      <w:r w:rsidR="001E3681">
        <w:rPr>
          <w:lang w:val="en-CA" w:eastAsia="ko-KR"/>
        </w:rPr>
        <w:t xml:space="preserve">, NQT partitioning is allowed only at once in MTT depths under the common test configurations. The second fast encoding algorithm is an early termination method based on coded block flag (CBF) of the previous </w:t>
      </w:r>
      <w:r w:rsidR="00A1228E">
        <w:rPr>
          <w:lang w:val="en-CA" w:eastAsia="ko-KR"/>
        </w:rPr>
        <w:t xml:space="preserve">coding block split with </w:t>
      </w:r>
      <w:r w:rsidR="001E3681">
        <w:rPr>
          <w:lang w:val="en-CA" w:eastAsia="ko-KR"/>
        </w:rPr>
        <w:t xml:space="preserve">binary tree (BT) </w:t>
      </w:r>
      <w:r w:rsidR="00A1228E">
        <w:rPr>
          <w:lang w:val="en-CA" w:eastAsia="ko-KR"/>
        </w:rPr>
        <w:t xml:space="preserve">or ternary tree (TT) in rate-distortion optimization (RDO) process. The third fast encoding algorithm is </w:t>
      </w:r>
      <w:r w:rsidR="001D27AA">
        <w:rPr>
          <w:lang w:val="en-CA" w:eastAsia="ko-KR"/>
        </w:rPr>
        <w:t xml:space="preserve">an </w:t>
      </w:r>
      <w:r w:rsidR="00A1228E">
        <w:rPr>
          <w:lang w:val="en-CA" w:eastAsia="ko-KR"/>
        </w:rPr>
        <w:t>early termination method based on rd-cost comparison between NO_SPLIT and BT/TT blocks in RDO process.</w:t>
      </w:r>
    </w:p>
    <w:p w14:paraId="18A8D77C" w14:textId="77777777" w:rsidR="001D7CBF" w:rsidRPr="000D4D91" w:rsidRDefault="001D7CBF" w:rsidP="001D7CBF">
      <w:pPr>
        <w:tabs>
          <w:tab w:val="clear" w:pos="360"/>
          <w:tab w:val="clear" w:pos="720"/>
          <w:tab w:val="clear" w:pos="1080"/>
          <w:tab w:val="clear" w:pos="1440"/>
        </w:tabs>
        <w:overflowPunct/>
        <w:autoSpaceDE/>
        <w:autoSpaceDN/>
        <w:adjustRightInd/>
        <w:spacing w:before="0"/>
        <w:textAlignment w:val="auto"/>
        <w:rPr>
          <w:lang w:val="en-CA"/>
        </w:rPr>
      </w:pPr>
    </w:p>
    <w:p w14:paraId="205F6D6A" w14:textId="77777777" w:rsidR="001D7CBF" w:rsidRDefault="001D7CBF" w:rsidP="001D7CBF">
      <w:pPr>
        <w:pStyle w:val="1"/>
        <w:ind w:left="432" w:hanging="432"/>
        <w:rPr>
          <w:lang w:val="en-CA" w:eastAsia="ko-KR"/>
        </w:rPr>
      </w:pPr>
      <w:r>
        <w:rPr>
          <w:rFonts w:hint="eastAsia"/>
          <w:lang w:val="en-CA" w:eastAsia="ko-KR"/>
        </w:rPr>
        <w:t>Experimental results</w:t>
      </w:r>
    </w:p>
    <w:p w14:paraId="07F54C49" w14:textId="35DBB07F" w:rsidR="001D7CBF" w:rsidRDefault="001D7CBF" w:rsidP="001D7CBF">
      <w:pPr>
        <w:rPr>
          <w:lang w:val="en-CA" w:eastAsia="ko-KR"/>
        </w:rPr>
      </w:pPr>
      <w:r>
        <w:rPr>
          <w:lang w:val="en-CA" w:eastAsia="ko-KR"/>
        </w:rPr>
        <w:t>The proposed partitioning method has been implemented in ECM-</w:t>
      </w:r>
      <w:r w:rsidR="00BC14A4">
        <w:rPr>
          <w:lang w:val="en-CA" w:eastAsia="ko-KR"/>
        </w:rPr>
        <w:t>10</w:t>
      </w:r>
      <w:r>
        <w:rPr>
          <w:lang w:val="en-CA" w:eastAsia="ko-KR"/>
        </w:rPr>
        <w:t>.</w:t>
      </w:r>
      <w:r w:rsidR="00BC14A4">
        <w:rPr>
          <w:lang w:val="en-CA" w:eastAsia="ko-KR"/>
        </w:rPr>
        <w:t>0 [2</w:t>
      </w:r>
      <w:r w:rsidRPr="005B1BD2">
        <w:rPr>
          <w:lang w:val="en-CA" w:eastAsia="ko-KR"/>
        </w:rPr>
        <w:t>] and</w:t>
      </w:r>
      <w:r>
        <w:rPr>
          <w:lang w:val="en-CA" w:eastAsia="ko-KR"/>
        </w:rPr>
        <w:t xml:space="preserve"> evaluated under all intra (AI), random access (RA), and low-delay B (LDB) common test configurations </w:t>
      </w:r>
      <w:r w:rsidRPr="005B1BD2">
        <w:rPr>
          <w:lang w:val="en-CA" w:eastAsia="ko-KR"/>
        </w:rPr>
        <w:t>[</w:t>
      </w:r>
      <w:r w:rsidR="00BC14A4">
        <w:rPr>
          <w:lang w:val="en-CA" w:eastAsia="ko-KR"/>
        </w:rPr>
        <w:t>3</w:t>
      </w:r>
      <w:r w:rsidRPr="005B1BD2">
        <w:rPr>
          <w:lang w:val="en-CA" w:eastAsia="ko-KR"/>
        </w:rPr>
        <w:t>]</w:t>
      </w:r>
      <w:r>
        <w:rPr>
          <w:lang w:val="en-CA" w:eastAsia="ko-KR"/>
        </w:rPr>
        <w:t>.</w:t>
      </w:r>
    </w:p>
    <w:p w14:paraId="480EC384" w14:textId="635FE46E" w:rsidR="00BC14A4" w:rsidRDefault="00BC14A4" w:rsidP="001D7CBF">
      <w:pPr>
        <w:rPr>
          <w:lang w:val="en-CA" w:eastAsia="ko-KR"/>
        </w:rPr>
      </w:pPr>
      <w:r>
        <w:rPr>
          <w:lang w:val="en-CA" w:eastAsia="ko-KR"/>
        </w:rPr>
        <w:t>In this EE test, two simulations are tested on top of ECM-10.0 as below:</w:t>
      </w:r>
    </w:p>
    <w:p w14:paraId="70CB33EA" w14:textId="263E6FDD" w:rsidR="00BC14A4" w:rsidRDefault="00BC14A4" w:rsidP="001D7CBF">
      <w:pPr>
        <w:rPr>
          <w:lang w:val="en-CA" w:eastAsia="ko-KR"/>
        </w:rPr>
      </w:pPr>
      <w:r>
        <w:rPr>
          <w:lang w:val="en-CA" w:eastAsia="ko-KR"/>
        </w:rPr>
        <w:t>Test 1.1a: NQT with fast encoding algorithms</w:t>
      </w:r>
    </w:p>
    <w:p w14:paraId="445636BE" w14:textId="47098CB3" w:rsidR="00BC14A4" w:rsidRDefault="00BC14A4" w:rsidP="001D7CBF">
      <w:pPr>
        <w:rPr>
          <w:lang w:val="en-CA" w:eastAsia="ko-KR"/>
        </w:rPr>
      </w:pPr>
      <w:r>
        <w:rPr>
          <w:lang w:val="en-CA" w:eastAsia="ko-KR"/>
        </w:rPr>
        <w:t>Test 1.1b: ECM-10.0 with maximum MTT depth plus 1</w:t>
      </w:r>
    </w:p>
    <w:p w14:paraId="67D29714" w14:textId="2EC73FC5" w:rsidR="00A1228E" w:rsidRDefault="00A1228E" w:rsidP="001D7CBF">
      <w:pPr>
        <w:rPr>
          <w:lang w:val="en-CA" w:eastAsia="ko-KR"/>
        </w:rPr>
      </w:pPr>
      <w:r>
        <w:rPr>
          <w:rFonts w:hint="eastAsia"/>
          <w:lang w:val="en-CA" w:eastAsia="ko-KR"/>
        </w:rPr>
        <w:t>T</w:t>
      </w:r>
      <w:r>
        <w:rPr>
          <w:lang w:val="en-CA" w:eastAsia="ko-KR"/>
        </w:rPr>
        <w:t>he results of Test 1.1a and Test 1.1b are tabulated in Table 1 and Table 2, respectively.</w:t>
      </w:r>
    </w:p>
    <w:p w14:paraId="687C38A6" w14:textId="1E52B6B1" w:rsidR="001D7CBF" w:rsidRDefault="001D7CBF" w:rsidP="001D7CBF">
      <w:pPr>
        <w:rPr>
          <w:lang w:val="en-CA" w:eastAsia="ko-KR"/>
        </w:rPr>
      </w:pPr>
      <w:r>
        <w:rPr>
          <w:rFonts w:hint="eastAsia"/>
          <w:lang w:val="en-CA" w:eastAsia="ko-KR"/>
        </w:rPr>
        <w:t>A</w:t>
      </w:r>
      <w:r>
        <w:rPr>
          <w:lang w:val="en-CA" w:eastAsia="ko-KR"/>
        </w:rPr>
        <w:t>s shown in the below tables, the proposed partitioning method</w:t>
      </w:r>
      <w:r w:rsidR="00A1228E">
        <w:rPr>
          <w:lang w:val="en-CA" w:eastAsia="ko-KR"/>
        </w:rPr>
        <w:t xml:space="preserve"> (Test 1.1a)</w:t>
      </w:r>
      <w:r>
        <w:rPr>
          <w:lang w:val="en-CA" w:eastAsia="ko-KR"/>
        </w:rPr>
        <w:t xml:space="preserve"> provides 0.1</w:t>
      </w:r>
      <w:r w:rsidR="00A1228E">
        <w:rPr>
          <w:lang w:val="en-CA" w:eastAsia="ko-KR"/>
        </w:rPr>
        <w:t>1%, 0.34%, and 0.21% BD-rate savings over ECM-10</w:t>
      </w:r>
      <w:r>
        <w:rPr>
          <w:lang w:val="en-CA" w:eastAsia="ko-KR"/>
        </w:rPr>
        <w:t>.0 under the AI, RA, and LDB configurations, respectively. Encoding time increments are 1</w:t>
      </w:r>
      <w:r w:rsidR="00A1228E">
        <w:rPr>
          <w:lang w:val="en-CA" w:eastAsia="ko-KR"/>
        </w:rPr>
        <w:t>20.9</w:t>
      </w:r>
      <w:r>
        <w:rPr>
          <w:lang w:val="en-CA" w:eastAsia="ko-KR"/>
        </w:rPr>
        <w:t xml:space="preserve">%, </w:t>
      </w:r>
      <w:r w:rsidR="00A1228E">
        <w:rPr>
          <w:lang w:val="en-CA" w:eastAsia="ko-KR"/>
        </w:rPr>
        <w:t>121.9</w:t>
      </w:r>
      <w:r>
        <w:rPr>
          <w:lang w:val="en-CA" w:eastAsia="ko-KR"/>
        </w:rPr>
        <w:t xml:space="preserve">%, and </w:t>
      </w:r>
      <w:r w:rsidR="00A1228E">
        <w:rPr>
          <w:lang w:val="en-CA" w:eastAsia="ko-KR"/>
        </w:rPr>
        <w:t>116.4</w:t>
      </w:r>
      <w:r>
        <w:rPr>
          <w:lang w:val="en-CA" w:eastAsia="ko-KR"/>
        </w:rPr>
        <w:t>% and no meaningful decoding time is observed.</w:t>
      </w:r>
      <w:r w:rsidR="00A1228E">
        <w:rPr>
          <w:lang w:val="en-CA" w:eastAsia="ko-KR"/>
        </w:rPr>
        <w:t xml:space="preserve"> Otherwise, Test 1.1b provides 0.43%,</w:t>
      </w:r>
      <w:r w:rsidR="00854B04">
        <w:rPr>
          <w:lang w:val="en-CA" w:eastAsia="ko-KR"/>
        </w:rPr>
        <w:t xml:space="preserve"> </w:t>
      </w:r>
      <w:r w:rsidR="00854B04" w:rsidRPr="00854B04">
        <w:rPr>
          <w:highlight w:val="yellow"/>
          <w:lang w:val="en-CA" w:eastAsia="ko-KR"/>
        </w:rPr>
        <w:t>X</w:t>
      </w:r>
      <w:r w:rsidR="00A1228E" w:rsidRPr="00854B04">
        <w:rPr>
          <w:highlight w:val="yellow"/>
          <w:lang w:val="en-CA" w:eastAsia="ko-KR"/>
        </w:rPr>
        <w:t>.</w:t>
      </w:r>
      <w:r w:rsidR="00854B04" w:rsidRPr="00854B04">
        <w:rPr>
          <w:highlight w:val="yellow"/>
          <w:lang w:val="en-CA" w:eastAsia="ko-KR"/>
        </w:rPr>
        <w:t>XX</w:t>
      </w:r>
      <w:r w:rsidR="00A1228E">
        <w:rPr>
          <w:lang w:val="en-CA" w:eastAsia="ko-KR"/>
        </w:rPr>
        <w:t xml:space="preserve">%, and </w:t>
      </w:r>
      <w:r w:rsidR="00AD7620" w:rsidRPr="00AD7620">
        <w:rPr>
          <w:lang w:val="en-CA" w:eastAsia="ko-KR"/>
        </w:rPr>
        <w:t>0</w:t>
      </w:r>
      <w:r w:rsidR="00A1228E" w:rsidRPr="00AD7620">
        <w:rPr>
          <w:lang w:val="en-CA" w:eastAsia="ko-KR"/>
        </w:rPr>
        <w:t>.</w:t>
      </w:r>
      <w:r w:rsidR="00AD7620" w:rsidRPr="00AD7620">
        <w:rPr>
          <w:lang w:val="en-CA" w:eastAsia="ko-KR"/>
        </w:rPr>
        <w:t>77</w:t>
      </w:r>
      <w:r w:rsidR="00A1228E">
        <w:rPr>
          <w:lang w:val="en-CA" w:eastAsia="ko-KR"/>
        </w:rPr>
        <w:t xml:space="preserve">% BD-rate savings over ECM-10.0 under the AI, RA, and LDB configurations, respectively. Encoding time increments are 171.8%, </w:t>
      </w:r>
      <w:r w:rsidR="00854B04" w:rsidRPr="00854B04">
        <w:rPr>
          <w:highlight w:val="yellow"/>
          <w:lang w:val="en-CA" w:eastAsia="ko-KR"/>
        </w:rPr>
        <w:t>XXX</w:t>
      </w:r>
      <w:r w:rsidR="00A1228E" w:rsidRPr="00854B04">
        <w:rPr>
          <w:highlight w:val="yellow"/>
          <w:lang w:val="en-CA" w:eastAsia="ko-KR"/>
        </w:rPr>
        <w:t>.</w:t>
      </w:r>
      <w:r w:rsidR="00854B04" w:rsidRPr="00854B04">
        <w:rPr>
          <w:highlight w:val="yellow"/>
          <w:lang w:val="en-CA" w:eastAsia="ko-KR"/>
        </w:rPr>
        <w:t>X</w:t>
      </w:r>
      <w:r w:rsidR="00A1228E">
        <w:rPr>
          <w:lang w:val="en-CA" w:eastAsia="ko-KR"/>
        </w:rPr>
        <w:t xml:space="preserve">%, and </w:t>
      </w:r>
      <w:r w:rsidR="00AD7620" w:rsidRPr="00AD7620">
        <w:rPr>
          <w:lang w:val="en-CA" w:eastAsia="ko-KR"/>
        </w:rPr>
        <w:t>160.8</w:t>
      </w:r>
      <w:r w:rsidR="00A1228E">
        <w:rPr>
          <w:lang w:val="en-CA" w:eastAsia="ko-KR"/>
        </w:rPr>
        <w:t>% and no meaningful decoding time is observed.</w:t>
      </w:r>
    </w:p>
    <w:p w14:paraId="0359C35C" w14:textId="77777777" w:rsidR="000D4D91" w:rsidRDefault="000D4D91" w:rsidP="001D7CBF">
      <w:pPr>
        <w:rPr>
          <w:lang w:val="en-CA" w:eastAsia="ko-KR"/>
        </w:rPr>
      </w:pPr>
    </w:p>
    <w:p w14:paraId="0AF688A3" w14:textId="1160E0C5" w:rsidR="000D4D91" w:rsidRDefault="000D4D91" w:rsidP="000D4D91">
      <w:pPr>
        <w:pStyle w:val="ab"/>
        <w:keepNext/>
        <w:jc w:val="center"/>
      </w:pPr>
      <w:r>
        <w:t xml:space="preserve">Table </w:t>
      </w:r>
      <w:r w:rsidR="005E703B">
        <w:fldChar w:fldCharType="begin"/>
      </w:r>
      <w:r w:rsidR="005E703B">
        <w:instrText xml:space="preserve"> SEQ Table \* ARABIC </w:instrText>
      </w:r>
      <w:r w:rsidR="005E703B">
        <w:fldChar w:fldCharType="separate"/>
      </w:r>
      <w:r w:rsidR="008663E6">
        <w:rPr>
          <w:noProof/>
        </w:rPr>
        <w:t>1</w:t>
      </w:r>
      <w:r w:rsidR="005E703B">
        <w:rPr>
          <w:noProof/>
        </w:rPr>
        <w:fldChar w:fldCharType="end"/>
      </w:r>
      <w:r>
        <w:t>. Performance of Test 1.1a (NQT with fast encoding algorithms)</w:t>
      </w:r>
    </w:p>
    <w:tbl>
      <w:tblPr>
        <w:tblW w:w="5000" w:type="pct"/>
        <w:tblCellMar>
          <w:left w:w="99" w:type="dxa"/>
          <w:right w:w="99" w:type="dxa"/>
        </w:tblCellMar>
        <w:tblLook w:val="04A0" w:firstRow="1" w:lastRow="0" w:firstColumn="1" w:lastColumn="0" w:noHBand="0" w:noVBand="1"/>
      </w:tblPr>
      <w:tblGrid>
        <w:gridCol w:w="1332"/>
        <w:gridCol w:w="1270"/>
        <w:gridCol w:w="1270"/>
        <w:gridCol w:w="1270"/>
        <w:gridCol w:w="1354"/>
        <w:gridCol w:w="1354"/>
        <w:gridCol w:w="1500"/>
      </w:tblGrid>
      <w:tr w:rsidR="008663E6" w:rsidRPr="008663E6" w14:paraId="641162B2" w14:textId="77777777" w:rsidTr="008663E6">
        <w:trPr>
          <w:trHeight w:val="255"/>
        </w:trPr>
        <w:tc>
          <w:tcPr>
            <w:tcW w:w="713" w:type="pct"/>
            <w:tcBorders>
              <w:top w:val="nil"/>
              <w:left w:val="nil"/>
              <w:bottom w:val="nil"/>
              <w:right w:val="nil"/>
            </w:tcBorders>
            <w:shd w:val="clear" w:color="auto" w:fill="auto"/>
            <w:noWrap/>
            <w:vAlign w:val="center"/>
            <w:hideMark/>
          </w:tcPr>
          <w:p w14:paraId="6BA3F49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287" w:type="pct"/>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EB7C6F"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663E6">
              <w:rPr>
                <w:rFonts w:ascii="Arial" w:eastAsia="맑은 고딕" w:hAnsi="Arial" w:cs="Arial"/>
                <w:b/>
                <w:bCs/>
                <w:color w:val="000000"/>
                <w:sz w:val="18"/>
                <w:szCs w:val="18"/>
                <w:lang w:eastAsia="ko-KR"/>
              </w:rPr>
              <w:t xml:space="preserve">All Intra Main 10 </w:t>
            </w:r>
          </w:p>
        </w:tc>
      </w:tr>
      <w:tr w:rsidR="008663E6" w:rsidRPr="008663E6" w14:paraId="3E770F0A" w14:textId="77777777" w:rsidTr="008663E6">
        <w:trPr>
          <w:trHeight w:val="255"/>
        </w:trPr>
        <w:tc>
          <w:tcPr>
            <w:tcW w:w="713" w:type="pct"/>
            <w:tcBorders>
              <w:top w:val="nil"/>
              <w:left w:val="nil"/>
              <w:bottom w:val="nil"/>
              <w:right w:val="nil"/>
            </w:tcBorders>
            <w:shd w:val="clear" w:color="auto" w:fill="auto"/>
            <w:noWrap/>
            <w:vAlign w:val="center"/>
            <w:hideMark/>
          </w:tcPr>
          <w:p w14:paraId="0A04459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287" w:type="pct"/>
            <w:gridSpan w:val="6"/>
            <w:tcBorders>
              <w:top w:val="nil"/>
              <w:left w:val="single" w:sz="8" w:space="0" w:color="auto"/>
              <w:bottom w:val="nil"/>
              <w:right w:val="single" w:sz="8" w:space="0" w:color="000000"/>
            </w:tcBorders>
            <w:shd w:val="clear" w:color="auto" w:fill="auto"/>
            <w:noWrap/>
            <w:vAlign w:val="center"/>
            <w:hideMark/>
          </w:tcPr>
          <w:p w14:paraId="60EEA684"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663E6">
              <w:rPr>
                <w:rFonts w:ascii="Arial" w:eastAsia="맑은 고딕" w:hAnsi="Arial" w:cs="Arial"/>
                <w:b/>
                <w:bCs/>
                <w:color w:val="000000"/>
                <w:sz w:val="18"/>
                <w:szCs w:val="18"/>
                <w:lang w:eastAsia="ko-KR"/>
              </w:rPr>
              <w:t>Over ECM-10.0</w:t>
            </w:r>
          </w:p>
        </w:tc>
      </w:tr>
      <w:tr w:rsidR="008663E6" w:rsidRPr="008663E6" w14:paraId="6313C0E1" w14:textId="77777777" w:rsidTr="008663E6">
        <w:trPr>
          <w:trHeight w:val="255"/>
        </w:trPr>
        <w:tc>
          <w:tcPr>
            <w:tcW w:w="713" w:type="pct"/>
            <w:tcBorders>
              <w:top w:val="nil"/>
              <w:left w:val="nil"/>
              <w:bottom w:val="nil"/>
              <w:right w:val="nil"/>
            </w:tcBorders>
            <w:shd w:val="clear" w:color="auto" w:fill="auto"/>
            <w:noWrap/>
            <w:vAlign w:val="center"/>
            <w:hideMark/>
          </w:tcPr>
          <w:p w14:paraId="7888BA7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79" w:type="pct"/>
            <w:tcBorders>
              <w:top w:val="nil"/>
              <w:left w:val="single" w:sz="8" w:space="0" w:color="auto"/>
              <w:bottom w:val="single" w:sz="8" w:space="0" w:color="auto"/>
              <w:right w:val="nil"/>
            </w:tcBorders>
            <w:shd w:val="clear" w:color="auto" w:fill="auto"/>
            <w:noWrap/>
            <w:vAlign w:val="center"/>
            <w:hideMark/>
          </w:tcPr>
          <w:p w14:paraId="30672EAB"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Y</w:t>
            </w:r>
          </w:p>
        </w:tc>
        <w:tc>
          <w:tcPr>
            <w:tcW w:w="679" w:type="pct"/>
            <w:tcBorders>
              <w:top w:val="nil"/>
              <w:left w:val="nil"/>
              <w:bottom w:val="single" w:sz="8" w:space="0" w:color="auto"/>
              <w:right w:val="nil"/>
            </w:tcBorders>
            <w:shd w:val="clear" w:color="auto" w:fill="auto"/>
            <w:noWrap/>
            <w:vAlign w:val="center"/>
            <w:hideMark/>
          </w:tcPr>
          <w:p w14:paraId="01762746"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U</w:t>
            </w:r>
          </w:p>
        </w:tc>
        <w:tc>
          <w:tcPr>
            <w:tcW w:w="679" w:type="pct"/>
            <w:tcBorders>
              <w:top w:val="nil"/>
              <w:left w:val="nil"/>
              <w:bottom w:val="single" w:sz="8" w:space="0" w:color="auto"/>
              <w:right w:val="single" w:sz="4" w:space="0" w:color="auto"/>
            </w:tcBorders>
            <w:shd w:val="clear" w:color="auto" w:fill="auto"/>
            <w:noWrap/>
            <w:vAlign w:val="center"/>
            <w:hideMark/>
          </w:tcPr>
          <w:p w14:paraId="2CCD510B"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V</w:t>
            </w:r>
          </w:p>
        </w:tc>
        <w:tc>
          <w:tcPr>
            <w:tcW w:w="724" w:type="pct"/>
            <w:tcBorders>
              <w:top w:val="nil"/>
              <w:left w:val="nil"/>
              <w:bottom w:val="single" w:sz="8" w:space="0" w:color="auto"/>
              <w:right w:val="nil"/>
            </w:tcBorders>
            <w:shd w:val="clear" w:color="auto" w:fill="auto"/>
            <w:noWrap/>
            <w:vAlign w:val="center"/>
            <w:hideMark/>
          </w:tcPr>
          <w:p w14:paraId="5BAAD7B5"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EncT</w:t>
            </w:r>
          </w:p>
        </w:tc>
        <w:tc>
          <w:tcPr>
            <w:tcW w:w="724" w:type="pct"/>
            <w:tcBorders>
              <w:top w:val="nil"/>
              <w:left w:val="nil"/>
              <w:bottom w:val="single" w:sz="8" w:space="0" w:color="auto"/>
              <w:right w:val="nil"/>
            </w:tcBorders>
            <w:shd w:val="clear" w:color="auto" w:fill="auto"/>
            <w:noWrap/>
            <w:vAlign w:val="center"/>
            <w:hideMark/>
          </w:tcPr>
          <w:p w14:paraId="44220F6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DecT</w:t>
            </w:r>
          </w:p>
        </w:tc>
        <w:tc>
          <w:tcPr>
            <w:tcW w:w="801" w:type="pct"/>
            <w:tcBorders>
              <w:top w:val="nil"/>
              <w:left w:val="single" w:sz="4" w:space="0" w:color="auto"/>
              <w:bottom w:val="single" w:sz="8" w:space="0" w:color="auto"/>
              <w:right w:val="single" w:sz="8" w:space="0" w:color="auto"/>
            </w:tcBorders>
            <w:shd w:val="clear" w:color="auto" w:fill="auto"/>
            <w:noWrap/>
            <w:vAlign w:val="center"/>
            <w:hideMark/>
          </w:tcPr>
          <w:p w14:paraId="69B515D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VmPeak</w:t>
            </w:r>
          </w:p>
        </w:tc>
      </w:tr>
      <w:tr w:rsidR="008663E6" w:rsidRPr="008663E6" w14:paraId="140B7505" w14:textId="77777777" w:rsidTr="008663E6">
        <w:trPr>
          <w:trHeight w:val="255"/>
        </w:trPr>
        <w:tc>
          <w:tcPr>
            <w:tcW w:w="713" w:type="pct"/>
            <w:tcBorders>
              <w:top w:val="single" w:sz="8" w:space="0" w:color="auto"/>
              <w:left w:val="single" w:sz="8" w:space="0" w:color="auto"/>
              <w:bottom w:val="nil"/>
              <w:right w:val="single" w:sz="8" w:space="0" w:color="auto"/>
            </w:tcBorders>
            <w:shd w:val="clear" w:color="auto" w:fill="auto"/>
            <w:noWrap/>
            <w:vAlign w:val="center"/>
            <w:hideMark/>
          </w:tcPr>
          <w:p w14:paraId="07DB678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A1</w:t>
            </w:r>
          </w:p>
        </w:tc>
        <w:tc>
          <w:tcPr>
            <w:tcW w:w="679" w:type="pct"/>
            <w:tcBorders>
              <w:top w:val="nil"/>
              <w:left w:val="nil"/>
              <w:bottom w:val="nil"/>
              <w:right w:val="nil"/>
            </w:tcBorders>
            <w:shd w:val="clear" w:color="auto" w:fill="auto"/>
            <w:noWrap/>
            <w:vAlign w:val="center"/>
            <w:hideMark/>
          </w:tcPr>
          <w:p w14:paraId="071FA68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-0.02%</w:t>
            </w:r>
          </w:p>
        </w:tc>
        <w:tc>
          <w:tcPr>
            <w:tcW w:w="679" w:type="pct"/>
            <w:tcBorders>
              <w:top w:val="nil"/>
              <w:left w:val="nil"/>
              <w:bottom w:val="nil"/>
              <w:right w:val="nil"/>
            </w:tcBorders>
            <w:shd w:val="clear" w:color="auto" w:fill="auto"/>
            <w:noWrap/>
            <w:vAlign w:val="center"/>
            <w:hideMark/>
          </w:tcPr>
          <w:p w14:paraId="6445100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-0.07%</w:t>
            </w:r>
          </w:p>
        </w:tc>
        <w:tc>
          <w:tcPr>
            <w:tcW w:w="679" w:type="pct"/>
            <w:tcBorders>
              <w:top w:val="nil"/>
              <w:left w:val="nil"/>
              <w:bottom w:val="nil"/>
              <w:right w:val="single" w:sz="4" w:space="0" w:color="auto"/>
            </w:tcBorders>
            <w:shd w:val="clear" w:color="auto" w:fill="auto"/>
            <w:noWrap/>
            <w:vAlign w:val="center"/>
            <w:hideMark/>
          </w:tcPr>
          <w:p w14:paraId="48853EE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-0.13%</w:t>
            </w:r>
          </w:p>
        </w:tc>
        <w:tc>
          <w:tcPr>
            <w:tcW w:w="724" w:type="pct"/>
            <w:tcBorders>
              <w:top w:val="nil"/>
              <w:left w:val="nil"/>
              <w:bottom w:val="nil"/>
              <w:right w:val="nil"/>
            </w:tcBorders>
            <w:shd w:val="clear" w:color="auto" w:fill="auto"/>
            <w:noWrap/>
            <w:vAlign w:val="center"/>
            <w:hideMark/>
          </w:tcPr>
          <w:p w14:paraId="3ACAF3A4"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113.4%</w:t>
            </w:r>
          </w:p>
        </w:tc>
        <w:tc>
          <w:tcPr>
            <w:tcW w:w="724" w:type="pct"/>
            <w:tcBorders>
              <w:top w:val="nil"/>
              <w:left w:val="nil"/>
              <w:bottom w:val="nil"/>
              <w:right w:val="nil"/>
            </w:tcBorders>
            <w:shd w:val="clear" w:color="auto" w:fill="auto"/>
            <w:noWrap/>
            <w:vAlign w:val="center"/>
            <w:hideMark/>
          </w:tcPr>
          <w:p w14:paraId="16F1BE9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98.3%</w:t>
            </w:r>
          </w:p>
        </w:tc>
        <w:tc>
          <w:tcPr>
            <w:tcW w:w="801" w:type="pct"/>
            <w:tcBorders>
              <w:top w:val="nil"/>
              <w:left w:val="single" w:sz="4" w:space="0" w:color="auto"/>
              <w:bottom w:val="nil"/>
              <w:right w:val="single" w:sz="8" w:space="0" w:color="auto"/>
            </w:tcBorders>
            <w:shd w:val="clear" w:color="auto" w:fill="auto"/>
            <w:noWrap/>
            <w:vAlign w:val="center"/>
            <w:hideMark/>
          </w:tcPr>
          <w:p w14:paraId="532A2CF4"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100.1%</w:t>
            </w:r>
          </w:p>
        </w:tc>
      </w:tr>
      <w:tr w:rsidR="008663E6" w:rsidRPr="008663E6" w14:paraId="3118D34C" w14:textId="77777777" w:rsidTr="008663E6">
        <w:trPr>
          <w:trHeight w:val="255"/>
        </w:trPr>
        <w:tc>
          <w:tcPr>
            <w:tcW w:w="713" w:type="pct"/>
            <w:tcBorders>
              <w:top w:val="nil"/>
              <w:left w:val="single" w:sz="8" w:space="0" w:color="auto"/>
              <w:bottom w:val="nil"/>
              <w:right w:val="single" w:sz="8" w:space="0" w:color="auto"/>
            </w:tcBorders>
            <w:shd w:val="clear" w:color="auto" w:fill="auto"/>
            <w:noWrap/>
            <w:vAlign w:val="center"/>
            <w:hideMark/>
          </w:tcPr>
          <w:p w14:paraId="1694F545"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A2</w:t>
            </w:r>
          </w:p>
        </w:tc>
        <w:tc>
          <w:tcPr>
            <w:tcW w:w="679" w:type="pct"/>
            <w:tcBorders>
              <w:top w:val="nil"/>
              <w:left w:val="nil"/>
              <w:bottom w:val="nil"/>
              <w:right w:val="nil"/>
            </w:tcBorders>
            <w:shd w:val="clear" w:color="auto" w:fill="auto"/>
            <w:noWrap/>
            <w:vAlign w:val="center"/>
            <w:hideMark/>
          </w:tcPr>
          <w:p w14:paraId="6B92113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-0.07%</w:t>
            </w:r>
          </w:p>
        </w:tc>
        <w:tc>
          <w:tcPr>
            <w:tcW w:w="679" w:type="pct"/>
            <w:tcBorders>
              <w:top w:val="nil"/>
              <w:left w:val="nil"/>
              <w:bottom w:val="nil"/>
              <w:right w:val="nil"/>
            </w:tcBorders>
            <w:shd w:val="clear" w:color="auto" w:fill="auto"/>
            <w:noWrap/>
            <w:vAlign w:val="center"/>
            <w:hideMark/>
          </w:tcPr>
          <w:p w14:paraId="5DAC1B56"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-0.33%</w:t>
            </w:r>
          </w:p>
        </w:tc>
        <w:tc>
          <w:tcPr>
            <w:tcW w:w="679" w:type="pct"/>
            <w:tcBorders>
              <w:top w:val="nil"/>
              <w:left w:val="nil"/>
              <w:bottom w:val="nil"/>
              <w:right w:val="single" w:sz="4" w:space="0" w:color="auto"/>
            </w:tcBorders>
            <w:shd w:val="clear" w:color="auto" w:fill="auto"/>
            <w:noWrap/>
            <w:vAlign w:val="center"/>
            <w:hideMark/>
          </w:tcPr>
          <w:p w14:paraId="2EA1ABD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-0.29%</w:t>
            </w:r>
          </w:p>
        </w:tc>
        <w:tc>
          <w:tcPr>
            <w:tcW w:w="724" w:type="pct"/>
            <w:tcBorders>
              <w:top w:val="nil"/>
              <w:left w:val="nil"/>
              <w:bottom w:val="nil"/>
              <w:right w:val="nil"/>
            </w:tcBorders>
            <w:shd w:val="clear" w:color="auto" w:fill="auto"/>
            <w:noWrap/>
            <w:vAlign w:val="center"/>
            <w:hideMark/>
          </w:tcPr>
          <w:p w14:paraId="0B4A9C78"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119.5%</w:t>
            </w:r>
          </w:p>
        </w:tc>
        <w:tc>
          <w:tcPr>
            <w:tcW w:w="724" w:type="pct"/>
            <w:tcBorders>
              <w:top w:val="nil"/>
              <w:left w:val="nil"/>
              <w:bottom w:val="nil"/>
              <w:right w:val="nil"/>
            </w:tcBorders>
            <w:shd w:val="clear" w:color="auto" w:fill="auto"/>
            <w:noWrap/>
            <w:vAlign w:val="center"/>
            <w:hideMark/>
          </w:tcPr>
          <w:p w14:paraId="48616C0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99.9%</w:t>
            </w:r>
          </w:p>
        </w:tc>
        <w:tc>
          <w:tcPr>
            <w:tcW w:w="801" w:type="pct"/>
            <w:tcBorders>
              <w:top w:val="nil"/>
              <w:left w:val="single" w:sz="4" w:space="0" w:color="auto"/>
              <w:bottom w:val="nil"/>
              <w:right w:val="single" w:sz="8" w:space="0" w:color="auto"/>
            </w:tcBorders>
            <w:shd w:val="clear" w:color="auto" w:fill="auto"/>
            <w:noWrap/>
            <w:vAlign w:val="center"/>
            <w:hideMark/>
          </w:tcPr>
          <w:p w14:paraId="5C7935FB"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r w:rsidR="008663E6" w:rsidRPr="008663E6" w14:paraId="02084E9D" w14:textId="77777777" w:rsidTr="008663E6">
        <w:trPr>
          <w:trHeight w:val="255"/>
        </w:trPr>
        <w:tc>
          <w:tcPr>
            <w:tcW w:w="713" w:type="pct"/>
            <w:tcBorders>
              <w:top w:val="nil"/>
              <w:left w:val="single" w:sz="8" w:space="0" w:color="auto"/>
              <w:bottom w:val="nil"/>
              <w:right w:val="single" w:sz="8" w:space="0" w:color="auto"/>
            </w:tcBorders>
            <w:shd w:val="clear" w:color="auto" w:fill="auto"/>
            <w:noWrap/>
            <w:vAlign w:val="center"/>
            <w:hideMark/>
          </w:tcPr>
          <w:p w14:paraId="206EE0C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B</w:t>
            </w:r>
          </w:p>
        </w:tc>
        <w:tc>
          <w:tcPr>
            <w:tcW w:w="679" w:type="pct"/>
            <w:tcBorders>
              <w:top w:val="nil"/>
              <w:left w:val="nil"/>
              <w:bottom w:val="nil"/>
              <w:right w:val="nil"/>
            </w:tcBorders>
            <w:shd w:val="clear" w:color="auto" w:fill="auto"/>
            <w:noWrap/>
            <w:vAlign w:val="center"/>
            <w:hideMark/>
          </w:tcPr>
          <w:p w14:paraId="58B207C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-0.10%</w:t>
            </w:r>
          </w:p>
        </w:tc>
        <w:tc>
          <w:tcPr>
            <w:tcW w:w="679" w:type="pct"/>
            <w:tcBorders>
              <w:top w:val="nil"/>
              <w:left w:val="nil"/>
              <w:bottom w:val="nil"/>
              <w:right w:val="nil"/>
            </w:tcBorders>
            <w:shd w:val="clear" w:color="auto" w:fill="auto"/>
            <w:noWrap/>
            <w:vAlign w:val="center"/>
            <w:hideMark/>
          </w:tcPr>
          <w:p w14:paraId="40E18D86"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-0.21%</w:t>
            </w:r>
          </w:p>
        </w:tc>
        <w:tc>
          <w:tcPr>
            <w:tcW w:w="679" w:type="pct"/>
            <w:tcBorders>
              <w:top w:val="nil"/>
              <w:left w:val="nil"/>
              <w:bottom w:val="nil"/>
              <w:right w:val="single" w:sz="4" w:space="0" w:color="auto"/>
            </w:tcBorders>
            <w:shd w:val="clear" w:color="auto" w:fill="auto"/>
            <w:noWrap/>
            <w:vAlign w:val="center"/>
            <w:hideMark/>
          </w:tcPr>
          <w:p w14:paraId="27FF2FE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-0.31%</w:t>
            </w:r>
          </w:p>
        </w:tc>
        <w:tc>
          <w:tcPr>
            <w:tcW w:w="724" w:type="pct"/>
            <w:tcBorders>
              <w:top w:val="nil"/>
              <w:left w:val="nil"/>
              <w:bottom w:val="nil"/>
              <w:right w:val="nil"/>
            </w:tcBorders>
            <w:shd w:val="clear" w:color="auto" w:fill="auto"/>
            <w:noWrap/>
            <w:vAlign w:val="center"/>
            <w:hideMark/>
          </w:tcPr>
          <w:p w14:paraId="03DDDC8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121.5%</w:t>
            </w:r>
          </w:p>
        </w:tc>
        <w:tc>
          <w:tcPr>
            <w:tcW w:w="724" w:type="pct"/>
            <w:tcBorders>
              <w:top w:val="nil"/>
              <w:left w:val="nil"/>
              <w:bottom w:val="nil"/>
              <w:right w:val="nil"/>
            </w:tcBorders>
            <w:shd w:val="clear" w:color="auto" w:fill="auto"/>
            <w:noWrap/>
            <w:vAlign w:val="center"/>
            <w:hideMark/>
          </w:tcPr>
          <w:p w14:paraId="7161190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100.8%</w:t>
            </w:r>
          </w:p>
        </w:tc>
        <w:tc>
          <w:tcPr>
            <w:tcW w:w="801" w:type="pct"/>
            <w:tcBorders>
              <w:top w:val="nil"/>
              <w:left w:val="single" w:sz="4" w:space="0" w:color="auto"/>
              <w:bottom w:val="nil"/>
              <w:right w:val="single" w:sz="8" w:space="0" w:color="auto"/>
            </w:tcBorders>
            <w:shd w:val="clear" w:color="auto" w:fill="auto"/>
            <w:noWrap/>
            <w:vAlign w:val="center"/>
            <w:hideMark/>
          </w:tcPr>
          <w:p w14:paraId="350AFFE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r w:rsidR="008663E6" w:rsidRPr="008663E6" w14:paraId="04E8B0D0" w14:textId="77777777" w:rsidTr="008663E6">
        <w:trPr>
          <w:trHeight w:val="255"/>
        </w:trPr>
        <w:tc>
          <w:tcPr>
            <w:tcW w:w="713" w:type="pct"/>
            <w:tcBorders>
              <w:top w:val="nil"/>
              <w:left w:val="single" w:sz="8" w:space="0" w:color="auto"/>
              <w:bottom w:val="nil"/>
              <w:right w:val="single" w:sz="8" w:space="0" w:color="auto"/>
            </w:tcBorders>
            <w:shd w:val="clear" w:color="auto" w:fill="auto"/>
            <w:noWrap/>
            <w:vAlign w:val="center"/>
            <w:hideMark/>
          </w:tcPr>
          <w:p w14:paraId="13BC7CA8"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C</w:t>
            </w:r>
          </w:p>
        </w:tc>
        <w:tc>
          <w:tcPr>
            <w:tcW w:w="679" w:type="pct"/>
            <w:tcBorders>
              <w:top w:val="nil"/>
              <w:left w:val="nil"/>
              <w:bottom w:val="nil"/>
              <w:right w:val="nil"/>
            </w:tcBorders>
            <w:shd w:val="clear" w:color="auto" w:fill="auto"/>
            <w:noWrap/>
            <w:vAlign w:val="center"/>
            <w:hideMark/>
          </w:tcPr>
          <w:p w14:paraId="4107058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-0.15%</w:t>
            </w:r>
          </w:p>
        </w:tc>
        <w:tc>
          <w:tcPr>
            <w:tcW w:w="679" w:type="pct"/>
            <w:tcBorders>
              <w:top w:val="nil"/>
              <w:left w:val="nil"/>
              <w:bottom w:val="nil"/>
              <w:right w:val="nil"/>
            </w:tcBorders>
            <w:shd w:val="clear" w:color="auto" w:fill="auto"/>
            <w:noWrap/>
            <w:vAlign w:val="center"/>
            <w:hideMark/>
          </w:tcPr>
          <w:p w14:paraId="456C34B5"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-0.16%</w:t>
            </w:r>
          </w:p>
        </w:tc>
        <w:tc>
          <w:tcPr>
            <w:tcW w:w="679" w:type="pct"/>
            <w:tcBorders>
              <w:top w:val="nil"/>
              <w:left w:val="nil"/>
              <w:bottom w:val="nil"/>
              <w:right w:val="single" w:sz="4" w:space="0" w:color="auto"/>
            </w:tcBorders>
            <w:shd w:val="clear" w:color="auto" w:fill="auto"/>
            <w:noWrap/>
            <w:vAlign w:val="center"/>
            <w:hideMark/>
          </w:tcPr>
          <w:p w14:paraId="632ED8B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-0.20%</w:t>
            </w:r>
          </w:p>
        </w:tc>
        <w:tc>
          <w:tcPr>
            <w:tcW w:w="724" w:type="pct"/>
            <w:tcBorders>
              <w:top w:val="nil"/>
              <w:left w:val="nil"/>
              <w:bottom w:val="nil"/>
              <w:right w:val="nil"/>
            </w:tcBorders>
            <w:shd w:val="clear" w:color="auto" w:fill="auto"/>
            <w:noWrap/>
            <w:vAlign w:val="center"/>
            <w:hideMark/>
          </w:tcPr>
          <w:p w14:paraId="173D0A4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127.2%</w:t>
            </w:r>
          </w:p>
        </w:tc>
        <w:tc>
          <w:tcPr>
            <w:tcW w:w="724" w:type="pct"/>
            <w:tcBorders>
              <w:top w:val="nil"/>
              <w:left w:val="nil"/>
              <w:bottom w:val="nil"/>
              <w:right w:val="nil"/>
            </w:tcBorders>
            <w:shd w:val="clear" w:color="auto" w:fill="auto"/>
            <w:noWrap/>
            <w:vAlign w:val="center"/>
            <w:hideMark/>
          </w:tcPr>
          <w:p w14:paraId="1BC0DE54"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98.9%</w:t>
            </w:r>
          </w:p>
        </w:tc>
        <w:tc>
          <w:tcPr>
            <w:tcW w:w="801" w:type="pct"/>
            <w:tcBorders>
              <w:top w:val="nil"/>
              <w:left w:val="single" w:sz="4" w:space="0" w:color="auto"/>
              <w:bottom w:val="nil"/>
              <w:right w:val="single" w:sz="8" w:space="0" w:color="auto"/>
            </w:tcBorders>
            <w:shd w:val="clear" w:color="auto" w:fill="auto"/>
            <w:noWrap/>
            <w:vAlign w:val="center"/>
            <w:hideMark/>
          </w:tcPr>
          <w:p w14:paraId="511DF26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r w:rsidR="008663E6" w:rsidRPr="008663E6" w14:paraId="6EBFBA47" w14:textId="77777777" w:rsidTr="008663E6">
        <w:trPr>
          <w:trHeight w:val="255"/>
        </w:trPr>
        <w:tc>
          <w:tcPr>
            <w:tcW w:w="713" w:type="pct"/>
            <w:tcBorders>
              <w:top w:val="nil"/>
              <w:left w:val="single" w:sz="8" w:space="0" w:color="auto"/>
              <w:bottom w:val="nil"/>
              <w:right w:val="single" w:sz="8" w:space="0" w:color="auto"/>
            </w:tcBorders>
            <w:shd w:val="clear" w:color="auto" w:fill="auto"/>
            <w:noWrap/>
            <w:vAlign w:val="center"/>
            <w:hideMark/>
          </w:tcPr>
          <w:p w14:paraId="6DD3BDC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E</w:t>
            </w:r>
          </w:p>
        </w:tc>
        <w:tc>
          <w:tcPr>
            <w:tcW w:w="679" w:type="pct"/>
            <w:tcBorders>
              <w:top w:val="nil"/>
              <w:left w:val="nil"/>
              <w:bottom w:val="nil"/>
              <w:right w:val="nil"/>
            </w:tcBorders>
            <w:shd w:val="clear" w:color="auto" w:fill="auto"/>
            <w:noWrap/>
            <w:vAlign w:val="center"/>
            <w:hideMark/>
          </w:tcPr>
          <w:p w14:paraId="6F25620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-0.19%</w:t>
            </w:r>
          </w:p>
        </w:tc>
        <w:tc>
          <w:tcPr>
            <w:tcW w:w="679" w:type="pct"/>
            <w:tcBorders>
              <w:top w:val="nil"/>
              <w:left w:val="nil"/>
              <w:bottom w:val="nil"/>
              <w:right w:val="nil"/>
            </w:tcBorders>
            <w:shd w:val="clear" w:color="auto" w:fill="auto"/>
            <w:noWrap/>
            <w:vAlign w:val="center"/>
            <w:hideMark/>
          </w:tcPr>
          <w:p w14:paraId="082F5AE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-0.28%</w:t>
            </w:r>
          </w:p>
        </w:tc>
        <w:tc>
          <w:tcPr>
            <w:tcW w:w="679" w:type="pct"/>
            <w:tcBorders>
              <w:top w:val="nil"/>
              <w:left w:val="nil"/>
              <w:bottom w:val="nil"/>
              <w:right w:val="single" w:sz="4" w:space="0" w:color="auto"/>
            </w:tcBorders>
            <w:shd w:val="clear" w:color="auto" w:fill="auto"/>
            <w:noWrap/>
            <w:vAlign w:val="center"/>
            <w:hideMark/>
          </w:tcPr>
          <w:p w14:paraId="1BBE083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-0.31%</w:t>
            </w:r>
          </w:p>
        </w:tc>
        <w:tc>
          <w:tcPr>
            <w:tcW w:w="724" w:type="pct"/>
            <w:tcBorders>
              <w:top w:val="nil"/>
              <w:left w:val="nil"/>
              <w:bottom w:val="nil"/>
              <w:right w:val="nil"/>
            </w:tcBorders>
            <w:shd w:val="clear" w:color="auto" w:fill="auto"/>
            <w:noWrap/>
            <w:vAlign w:val="center"/>
            <w:hideMark/>
          </w:tcPr>
          <w:p w14:paraId="644EBCD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120.9%</w:t>
            </w:r>
          </w:p>
        </w:tc>
        <w:tc>
          <w:tcPr>
            <w:tcW w:w="724" w:type="pct"/>
            <w:tcBorders>
              <w:top w:val="nil"/>
              <w:left w:val="nil"/>
              <w:bottom w:val="nil"/>
              <w:right w:val="nil"/>
            </w:tcBorders>
            <w:shd w:val="clear" w:color="auto" w:fill="auto"/>
            <w:noWrap/>
            <w:vAlign w:val="center"/>
            <w:hideMark/>
          </w:tcPr>
          <w:p w14:paraId="3BB046A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99.2%</w:t>
            </w:r>
          </w:p>
        </w:tc>
        <w:tc>
          <w:tcPr>
            <w:tcW w:w="801" w:type="pct"/>
            <w:tcBorders>
              <w:top w:val="nil"/>
              <w:left w:val="single" w:sz="4" w:space="0" w:color="auto"/>
              <w:bottom w:val="nil"/>
              <w:right w:val="single" w:sz="8" w:space="0" w:color="auto"/>
            </w:tcBorders>
            <w:shd w:val="clear" w:color="auto" w:fill="auto"/>
            <w:noWrap/>
            <w:vAlign w:val="center"/>
            <w:hideMark/>
          </w:tcPr>
          <w:p w14:paraId="74940CE6"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r w:rsidR="008663E6" w:rsidRPr="008663E6" w14:paraId="768FDB3F" w14:textId="77777777" w:rsidTr="008663E6">
        <w:trPr>
          <w:trHeight w:val="255"/>
        </w:trPr>
        <w:tc>
          <w:tcPr>
            <w:tcW w:w="713" w:type="pct"/>
            <w:tcBorders>
              <w:top w:val="single" w:sz="8" w:space="0" w:color="auto"/>
              <w:left w:val="single" w:sz="8" w:space="0" w:color="auto"/>
              <w:bottom w:val="nil"/>
              <w:right w:val="single" w:sz="8" w:space="0" w:color="auto"/>
            </w:tcBorders>
            <w:shd w:val="clear" w:color="auto" w:fill="auto"/>
            <w:noWrap/>
            <w:vAlign w:val="center"/>
            <w:hideMark/>
          </w:tcPr>
          <w:p w14:paraId="4C5A373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663E6">
              <w:rPr>
                <w:rFonts w:ascii="Arial" w:eastAsia="맑은 고딕" w:hAnsi="Arial" w:cs="Arial"/>
                <w:b/>
                <w:bCs/>
                <w:color w:val="000000"/>
                <w:sz w:val="18"/>
                <w:szCs w:val="18"/>
                <w:lang w:eastAsia="ko-KR"/>
              </w:rPr>
              <w:t xml:space="preserve">Overall </w:t>
            </w:r>
          </w:p>
        </w:tc>
        <w:tc>
          <w:tcPr>
            <w:tcW w:w="679" w:type="pct"/>
            <w:tcBorders>
              <w:top w:val="single" w:sz="8" w:space="0" w:color="auto"/>
              <w:left w:val="nil"/>
              <w:bottom w:val="nil"/>
              <w:right w:val="nil"/>
            </w:tcBorders>
            <w:shd w:val="clear" w:color="auto" w:fill="auto"/>
            <w:noWrap/>
            <w:vAlign w:val="center"/>
            <w:hideMark/>
          </w:tcPr>
          <w:p w14:paraId="3C04475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-0.11%</w:t>
            </w:r>
          </w:p>
        </w:tc>
        <w:tc>
          <w:tcPr>
            <w:tcW w:w="679" w:type="pct"/>
            <w:tcBorders>
              <w:top w:val="single" w:sz="8" w:space="0" w:color="auto"/>
              <w:left w:val="nil"/>
              <w:bottom w:val="nil"/>
              <w:right w:val="nil"/>
            </w:tcBorders>
            <w:shd w:val="clear" w:color="auto" w:fill="auto"/>
            <w:noWrap/>
            <w:vAlign w:val="center"/>
            <w:hideMark/>
          </w:tcPr>
          <w:p w14:paraId="0B30B33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-0.20%</w:t>
            </w:r>
          </w:p>
        </w:tc>
        <w:tc>
          <w:tcPr>
            <w:tcW w:w="679" w:type="pct"/>
            <w:tcBorders>
              <w:top w:val="single" w:sz="8" w:space="0" w:color="auto"/>
              <w:left w:val="nil"/>
              <w:bottom w:val="nil"/>
              <w:right w:val="single" w:sz="4" w:space="0" w:color="auto"/>
            </w:tcBorders>
            <w:shd w:val="clear" w:color="auto" w:fill="auto"/>
            <w:noWrap/>
            <w:vAlign w:val="center"/>
            <w:hideMark/>
          </w:tcPr>
          <w:p w14:paraId="6657EEB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-0.25%</w:t>
            </w:r>
          </w:p>
        </w:tc>
        <w:tc>
          <w:tcPr>
            <w:tcW w:w="724" w:type="pct"/>
            <w:tcBorders>
              <w:top w:val="single" w:sz="8" w:space="0" w:color="auto"/>
              <w:left w:val="nil"/>
              <w:bottom w:val="nil"/>
              <w:right w:val="nil"/>
            </w:tcBorders>
            <w:shd w:val="clear" w:color="auto" w:fill="auto"/>
            <w:noWrap/>
            <w:vAlign w:val="center"/>
            <w:hideMark/>
          </w:tcPr>
          <w:p w14:paraId="566DC2F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120.9%</w:t>
            </w:r>
          </w:p>
        </w:tc>
        <w:tc>
          <w:tcPr>
            <w:tcW w:w="724" w:type="pct"/>
            <w:tcBorders>
              <w:top w:val="single" w:sz="8" w:space="0" w:color="auto"/>
              <w:left w:val="nil"/>
              <w:bottom w:val="nil"/>
              <w:right w:val="nil"/>
            </w:tcBorders>
            <w:shd w:val="clear" w:color="auto" w:fill="auto"/>
            <w:noWrap/>
            <w:vAlign w:val="center"/>
            <w:hideMark/>
          </w:tcPr>
          <w:p w14:paraId="4BDE3BF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99.5%</w:t>
            </w:r>
          </w:p>
        </w:tc>
        <w:tc>
          <w:tcPr>
            <w:tcW w:w="801"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7AEC38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r w:rsidR="008663E6" w:rsidRPr="008663E6" w14:paraId="39D9352E" w14:textId="77777777" w:rsidTr="008663E6">
        <w:trPr>
          <w:trHeight w:val="255"/>
        </w:trPr>
        <w:tc>
          <w:tcPr>
            <w:tcW w:w="713" w:type="pct"/>
            <w:tcBorders>
              <w:top w:val="single" w:sz="8" w:space="0" w:color="auto"/>
              <w:left w:val="single" w:sz="8" w:space="0" w:color="auto"/>
              <w:right w:val="single" w:sz="8" w:space="0" w:color="auto"/>
            </w:tcBorders>
            <w:shd w:val="clear" w:color="auto" w:fill="auto"/>
            <w:noWrap/>
            <w:vAlign w:val="center"/>
            <w:hideMark/>
          </w:tcPr>
          <w:p w14:paraId="07DAEB7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D</w:t>
            </w:r>
          </w:p>
        </w:tc>
        <w:tc>
          <w:tcPr>
            <w:tcW w:w="679" w:type="pct"/>
            <w:tcBorders>
              <w:top w:val="single" w:sz="8" w:space="0" w:color="auto"/>
              <w:left w:val="nil"/>
              <w:right w:val="nil"/>
            </w:tcBorders>
            <w:shd w:val="clear" w:color="auto" w:fill="auto"/>
            <w:noWrap/>
            <w:vAlign w:val="center"/>
            <w:hideMark/>
          </w:tcPr>
          <w:p w14:paraId="7488C79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-0.13%</w:t>
            </w:r>
          </w:p>
        </w:tc>
        <w:tc>
          <w:tcPr>
            <w:tcW w:w="679" w:type="pct"/>
            <w:tcBorders>
              <w:top w:val="single" w:sz="8" w:space="0" w:color="auto"/>
              <w:left w:val="nil"/>
              <w:right w:val="nil"/>
            </w:tcBorders>
            <w:shd w:val="clear" w:color="auto" w:fill="auto"/>
            <w:noWrap/>
            <w:vAlign w:val="center"/>
            <w:hideMark/>
          </w:tcPr>
          <w:p w14:paraId="3E5DDA0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-0.35%</w:t>
            </w:r>
          </w:p>
        </w:tc>
        <w:tc>
          <w:tcPr>
            <w:tcW w:w="679" w:type="pct"/>
            <w:tcBorders>
              <w:top w:val="single" w:sz="8" w:space="0" w:color="auto"/>
              <w:left w:val="nil"/>
              <w:right w:val="single" w:sz="4" w:space="0" w:color="auto"/>
            </w:tcBorders>
            <w:shd w:val="clear" w:color="auto" w:fill="auto"/>
            <w:noWrap/>
            <w:vAlign w:val="center"/>
            <w:hideMark/>
          </w:tcPr>
          <w:p w14:paraId="31810C7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-0.37%</w:t>
            </w:r>
          </w:p>
        </w:tc>
        <w:tc>
          <w:tcPr>
            <w:tcW w:w="724" w:type="pct"/>
            <w:tcBorders>
              <w:top w:val="single" w:sz="8" w:space="0" w:color="auto"/>
              <w:left w:val="nil"/>
              <w:right w:val="nil"/>
            </w:tcBorders>
            <w:shd w:val="clear" w:color="auto" w:fill="auto"/>
            <w:noWrap/>
            <w:vAlign w:val="center"/>
            <w:hideMark/>
          </w:tcPr>
          <w:p w14:paraId="3EC707BE"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130.6%</w:t>
            </w:r>
          </w:p>
        </w:tc>
        <w:tc>
          <w:tcPr>
            <w:tcW w:w="724" w:type="pct"/>
            <w:tcBorders>
              <w:top w:val="single" w:sz="8" w:space="0" w:color="auto"/>
              <w:left w:val="nil"/>
              <w:right w:val="nil"/>
            </w:tcBorders>
            <w:shd w:val="clear" w:color="auto" w:fill="auto"/>
            <w:noWrap/>
            <w:vAlign w:val="center"/>
            <w:hideMark/>
          </w:tcPr>
          <w:p w14:paraId="7480E2CE"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100.6%</w:t>
            </w:r>
          </w:p>
        </w:tc>
        <w:tc>
          <w:tcPr>
            <w:tcW w:w="801" w:type="pct"/>
            <w:tcBorders>
              <w:top w:val="nil"/>
              <w:left w:val="single" w:sz="4" w:space="0" w:color="auto"/>
              <w:right w:val="single" w:sz="8" w:space="0" w:color="auto"/>
            </w:tcBorders>
            <w:shd w:val="clear" w:color="auto" w:fill="auto"/>
            <w:noWrap/>
            <w:vAlign w:val="center"/>
            <w:hideMark/>
          </w:tcPr>
          <w:p w14:paraId="0F89F06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r w:rsidR="008663E6" w:rsidRPr="008663E6" w14:paraId="4CD85417" w14:textId="77777777" w:rsidTr="008663E6">
        <w:trPr>
          <w:trHeight w:val="255"/>
        </w:trPr>
        <w:tc>
          <w:tcPr>
            <w:tcW w:w="713" w:type="pct"/>
            <w:tcBorders>
              <w:top w:val="nil"/>
              <w:left w:val="single" w:sz="8" w:space="0" w:color="auto"/>
              <w:bottom w:val="single" w:sz="8" w:space="0" w:color="auto"/>
              <w:right w:val="single" w:sz="8" w:space="0" w:color="auto"/>
            </w:tcBorders>
            <w:shd w:val="clear" w:color="auto" w:fill="auto"/>
            <w:noWrap/>
            <w:vAlign w:val="center"/>
            <w:hideMark/>
          </w:tcPr>
          <w:p w14:paraId="5CD9E64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F</w:t>
            </w:r>
          </w:p>
        </w:tc>
        <w:tc>
          <w:tcPr>
            <w:tcW w:w="679" w:type="pct"/>
            <w:tcBorders>
              <w:top w:val="nil"/>
              <w:left w:val="nil"/>
              <w:bottom w:val="single" w:sz="8" w:space="0" w:color="auto"/>
              <w:right w:val="nil"/>
            </w:tcBorders>
            <w:shd w:val="clear" w:color="auto" w:fill="auto"/>
            <w:noWrap/>
            <w:vAlign w:val="center"/>
            <w:hideMark/>
          </w:tcPr>
          <w:p w14:paraId="2E64E17B"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-0.37%</w:t>
            </w:r>
          </w:p>
        </w:tc>
        <w:tc>
          <w:tcPr>
            <w:tcW w:w="679" w:type="pct"/>
            <w:tcBorders>
              <w:top w:val="nil"/>
              <w:left w:val="nil"/>
              <w:bottom w:val="single" w:sz="8" w:space="0" w:color="auto"/>
              <w:right w:val="nil"/>
            </w:tcBorders>
            <w:shd w:val="clear" w:color="auto" w:fill="auto"/>
            <w:noWrap/>
            <w:vAlign w:val="center"/>
            <w:hideMark/>
          </w:tcPr>
          <w:p w14:paraId="6F2AE66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-0.38%</w:t>
            </w:r>
          </w:p>
        </w:tc>
        <w:tc>
          <w:tcPr>
            <w:tcW w:w="679" w:type="pct"/>
            <w:tcBorders>
              <w:top w:val="nil"/>
              <w:left w:val="nil"/>
              <w:bottom w:val="single" w:sz="8" w:space="0" w:color="auto"/>
              <w:right w:val="single" w:sz="4" w:space="0" w:color="auto"/>
            </w:tcBorders>
            <w:shd w:val="clear" w:color="auto" w:fill="auto"/>
            <w:noWrap/>
            <w:vAlign w:val="center"/>
            <w:hideMark/>
          </w:tcPr>
          <w:p w14:paraId="5BD6CD05"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-0.47%</w:t>
            </w:r>
          </w:p>
        </w:tc>
        <w:tc>
          <w:tcPr>
            <w:tcW w:w="724" w:type="pct"/>
            <w:tcBorders>
              <w:top w:val="nil"/>
              <w:left w:val="nil"/>
              <w:bottom w:val="single" w:sz="8" w:space="0" w:color="auto"/>
              <w:right w:val="nil"/>
            </w:tcBorders>
            <w:shd w:val="clear" w:color="auto" w:fill="auto"/>
            <w:noWrap/>
            <w:vAlign w:val="center"/>
            <w:hideMark/>
          </w:tcPr>
          <w:p w14:paraId="5A842888"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123.2%</w:t>
            </w:r>
          </w:p>
        </w:tc>
        <w:tc>
          <w:tcPr>
            <w:tcW w:w="724" w:type="pct"/>
            <w:tcBorders>
              <w:top w:val="nil"/>
              <w:left w:val="nil"/>
              <w:bottom w:val="single" w:sz="8" w:space="0" w:color="auto"/>
              <w:right w:val="nil"/>
            </w:tcBorders>
            <w:shd w:val="clear" w:color="auto" w:fill="auto"/>
            <w:noWrap/>
            <w:vAlign w:val="center"/>
            <w:hideMark/>
          </w:tcPr>
          <w:p w14:paraId="1B13E2F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100.1%</w:t>
            </w:r>
          </w:p>
        </w:tc>
        <w:tc>
          <w:tcPr>
            <w:tcW w:w="801" w:type="pct"/>
            <w:tcBorders>
              <w:top w:val="nil"/>
              <w:left w:val="single" w:sz="4" w:space="0" w:color="auto"/>
              <w:bottom w:val="single" w:sz="8" w:space="0" w:color="auto"/>
              <w:right w:val="single" w:sz="8" w:space="0" w:color="auto"/>
            </w:tcBorders>
            <w:shd w:val="clear" w:color="auto" w:fill="auto"/>
            <w:noWrap/>
            <w:vAlign w:val="center"/>
            <w:hideMark/>
          </w:tcPr>
          <w:p w14:paraId="64F602D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100.1%</w:t>
            </w:r>
          </w:p>
        </w:tc>
      </w:tr>
      <w:tr w:rsidR="008663E6" w:rsidRPr="008663E6" w14:paraId="09C669DD" w14:textId="77777777" w:rsidTr="008663E6">
        <w:trPr>
          <w:trHeight w:val="255"/>
        </w:trPr>
        <w:tc>
          <w:tcPr>
            <w:tcW w:w="712" w:type="pct"/>
            <w:tcBorders>
              <w:top w:val="nil"/>
              <w:left w:val="nil"/>
              <w:bottom w:val="nil"/>
              <w:right w:val="nil"/>
            </w:tcBorders>
            <w:shd w:val="clear" w:color="auto" w:fill="auto"/>
            <w:noWrap/>
            <w:vAlign w:val="center"/>
            <w:hideMark/>
          </w:tcPr>
          <w:p w14:paraId="209274B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288" w:type="pct"/>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935F94"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663E6">
              <w:rPr>
                <w:rFonts w:ascii="Arial" w:eastAsia="맑은 고딕" w:hAnsi="Arial" w:cs="Arial"/>
                <w:b/>
                <w:bCs/>
                <w:color w:val="000000"/>
                <w:sz w:val="18"/>
                <w:szCs w:val="18"/>
                <w:lang w:eastAsia="ko-KR"/>
              </w:rPr>
              <w:t>Random Access Main 10</w:t>
            </w:r>
          </w:p>
        </w:tc>
      </w:tr>
      <w:tr w:rsidR="008663E6" w:rsidRPr="008663E6" w14:paraId="03D32006" w14:textId="77777777" w:rsidTr="008663E6">
        <w:trPr>
          <w:trHeight w:val="255"/>
        </w:trPr>
        <w:tc>
          <w:tcPr>
            <w:tcW w:w="712" w:type="pct"/>
            <w:tcBorders>
              <w:top w:val="nil"/>
              <w:left w:val="nil"/>
              <w:bottom w:val="nil"/>
              <w:right w:val="nil"/>
            </w:tcBorders>
            <w:shd w:val="clear" w:color="auto" w:fill="auto"/>
            <w:noWrap/>
            <w:vAlign w:val="center"/>
            <w:hideMark/>
          </w:tcPr>
          <w:p w14:paraId="1BD8068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288" w:type="pct"/>
            <w:gridSpan w:val="6"/>
            <w:tcBorders>
              <w:top w:val="nil"/>
              <w:left w:val="single" w:sz="8" w:space="0" w:color="auto"/>
              <w:bottom w:val="nil"/>
              <w:right w:val="single" w:sz="8" w:space="0" w:color="000000"/>
            </w:tcBorders>
            <w:shd w:val="clear" w:color="auto" w:fill="auto"/>
            <w:noWrap/>
            <w:vAlign w:val="center"/>
            <w:hideMark/>
          </w:tcPr>
          <w:p w14:paraId="497E0D5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663E6">
              <w:rPr>
                <w:rFonts w:ascii="Arial" w:eastAsia="맑은 고딕" w:hAnsi="Arial" w:cs="Arial"/>
                <w:b/>
                <w:bCs/>
                <w:color w:val="000000"/>
                <w:sz w:val="18"/>
                <w:szCs w:val="18"/>
                <w:lang w:eastAsia="ko-KR"/>
              </w:rPr>
              <w:t>Over ECM-10.0</w:t>
            </w:r>
          </w:p>
        </w:tc>
      </w:tr>
      <w:tr w:rsidR="008663E6" w:rsidRPr="008663E6" w14:paraId="585C7CFA" w14:textId="77777777" w:rsidTr="008663E6">
        <w:trPr>
          <w:trHeight w:val="255"/>
        </w:trPr>
        <w:tc>
          <w:tcPr>
            <w:tcW w:w="712" w:type="pct"/>
            <w:tcBorders>
              <w:top w:val="nil"/>
              <w:left w:val="nil"/>
              <w:bottom w:val="nil"/>
              <w:right w:val="nil"/>
            </w:tcBorders>
            <w:shd w:val="clear" w:color="auto" w:fill="auto"/>
            <w:noWrap/>
            <w:vAlign w:val="center"/>
            <w:hideMark/>
          </w:tcPr>
          <w:p w14:paraId="55802FF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79" w:type="pct"/>
            <w:tcBorders>
              <w:top w:val="nil"/>
              <w:left w:val="single" w:sz="8" w:space="0" w:color="auto"/>
              <w:bottom w:val="single" w:sz="8" w:space="0" w:color="auto"/>
              <w:right w:val="nil"/>
            </w:tcBorders>
            <w:shd w:val="clear" w:color="auto" w:fill="auto"/>
            <w:noWrap/>
            <w:vAlign w:val="center"/>
            <w:hideMark/>
          </w:tcPr>
          <w:p w14:paraId="31BDE46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Y</w:t>
            </w:r>
          </w:p>
        </w:tc>
        <w:tc>
          <w:tcPr>
            <w:tcW w:w="679" w:type="pct"/>
            <w:tcBorders>
              <w:top w:val="nil"/>
              <w:left w:val="nil"/>
              <w:bottom w:val="single" w:sz="8" w:space="0" w:color="auto"/>
              <w:right w:val="nil"/>
            </w:tcBorders>
            <w:shd w:val="clear" w:color="auto" w:fill="auto"/>
            <w:noWrap/>
            <w:vAlign w:val="center"/>
            <w:hideMark/>
          </w:tcPr>
          <w:p w14:paraId="5CEF7DE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U</w:t>
            </w:r>
          </w:p>
        </w:tc>
        <w:tc>
          <w:tcPr>
            <w:tcW w:w="679" w:type="pct"/>
            <w:tcBorders>
              <w:top w:val="nil"/>
              <w:left w:val="nil"/>
              <w:bottom w:val="single" w:sz="8" w:space="0" w:color="auto"/>
              <w:right w:val="single" w:sz="4" w:space="0" w:color="auto"/>
            </w:tcBorders>
            <w:shd w:val="clear" w:color="auto" w:fill="auto"/>
            <w:noWrap/>
            <w:vAlign w:val="center"/>
            <w:hideMark/>
          </w:tcPr>
          <w:p w14:paraId="6ABD31B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V</w:t>
            </w:r>
          </w:p>
        </w:tc>
        <w:tc>
          <w:tcPr>
            <w:tcW w:w="724" w:type="pct"/>
            <w:tcBorders>
              <w:top w:val="nil"/>
              <w:left w:val="nil"/>
              <w:bottom w:val="single" w:sz="8" w:space="0" w:color="auto"/>
              <w:right w:val="nil"/>
            </w:tcBorders>
            <w:shd w:val="clear" w:color="auto" w:fill="auto"/>
            <w:noWrap/>
            <w:vAlign w:val="center"/>
            <w:hideMark/>
          </w:tcPr>
          <w:p w14:paraId="7729724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EncT</w:t>
            </w:r>
          </w:p>
        </w:tc>
        <w:tc>
          <w:tcPr>
            <w:tcW w:w="724" w:type="pct"/>
            <w:tcBorders>
              <w:top w:val="nil"/>
              <w:left w:val="nil"/>
              <w:bottom w:val="single" w:sz="8" w:space="0" w:color="auto"/>
              <w:right w:val="nil"/>
            </w:tcBorders>
            <w:shd w:val="clear" w:color="auto" w:fill="auto"/>
            <w:noWrap/>
            <w:vAlign w:val="center"/>
            <w:hideMark/>
          </w:tcPr>
          <w:p w14:paraId="0C10FE9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DecT</w:t>
            </w:r>
          </w:p>
        </w:tc>
        <w:tc>
          <w:tcPr>
            <w:tcW w:w="802" w:type="pct"/>
            <w:tcBorders>
              <w:top w:val="nil"/>
              <w:left w:val="single" w:sz="4" w:space="0" w:color="auto"/>
              <w:bottom w:val="single" w:sz="8" w:space="0" w:color="auto"/>
              <w:right w:val="single" w:sz="8" w:space="0" w:color="auto"/>
            </w:tcBorders>
            <w:shd w:val="clear" w:color="auto" w:fill="auto"/>
            <w:noWrap/>
            <w:vAlign w:val="center"/>
            <w:hideMark/>
          </w:tcPr>
          <w:p w14:paraId="030455CE"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VmPeak</w:t>
            </w:r>
          </w:p>
        </w:tc>
      </w:tr>
      <w:tr w:rsidR="008663E6" w:rsidRPr="008663E6" w14:paraId="716347FB" w14:textId="77777777" w:rsidTr="008663E6">
        <w:trPr>
          <w:trHeight w:val="255"/>
        </w:trPr>
        <w:tc>
          <w:tcPr>
            <w:tcW w:w="712" w:type="pct"/>
            <w:tcBorders>
              <w:top w:val="single" w:sz="8" w:space="0" w:color="auto"/>
              <w:left w:val="single" w:sz="8" w:space="0" w:color="auto"/>
              <w:bottom w:val="nil"/>
              <w:right w:val="single" w:sz="8" w:space="0" w:color="auto"/>
            </w:tcBorders>
            <w:shd w:val="clear" w:color="auto" w:fill="auto"/>
            <w:noWrap/>
            <w:vAlign w:val="center"/>
            <w:hideMark/>
          </w:tcPr>
          <w:p w14:paraId="6F33650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A1</w:t>
            </w:r>
          </w:p>
        </w:tc>
        <w:tc>
          <w:tcPr>
            <w:tcW w:w="679" w:type="pct"/>
            <w:tcBorders>
              <w:top w:val="nil"/>
              <w:left w:val="nil"/>
              <w:bottom w:val="nil"/>
              <w:right w:val="nil"/>
            </w:tcBorders>
            <w:shd w:val="clear" w:color="auto" w:fill="auto"/>
            <w:noWrap/>
            <w:vAlign w:val="center"/>
            <w:hideMark/>
          </w:tcPr>
          <w:p w14:paraId="21B89996"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-0.36%</w:t>
            </w:r>
          </w:p>
        </w:tc>
        <w:tc>
          <w:tcPr>
            <w:tcW w:w="679" w:type="pct"/>
            <w:tcBorders>
              <w:top w:val="nil"/>
              <w:left w:val="nil"/>
              <w:bottom w:val="nil"/>
              <w:right w:val="nil"/>
            </w:tcBorders>
            <w:shd w:val="clear" w:color="auto" w:fill="auto"/>
            <w:noWrap/>
            <w:vAlign w:val="center"/>
            <w:hideMark/>
          </w:tcPr>
          <w:p w14:paraId="41E8DEB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-0.47%</w:t>
            </w:r>
          </w:p>
        </w:tc>
        <w:tc>
          <w:tcPr>
            <w:tcW w:w="679" w:type="pct"/>
            <w:tcBorders>
              <w:top w:val="nil"/>
              <w:left w:val="nil"/>
              <w:bottom w:val="nil"/>
              <w:right w:val="single" w:sz="4" w:space="0" w:color="auto"/>
            </w:tcBorders>
            <w:shd w:val="clear" w:color="auto" w:fill="auto"/>
            <w:noWrap/>
            <w:vAlign w:val="center"/>
            <w:hideMark/>
          </w:tcPr>
          <w:p w14:paraId="1DB405EB"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-0.29%</w:t>
            </w:r>
          </w:p>
        </w:tc>
        <w:tc>
          <w:tcPr>
            <w:tcW w:w="724" w:type="pct"/>
            <w:tcBorders>
              <w:top w:val="nil"/>
              <w:left w:val="nil"/>
              <w:bottom w:val="nil"/>
              <w:right w:val="nil"/>
            </w:tcBorders>
            <w:shd w:val="clear" w:color="auto" w:fill="auto"/>
            <w:noWrap/>
            <w:vAlign w:val="center"/>
            <w:hideMark/>
          </w:tcPr>
          <w:p w14:paraId="1E53C524"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120.2%</w:t>
            </w:r>
          </w:p>
        </w:tc>
        <w:tc>
          <w:tcPr>
            <w:tcW w:w="724" w:type="pct"/>
            <w:tcBorders>
              <w:top w:val="nil"/>
              <w:left w:val="nil"/>
              <w:bottom w:val="nil"/>
              <w:right w:val="nil"/>
            </w:tcBorders>
            <w:shd w:val="clear" w:color="auto" w:fill="auto"/>
            <w:noWrap/>
            <w:vAlign w:val="center"/>
            <w:hideMark/>
          </w:tcPr>
          <w:p w14:paraId="0EBEB57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99.9%</w:t>
            </w:r>
          </w:p>
        </w:tc>
        <w:tc>
          <w:tcPr>
            <w:tcW w:w="802" w:type="pct"/>
            <w:tcBorders>
              <w:top w:val="nil"/>
              <w:left w:val="single" w:sz="4" w:space="0" w:color="auto"/>
              <w:bottom w:val="nil"/>
              <w:right w:val="single" w:sz="8" w:space="0" w:color="auto"/>
            </w:tcBorders>
            <w:shd w:val="clear" w:color="auto" w:fill="auto"/>
            <w:noWrap/>
            <w:vAlign w:val="center"/>
            <w:hideMark/>
          </w:tcPr>
          <w:p w14:paraId="454489B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100.1%</w:t>
            </w:r>
          </w:p>
        </w:tc>
      </w:tr>
      <w:tr w:rsidR="008663E6" w:rsidRPr="008663E6" w14:paraId="6611A835" w14:textId="77777777" w:rsidTr="008663E6">
        <w:trPr>
          <w:trHeight w:val="255"/>
        </w:trPr>
        <w:tc>
          <w:tcPr>
            <w:tcW w:w="712" w:type="pct"/>
            <w:tcBorders>
              <w:top w:val="nil"/>
              <w:left w:val="single" w:sz="8" w:space="0" w:color="auto"/>
              <w:bottom w:val="nil"/>
              <w:right w:val="single" w:sz="8" w:space="0" w:color="auto"/>
            </w:tcBorders>
            <w:shd w:val="clear" w:color="auto" w:fill="auto"/>
            <w:noWrap/>
            <w:vAlign w:val="center"/>
            <w:hideMark/>
          </w:tcPr>
          <w:p w14:paraId="08CD4B9E"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A2</w:t>
            </w:r>
          </w:p>
        </w:tc>
        <w:tc>
          <w:tcPr>
            <w:tcW w:w="679" w:type="pct"/>
            <w:tcBorders>
              <w:top w:val="nil"/>
              <w:left w:val="nil"/>
              <w:bottom w:val="nil"/>
              <w:right w:val="nil"/>
            </w:tcBorders>
            <w:shd w:val="clear" w:color="auto" w:fill="auto"/>
            <w:noWrap/>
            <w:vAlign w:val="center"/>
            <w:hideMark/>
          </w:tcPr>
          <w:p w14:paraId="46DAA15F"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-0.34%</w:t>
            </w:r>
          </w:p>
        </w:tc>
        <w:tc>
          <w:tcPr>
            <w:tcW w:w="679" w:type="pct"/>
            <w:tcBorders>
              <w:top w:val="nil"/>
              <w:left w:val="nil"/>
              <w:bottom w:val="nil"/>
              <w:right w:val="nil"/>
            </w:tcBorders>
            <w:shd w:val="clear" w:color="auto" w:fill="auto"/>
            <w:noWrap/>
            <w:vAlign w:val="center"/>
            <w:hideMark/>
          </w:tcPr>
          <w:p w14:paraId="4C6DA376"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-0.65%</w:t>
            </w:r>
          </w:p>
        </w:tc>
        <w:tc>
          <w:tcPr>
            <w:tcW w:w="679" w:type="pct"/>
            <w:tcBorders>
              <w:top w:val="nil"/>
              <w:left w:val="nil"/>
              <w:bottom w:val="nil"/>
              <w:right w:val="single" w:sz="4" w:space="0" w:color="auto"/>
            </w:tcBorders>
            <w:shd w:val="clear" w:color="auto" w:fill="auto"/>
            <w:noWrap/>
            <w:vAlign w:val="center"/>
            <w:hideMark/>
          </w:tcPr>
          <w:p w14:paraId="2524B99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-0.35%</w:t>
            </w:r>
          </w:p>
        </w:tc>
        <w:tc>
          <w:tcPr>
            <w:tcW w:w="724" w:type="pct"/>
            <w:tcBorders>
              <w:top w:val="nil"/>
              <w:left w:val="nil"/>
              <w:bottom w:val="nil"/>
              <w:right w:val="nil"/>
            </w:tcBorders>
            <w:shd w:val="clear" w:color="auto" w:fill="auto"/>
            <w:noWrap/>
            <w:vAlign w:val="center"/>
            <w:hideMark/>
          </w:tcPr>
          <w:p w14:paraId="0CEF9F0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120.5%</w:t>
            </w:r>
          </w:p>
        </w:tc>
        <w:tc>
          <w:tcPr>
            <w:tcW w:w="724" w:type="pct"/>
            <w:tcBorders>
              <w:top w:val="nil"/>
              <w:left w:val="nil"/>
              <w:bottom w:val="nil"/>
              <w:right w:val="nil"/>
            </w:tcBorders>
            <w:shd w:val="clear" w:color="auto" w:fill="auto"/>
            <w:noWrap/>
            <w:vAlign w:val="center"/>
            <w:hideMark/>
          </w:tcPr>
          <w:p w14:paraId="5FB4C7F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100.6%</w:t>
            </w:r>
          </w:p>
        </w:tc>
        <w:tc>
          <w:tcPr>
            <w:tcW w:w="802" w:type="pct"/>
            <w:tcBorders>
              <w:top w:val="nil"/>
              <w:left w:val="single" w:sz="4" w:space="0" w:color="auto"/>
              <w:bottom w:val="nil"/>
              <w:right w:val="single" w:sz="8" w:space="0" w:color="auto"/>
            </w:tcBorders>
            <w:shd w:val="clear" w:color="auto" w:fill="auto"/>
            <w:noWrap/>
            <w:vAlign w:val="center"/>
            <w:hideMark/>
          </w:tcPr>
          <w:p w14:paraId="3567B18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99.9%</w:t>
            </w:r>
          </w:p>
        </w:tc>
      </w:tr>
      <w:tr w:rsidR="008663E6" w:rsidRPr="008663E6" w14:paraId="348D8469" w14:textId="77777777" w:rsidTr="008663E6">
        <w:trPr>
          <w:trHeight w:val="255"/>
        </w:trPr>
        <w:tc>
          <w:tcPr>
            <w:tcW w:w="712" w:type="pct"/>
            <w:tcBorders>
              <w:top w:val="nil"/>
              <w:left w:val="single" w:sz="8" w:space="0" w:color="auto"/>
              <w:bottom w:val="nil"/>
              <w:right w:val="single" w:sz="8" w:space="0" w:color="auto"/>
            </w:tcBorders>
            <w:shd w:val="clear" w:color="auto" w:fill="auto"/>
            <w:noWrap/>
            <w:vAlign w:val="center"/>
            <w:hideMark/>
          </w:tcPr>
          <w:p w14:paraId="4E6EED3E"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B</w:t>
            </w:r>
          </w:p>
        </w:tc>
        <w:tc>
          <w:tcPr>
            <w:tcW w:w="679" w:type="pct"/>
            <w:tcBorders>
              <w:top w:val="nil"/>
              <w:left w:val="nil"/>
              <w:bottom w:val="nil"/>
              <w:right w:val="nil"/>
            </w:tcBorders>
            <w:shd w:val="clear" w:color="auto" w:fill="auto"/>
            <w:noWrap/>
            <w:vAlign w:val="center"/>
            <w:hideMark/>
          </w:tcPr>
          <w:p w14:paraId="1090444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-0.34%</w:t>
            </w:r>
          </w:p>
        </w:tc>
        <w:tc>
          <w:tcPr>
            <w:tcW w:w="679" w:type="pct"/>
            <w:tcBorders>
              <w:top w:val="nil"/>
              <w:left w:val="nil"/>
              <w:bottom w:val="nil"/>
              <w:right w:val="nil"/>
            </w:tcBorders>
            <w:shd w:val="clear" w:color="auto" w:fill="auto"/>
            <w:noWrap/>
            <w:vAlign w:val="center"/>
            <w:hideMark/>
          </w:tcPr>
          <w:p w14:paraId="09975E9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-0.40%</w:t>
            </w:r>
          </w:p>
        </w:tc>
        <w:tc>
          <w:tcPr>
            <w:tcW w:w="679" w:type="pct"/>
            <w:tcBorders>
              <w:top w:val="nil"/>
              <w:left w:val="nil"/>
              <w:bottom w:val="nil"/>
              <w:right w:val="single" w:sz="4" w:space="0" w:color="auto"/>
            </w:tcBorders>
            <w:shd w:val="clear" w:color="auto" w:fill="auto"/>
            <w:noWrap/>
            <w:vAlign w:val="center"/>
            <w:hideMark/>
          </w:tcPr>
          <w:p w14:paraId="0F1371D6"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-0.50%</w:t>
            </w:r>
          </w:p>
        </w:tc>
        <w:tc>
          <w:tcPr>
            <w:tcW w:w="724" w:type="pct"/>
            <w:tcBorders>
              <w:top w:val="nil"/>
              <w:left w:val="nil"/>
              <w:bottom w:val="nil"/>
              <w:right w:val="nil"/>
            </w:tcBorders>
            <w:shd w:val="clear" w:color="auto" w:fill="auto"/>
            <w:noWrap/>
            <w:vAlign w:val="center"/>
            <w:hideMark/>
          </w:tcPr>
          <w:p w14:paraId="7802E91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121.8%</w:t>
            </w:r>
          </w:p>
        </w:tc>
        <w:tc>
          <w:tcPr>
            <w:tcW w:w="724" w:type="pct"/>
            <w:tcBorders>
              <w:top w:val="nil"/>
              <w:left w:val="nil"/>
              <w:bottom w:val="nil"/>
              <w:right w:val="nil"/>
            </w:tcBorders>
            <w:shd w:val="clear" w:color="auto" w:fill="auto"/>
            <w:noWrap/>
            <w:vAlign w:val="center"/>
            <w:hideMark/>
          </w:tcPr>
          <w:p w14:paraId="22B4389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100.9%</w:t>
            </w:r>
          </w:p>
        </w:tc>
        <w:tc>
          <w:tcPr>
            <w:tcW w:w="802" w:type="pct"/>
            <w:tcBorders>
              <w:top w:val="nil"/>
              <w:left w:val="single" w:sz="4" w:space="0" w:color="auto"/>
              <w:bottom w:val="nil"/>
              <w:right w:val="single" w:sz="8" w:space="0" w:color="auto"/>
            </w:tcBorders>
            <w:shd w:val="clear" w:color="auto" w:fill="auto"/>
            <w:noWrap/>
            <w:vAlign w:val="center"/>
            <w:hideMark/>
          </w:tcPr>
          <w:p w14:paraId="76EB1B9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100.2%</w:t>
            </w:r>
          </w:p>
        </w:tc>
      </w:tr>
      <w:tr w:rsidR="008663E6" w:rsidRPr="008663E6" w14:paraId="393F2589" w14:textId="77777777" w:rsidTr="008663E6">
        <w:trPr>
          <w:trHeight w:val="255"/>
        </w:trPr>
        <w:tc>
          <w:tcPr>
            <w:tcW w:w="712" w:type="pct"/>
            <w:tcBorders>
              <w:top w:val="nil"/>
              <w:left w:val="single" w:sz="8" w:space="0" w:color="auto"/>
              <w:bottom w:val="nil"/>
              <w:right w:val="single" w:sz="8" w:space="0" w:color="auto"/>
            </w:tcBorders>
            <w:shd w:val="clear" w:color="auto" w:fill="auto"/>
            <w:noWrap/>
            <w:vAlign w:val="center"/>
            <w:hideMark/>
          </w:tcPr>
          <w:p w14:paraId="341D780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C</w:t>
            </w:r>
          </w:p>
        </w:tc>
        <w:tc>
          <w:tcPr>
            <w:tcW w:w="679" w:type="pct"/>
            <w:tcBorders>
              <w:top w:val="nil"/>
              <w:left w:val="nil"/>
              <w:bottom w:val="nil"/>
              <w:right w:val="nil"/>
            </w:tcBorders>
            <w:shd w:val="clear" w:color="auto" w:fill="auto"/>
            <w:noWrap/>
            <w:vAlign w:val="center"/>
            <w:hideMark/>
          </w:tcPr>
          <w:p w14:paraId="6991794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-0.34%</w:t>
            </w:r>
          </w:p>
        </w:tc>
        <w:tc>
          <w:tcPr>
            <w:tcW w:w="679" w:type="pct"/>
            <w:tcBorders>
              <w:top w:val="nil"/>
              <w:left w:val="nil"/>
              <w:bottom w:val="nil"/>
              <w:right w:val="nil"/>
            </w:tcBorders>
            <w:shd w:val="clear" w:color="auto" w:fill="auto"/>
            <w:noWrap/>
            <w:vAlign w:val="center"/>
            <w:hideMark/>
          </w:tcPr>
          <w:p w14:paraId="0CE5A9F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-0.32%</w:t>
            </w:r>
          </w:p>
        </w:tc>
        <w:tc>
          <w:tcPr>
            <w:tcW w:w="679" w:type="pct"/>
            <w:tcBorders>
              <w:top w:val="nil"/>
              <w:left w:val="nil"/>
              <w:bottom w:val="nil"/>
              <w:right w:val="single" w:sz="4" w:space="0" w:color="auto"/>
            </w:tcBorders>
            <w:shd w:val="clear" w:color="auto" w:fill="auto"/>
            <w:noWrap/>
            <w:vAlign w:val="center"/>
            <w:hideMark/>
          </w:tcPr>
          <w:p w14:paraId="61B69CDB"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-0.60%</w:t>
            </w:r>
          </w:p>
        </w:tc>
        <w:tc>
          <w:tcPr>
            <w:tcW w:w="724" w:type="pct"/>
            <w:tcBorders>
              <w:top w:val="nil"/>
              <w:left w:val="nil"/>
              <w:bottom w:val="nil"/>
              <w:right w:val="nil"/>
            </w:tcBorders>
            <w:shd w:val="clear" w:color="auto" w:fill="auto"/>
            <w:noWrap/>
            <w:vAlign w:val="center"/>
            <w:hideMark/>
          </w:tcPr>
          <w:p w14:paraId="35AC70E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124.3%</w:t>
            </w:r>
          </w:p>
        </w:tc>
        <w:tc>
          <w:tcPr>
            <w:tcW w:w="724" w:type="pct"/>
            <w:tcBorders>
              <w:top w:val="nil"/>
              <w:left w:val="nil"/>
              <w:bottom w:val="nil"/>
              <w:right w:val="nil"/>
            </w:tcBorders>
            <w:shd w:val="clear" w:color="auto" w:fill="auto"/>
            <w:noWrap/>
            <w:vAlign w:val="center"/>
            <w:hideMark/>
          </w:tcPr>
          <w:p w14:paraId="337309C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101.1%</w:t>
            </w:r>
          </w:p>
        </w:tc>
        <w:tc>
          <w:tcPr>
            <w:tcW w:w="802" w:type="pct"/>
            <w:tcBorders>
              <w:top w:val="nil"/>
              <w:left w:val="single" w:sz="4" w:space="0" w:color="auto"/>
              <w:bottom w:val="nil"/>
              <w:right w:val="single" w:sz="8" w:space="0" w:color="auto"/>
            </w:tcBorders>
            <w:shd w:val="clear" w:color="auto" w:fill="auto"/>
            <w:noWrap/>
            <w:vAlign w:val="center"/>
            <w:hideMark/>
          </w:tcPr>
          <w:p w14:paraId="5F4A1CC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100.1%</w:t>
            </w:r>
          </w:p>
        </w:tc>
      </w:tr>
      <w:tr w:rsidR="008663E6" w:rsidRPr="008663E6" w14:paraId="059AA6F8" w14:textId="77777777" w:rsidTr="008663E6">
        <w:trPr>
          <w:trHeight w:val="255"/>
        </w:trPr>
        <w:tc>
          <w:tcPr>
            <w:tcW w:w="712" w:type="pct"/>
            <w:tcBorders>
              <w:top w:val="nil"/>
              <w:left w:val="single" w:sz="8" w:space="0" w:color="auto"/>
              <w:bottom w:val="nil"/>
              <w:right w:val="single" w:sz="8" w:space="0" w:color="auto"/>
            </w:tcBorders>
            <w:shd w:val="clear" w:color="auto" w:fill="auto"/>
            <w:noWrap/>
            <w:vAlign w:val="center"/>
            <w:hideMark/>
          </w:tcPr>
          <w:p w14:paraId="468FBC6E"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E</w:t>
            </w:r>
          </w:p>
        </w:tc>
        <w:tc>
          <w:tcPr>
            <w:tcW w:w="679" w:type="pct"/>
            <w:tcBorders>
              <w:top w:val="nil"/>
              <w:left w:val="nil"/>
              <w:bottom w:val="nil"/>
              <w:right w:val="nil"/>
            </w:tcBorders>
            <w:shd w:val="clear" w:color="auto" w:fill="auto"/>
            <w:noWrap/>
            <w:vAlign w:val="center"/>
          </w:tcPr>
          <w:p w14:paraId="133CA2A1" w14:textId="26F0E9BB"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679" w:type="pct"/>
            <w:tcBorders>
              <w:top w:val="nil"/>
              <w:left w:val="nil"/>
              <w:bottom w:val="nil"/>
              <w:right w:val="nil"/>
            </w:tcBorders>
            <w:shd w:val="clear" w:color="auto" w:fill="auto"/>
            <w:noWrap/>
            <w:vAlign w:val="center"/>
          </w:tcPr>
          <w:p w14:paraId="1837A5B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679" w:type="pct"/>
            <w:tcBorders>
              <w:top w:val="nil"/>
              <w:left w:val="nil"/>
              <w:bottom w:val="nil"/>
              <w:right w:val="single" w:sz="4" w:space="0" w:color="auto"/>
            </w:tcBorders>
            <w:shd w:val="clear" w:color="auto" w:fill="auto"/>
            <w:noWrap/>
            <w:vAlign w:val="center"/>
          </w:tcPr>
          <w:p w14:paraId="29DD7CA1" w14:textId="0A422778"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24" w:type="pct"/>
            <w:tcBorders>
              <w:top w:val="nil"/>
              <w:left w:val="nil"/>
              <w:bottom w:val="nil"/>
              <w:right w:val="nil"/>
            </w:tcBorders>
            <w:shd w:val="clear" w:color="auto" w:fill="auto"/>
            <w:noWrap/>
            <w:vAlign w:val="center"/>
          </w:tcPr>
          <w:p w14:paraId="3102FED6" w14:textId="39BFB2FB"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24" w:type="pct"/>
            <w:tcBorders>
              <w:top w:val="nil"/>
              <w:left w:val="nil"/>
              <w:bottom w:val="nil"/>
              <w:right w:val="nil"/>
            </w:tcBorders>
            <w:shd w:val="clear" w:color="auto" w:fill="auto"/>
            <w:noWrap/>
            <w:vAlign w:val="center"/>
          </w:tcPr>
          <w:p w14:paraId="5AF7231E"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802" w:type="pct"/>
            <w:tcBorders>
              <w:top w:val="nil"/>
              <w:left w:val="single" w:sz="4" w:space="0" w:color="auto"/>
              <w:bottom w:val="nil"/>
              <w:right w:val="single" w:sz="8" w:space="0" w:color="auto"/>
            </w:tcBorders>
            <w:shd w:val="clear" w:color="auto" w:fill="auto"/>
            <w:noWrap/>
            <w:vAlign w:val="center"/>
          </w:tcPr>
          <w:p w14:paraId="560B2BC2" w14:textId="710A788D"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8663E6" w:rsidRPr="008663E6" w14:paraId="35D8F5C4" w14:textId="77777777" w:rsidTr="008663E6">
        <w:trPr>
          <w:trHeight w:val="255"/>
        </w:trPr>
        <w:tc>
          <w:tcPr>
            <w:tcW w:w="712" w:type="pct"/>
            <w:tcBorders>
              <w:top w:val="single" w:sz="8" w:space="0" w:color="auto"/>
              <w:left w:val="single" w:sz="8" w:space="0" w:color="auto"/>
              <w:bottom w:val="nil"/>
              <w:right w:val="single" w:sz="8" w:space="0" w:color="auto"/>
            </w:tcBorders>
            <w:shd w:val="clear" w:color="auto" w:fill="auto"/>
            <w:noWrap/>
            <w:vAlign w:val="center"/>
            <w:hideMark/>
          </w:tcPr>
          <w:p w14:paraId="1904246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663E6">
              <w:rPr>
                <w:rFonts w:ascii="Arial" w:eastAsia="맑은 고딕" w:hAnsi="Arial" w:cs="Arial"/>
                <w:b/>
                <w:bCs/>
                <w:color w:val="000000"/>
                <w:sz w:val="18"/>
                <w:szCs w:val="18"/>
                <w:lang w:eastAsia="ko-KR"/>
              </w:rPr>
              <w:t>Overall</w:t>
            </w:r>
          </w:p>
        </w:tc>
        <w:tc>
          <w:tcPr>
            <w:tcW w:w="679" w:type="pct"/>
            <w:tcBorders>
              <w:top w:val="single" w:sz="8" w:space="0" w:color="auto"/>
              <w:left w:val="nil"/>
              <w:bottom w:val="nil"/>
              <w:right w:val="nil"/>
            </w:tcBorders>
            <w:shd w:val="clear" w:color="auto" w:fill="auto"/>
            <w:noWrap/>
            <w:vAlign w:val="center"/>
            <w:hideMark/>
          </w:tcPr>
          <w:p w14:paraId="4EF45E2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-0.34%</w:t>
            </w:r>
          </w:p>
        </w:tc>
        <w:tc>
          <w:tcPr>
            <w:tcW w:w="679" w:type="pct"/>
            <w:tcBorders>
              <w:top w:val="single" w:sz="8" w:space="0" w:color="auto"/>
              <w:left w:val="nil"/>
              <w:bottom w:val="nil"/>
              <w:right w:val="nil"/>
            </w:tcBorders>
            <w:shd w:val="clear" w:color="auto" w:fill="auto"/>
            <w:noWrap/>
            <w:vAlign w:val="center"/>
            <w:hideMark/>
          </w:tcPr>
          <w:p w14:paraId="0FCBD70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-0.44%</w:t>
            </w:r>
          </w:p>
        </w:tc>
        <w:tc>
          <w:tcPr>
            <w:tcW w:w="679" w:type="pct"/>
            <w:tcBorders>
              <w:top w:val="single" w:sz="8" w:space="0" w:color="auto"/>
              <w:left w:val="nil"/>
              <w:bottom w:val="nil"/>
              <w:right w:val="single" w:sz="4" w:space="0" w:color="auto"/>
            </w:tcBorders>
            <w:shd w:val="clear" w:color="auto" w:fill="auto"/>
            <w:noWrap/>
            <w:vAlign w:val="center"/>
            <w:hideMark/>
          </w:tcPr>
          <w:p w14:paraId="1A0411F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-0.45%</w:t>
            </w:r>
          </w:p>
        </w:tc>
        <w:tc>
          <w:tcPr>
            <w:tcW w:w="724" w:type="pct"/>
            <w:tcBorders>
              <w:top w:val="single" w:sz="8" w:space="0" w:color="auto"/>
              <w:left w:val="nil"/>
              <w:bottom w:val="nil"/>
              <w:right w:val="nil"/>
            </w:tcBorders>
            <w:shd w:val="clear" w:color="auto" w:fill="auto"/>
            <w:noWrap/>
            <w:vAlign w:val="center"/>
            <w:hideMark/>
          </w:tcPr>
          <w:p w14:paraId="2932DB7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121.9%</w:t>
            </w:r>
          </w:p>
        </w:tc>
        <w:tc>
          <w:tcPr>
            <w:tcW w:w="724" w:type="pct"/>
            <w:tcBorders>
              <w:top w:val="single" w:sz="8" w:space="0" w:color="auto"/>
              <w:left w:val="nil"/>
              <w:bottom w:val="nil"/>
              <w:right w:val="nil"/>
            </w:tcBorders>
            <w:shd w:val="clear" w:color="auto" w:fill="auto"/>
            <w:noWrap/>
            <w:vAlign w:val="center"/>
            <w:hideMark/>
          </w:tcPr>
          <w:p w14:paraId="1F1A6C2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100.7%</w:t>
            </w:r>
          </w:p>
        </w:tc>
        <w:tc>
          <w:tcPr>
            <w:tcW w:w="802"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3B3DAA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100.1%</w:t>
            </w:r>
          </w:p>
        </w:tc>
      </w:tr>
      <w:tr w:rsidR="008663E6" w:rsidRPr="008663E6" w14:paraId="72FD805D" w14:textId="77777777" w:rsidTr="008663E6">
        <w:trPr>
          <w:trHeight w:val="255"/>
        </w:trPr>
        <w:tc>
          <w:tcPr>
            <w:tcW w:w="712" w:type="pct"/>
            <w:tcBorders>
              <w:top w:val="single" w:sz="8" w:space="0" w:color="auto"/>
              <w:left w:val="single" w:sz="8" w:space="0" w:color="auto"/>
              <w:right w:val="single" w:sz="8" w:space="0" w:color="auto"/>
            </w:tcBorders>
            <w:shd w:val="clear" w:color="auto" w:fill="auto"/>
            <w:noWrap/>
            <w:vAlign w:val="center"/>
            <w:hideMark/>
          </w:tcPr>
          <w:p w14:paraId="5F592EA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D</w:t>
            </w:r>
          </w:p>
        </w:tc>
        <w:tc>
          <w:tcPr>
            <w:tcW w:w="679" w:type="pct"/>
            <w:tcBorders>
              <w:top w:val="single" w:sz="8" w:space="0" w:color="auto"/>
              <w:left w:val="nil"/>
              <w:right w:val="nil"/>
            </w:tcBorders>
            <w:shd w:val="clear" w:color="auto" w:fill="auto"/>
            <w:noWrap/>
            <w:vAlign w:val="center"/>
            <w:hideMark/>
          </w:tcPr>
          <w:p w14:paraId="7B5F9D5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-0.34%</w:t>
            </w:r>
          </w:p>
        </w:tc>
        <w:tc>
          <w:tcPr>
            <w:tcW w:w="679" w:type="pct"/>
            <w:tcBorders>
              <w:top w:val="single" w:sz="8" w:space="0" w:color="auto"/>
              <w:left w:val="nil"/>
              <w:right w:val="nil"/>
            </w:tcBorders>
            <w:shd w:val="clear" w:color="auto" w:fill="auto"/>
            <w:noWrap/>
            <w:vAlign w:val="center"/>
            <w:hideMark/>
          </w:tcPr>
          <w:p w14:paraId="1E235F2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-0.25%</w:t>
            </w:r>
          </w:p>
        </w:tc>
        <w:tc>
          <w:tcPr>
            <w:tcW w:w="679" w:type="pct"/>
            <w:tcBorders>
              <w:top w:val="single" w:sz="8" w:space="0" w:color="auto"/>
              <w:left w:val="nil"/>
              <w:right w:val="single" w:sz="4" w:space="0" w:color="auto"/>
            </w:tcBorders>
            <w:shd w:val="clear" w:color="auto" w:fill="auto"/>
            <w:noWrap/>
            <w:vAlign w:val="center"/>
            <w:hideMark/>
          </w:tcPr>
          <w:p w14:paraId="4E05571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-0.49%</w:t>
            </w:r>
          </w:p>
        </w:tc>
        <w:tc>
          <w:tcPr>
            <w:tcW w:w="724" w:type="pct"/>
            <w:tcBorders>
              <w:top w:val="single" w:sz="8" w:space="0" w:color="auto"/>
              <w:left w:val="nil"/>
              <w:right w:val="nil"/>
            </w:tcBorders>
            <w:shd w:val="clear" w:color="auto" w:fill="auto"/>
            <w:noWrap/>
            <w:vAlign w:val="center"/>
            <w:hideMark/>
          </w:tcPr>
          <w:p w14:paraId="3DEA1E76"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123.6%</w:t>
            </w:r>
          </w:p>
        </w:tc>
        <w:tc>
          <w:tcPr>
            <w:tcW w:w="724" w:type="pct"/>
            <w:tcBorders>
              <w:top w:val="single" w:sz="8" w:space="0" w:color="auto"/>
              <w:left w:val="nil"/>
              <w:right w:val="nil"/>
            </w:tcBorders>
            <w:shd w:val="clear" w:color="auto" w:fill="auto"/>
            <w:noWrap/>
            <w:vAlign w:val="center"/>
            <w:hideMark/>
          </w:tcPr>
          <w:p w14:paraId="599F754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100.8%</w:t>
            </w:r>
          </w:p>
        </w:tc>
        <w:tc>
          <w:tcPr>
            <w:tcW w:w="802" w:type="pct"/>
            <w:tcBorders>
              <w:top w:val="nil"/>
              <w:left w:val="single" w:sz="4" w:space="0" w:color="auto"/>
              <w:right w:val="single" w:sz="8" w:space="0" w:color="auto"/>
            </w:tcBorders>
            <w:shd w:val="clear" w:color="auto" w:fill="auto"/>
            <w:noWrap/>
            <w:vAlign w:val="center"/>
            <w:hideMark/>
          </w:tcPr>
          <w:p w14:paraId="5563DC0B"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r w:rsidR="008663E6" w:rsidRPr="008663E6" w14:paraId="30C6EC1E" w14:textId="77777777" w:rsidTr="008663E6">
        <w:trPr>
          <w:trHeight w:val="255"/>
        </w:trPr>
        <w:tc>
          <w:tcPr>
            <w:tcW w:w="712" w:type="pct"/>
            <w:tcBorders>
              <w:top w:val="nil"/>
              <w:left w:val="single" w:sz="8" w:space="0" w:color="auto"/>
              <w:bottom w:val="single" w:sz="8" w:space="0" w:color="auto"/>
              <w:right w:val="single" w:sz="8" w:space="0" w:color="auto"/>
            </w:tcBorders>
            <w:shd w:val="clear" w:color="auto" w:fill="auto"/>
            <w:noWrap/>
            <w:vAlign w:val="center"/>
            <w:hideMark/>
          </w:tcPr>
          <w:p w14:paraId="02325EF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F</w:t>
            </w:r>
          </w:p>
        </w:tc>
        <w:tc>
          <w:tcPr>
            <w:tcW w:w="679" w:type="pct"/>
            <w:tcBorders>
              <w:top w:val="nil"/>
              <w:left w:val="nil"/>
              <w:bottom w:val="single" w:sz="8" w:space="0" w:color="auto"/>
              <w:right w:val="nil"/>
            </w:tcBorders>
            <w:shd w:val="clear" w:color="auto" w:fill="auto"/>
            <w:noWrap/>
            <w:vAlign w:val="center"/>
            <w:hideMark/>
          </w:tcPr>
          <w:p w14:paraId="61728BF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-0.39%</w:t>
            </w:r>
          </w:p>
        </w:tc>
        <w:tc>
          <w:tcPr>
            <w:tcW w:w="679" w:type="pct"/>
            <w:tcBorders>
              <w:top w:val="nil"/>
              <w:left w:val="nil"/>
              <w:bottom w:val="single" w:sz="8" w:space="0" w:color="auto"/>
              <w:right w:val="nil"/>
            </w:tcBorders>
            <w:shd w:val="clear" w:color="auto" w:fill="auto"/>
            <w:noWrap/>
            <w:vAlign w:val="center"/>
            <w:hideMark/>
          </w:tcPr>
          <w:p w14:paraId="026F5E58"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-0.40%</w:t>
            </w:r>
          </w:p>
        </w:tc>
        <w:tc>
          <w:tcPr>
            <w:tcW w:w="679" w:type="pct"/>
            <w:tcBorders>
              <w:top w:val="nil"/>
              <w:left w:val="nil"/>
              <w:bottom w:val="single" w:sz="8" w:space="0" w:color="auto"/>
              <w:right w:val="single" w:sz="4" w:space="0" w:color="auto"/>
            </w:tcBorders>
            <w:shd w:val="clear" w:color="auto" w:fill="auto"/>
            <w:noWrap/>
            <w:vAlign w:val="center"/>
            <w:hideMark/>
          </w:tcPr>
          <w:p w14:paraId="05830C85"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-0.55%</w:t>
            </w:r>
          </w:p>
        </w:tc>
        <w:tc>
          <w:tcPr>
            <w:tcW w:w="724" w:type="pct"/>
            <w:tcBorders>
              <w:top w:val="nil"/>
              <w:left w:val="nil"/>
              <w:bottom w:val="single" w:sz="8" w:space="0" w:color="auto"/>
              <w:right w:val="nil"/>
            </w:tcBorders>
            <w:shd w:val="clear" w:color="auto" w:fill="auto"/>
            <w:noWrap/>
            <w:vAlign w:val="center"/>
            <w:hideMark/>
          </w:tcPr>
          <w:p w14:paraId="0F8406C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118.1%</w:t>
            </w:r>
          </w:p>
        </w:tc>
        <w:tc>
          <w:tcPr>
            <w:tcW w:w="724" w:type="pct"/>
            <w:tcBorders>
              <w:top w:val="nil"/>
              <w:left w:val="nil"/>
              <w:bottom w:val="single" w:sz="8" w:space="0" w:color="auto"/>
              <w:right w:val="nil"/>
            </w:tcBorders>
            <w:shd w:val="clear" w:color="auto" w:fill="auto"/>
            <w:noWrap/>
            <w:vAlign w:val="center"/>
            <w:hideMark/>
          </w:tcPr>
          <w:p w14:paraId="57052DE4"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99.5%</w:t>
            </w:r>
          </w:p>
        </w:tc>
        <w:tc>
          <w:tcPr>
            <w:tcW w:w="802" w:type="pct"/>
            <w:tcBorders>
              <w:top w:val="nil"/>
              <w:left w:val="single" w:sz="4" w:space="0" w:color="auto"/>
              <w:bottom w:val="single" w:sz="8" w:space="0" w:color="auto"/>
              <w:right w:val="single" w:sz="8" w:space="0" w:color="auto"/>
            </w:tcBorders>
            <w:shd w:val="clear" w:color="auto" w:fill="auto"/>
            <w:noWrap/>
            <w:vAlign w:val="center"/>
            <w:hideMark/>
          </w:tcPr>
          <w:p w14:paraId="7CBE6F76"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99.8%</w:t>
            </w:r>
          </w:p>
        </w:tc>
      </w:tr>
      <w:tr w:rsidR="008663E6" w:rsidRPr="008663E6" w14:paraId="03567C3B" w14:textId="77777777" w:rsidTr="008663E6">
        <w:trPr>
          <w:trHeight w:val="255"/>
        </w:trPr>
        <w:tc>
          <w:tcPr>
            <w:tcW w:w="712" w:type="pct"/>
            <w:tcBorders>
              <w:top w:val="nil"/>
              <w:left w:val="nil"/>
              <w:bottom w:val="nil"/>
              <w:right w:val="nil"/>
            </w:tcBorders>
            <w:shd w:val="clear" w:color="auto" w:fill="auto"/>
            <w:noWrap/>
            <w:vAlign w:val="center"/>
            <w:hideMark/>
          </w:tcPr>
          <w:p w14:paraId="7EB60E9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288" w:type="pct"/>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5A2BFE"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663E6">
              <w:rPr>
                <w:rFonts w:ascii="Arial" w:eastAsia="맑은 고딕" w:hAnsi="Arial" w:cs="Arial"/>
                <w:b/>
                <w:bCs/>
                <w:color w:val="000000"/>
                <w:sz w:val="18"/>
                <w:szCs w:val="18"/>
                <w:lang w:eastAsia="ko-KR"/>
              </w:rPr>
              <w:t xml:space="preserve">Low delay B Main 10 </w:t>
            </w:r>
          </w:p>
        </w:tc>
      </w:tr>
      <w:tr w:rsidR="008663E6" w:rsidRPr="008663E6" w14:paraId="299DAE4B" w14:textId="77777777" w:rsidTr="008663E6">
        <w:trPr>
          <w:trHeight w:val="255"/>
        </w:trPr>
        <w:tc>
          <w:tcPr>
            <w:tcW w:w="712" w:type="pct"/>
            <w:tcBorders>
              <w:top w:val="nil"/>
              <w:left w:val="nil"/>
              <w:bottom w:val="nil"/>
              <w:right w:val="nil"/>
            </w:tcBorders>
            <w:shd w:val="clear" w:color="auto" w:fill="auto"/>
            <w:noWrap/>
            <w:vAlign w:val="center"/>
            <w:hideMark/>
          </w:tcPr>
          <w:p w14:paraId="27E88574"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288" w:type="pct"/>
            <w:gridSpan w:val="6"/>
            <w:tcBorders>
              <w:top w:val="nil"/>
              <w:left w:val="single" w:sz="8" w:space="0" w:color="auto"/>
              <w:bottom w:val="nil"/>
              <w:right w:val="single" w:sz="8" w:space="0" w:color="000000"/>
            </w:tcBorders>
            <w:shd w:val="clear" w:color="auto" w:fill="auto"/>
            <w:noWrap/>
            <w:vAlign w:val="center"/>
            <w:hideMark/>
          </w:tcPr>
          <w:p w14:paraId="1E547874"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663E6">
              <w:rPr>
                <w:rFonts w:ascii="Arial" w:eastAsia="맑은 고딕" w:hAnsi="Arial" w:cs="Arial"/>
                <w:b/>
                <w:bCs/>
                <w:color w:val="000000"/>
                <w:sz w:val="18"/>
                <w:szCs w:val="18"/>
                <w:lang w:eastAsia="ko-KR"/>
              </w:rPr>
              <w:t>Over ECM-10.0</w:t>
            </w:r>
          </w:p>
        </w:tc>
      </w:tr>
      <w:tr w:rsidR="008663E6" w:rsidRPr="008663E6" w14:paraId="07D1808C" w14:textId="77777777" w:rsidTr="008663E6">
        <w:trPr>
          <w:trHeight w:val="255"/>
        </w:trPr>
        <w:tc>
          <w:tcPr>
            <w:tcW w:w="712" w:type="pct"/>
            <w:tcBorders>
              <w:top w:val="nil"/>
              <w:left w:val="nil"/>
              <w:bottom w:val="nil"/>
              <w:right w:val="nil"/>
            </w:tcBorders>
            <w:shd w:val="clear" w:color="auto" w:fill="auto"/>
            <w:noWrap/>
            <w:vAlign w:val="center"/>
            <w:hideMark/>
          </w:tcPr>
          <w:p w14:paraId="213436E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79" w:type="pct"/>
            <w:tcBorders>
              <w:top w:val="nil"/>
              <w:left w:val="single" w:sz="8" w:space="0" w:color="auto"/>
              <w:bottom w:val="single" w:sz="8" w:space="0" w:color="auto"/>
              <w:right w:val="nil"/>
            </w:tcBorders>
            <w:shd w:val="clear" w:color="auto" w:fill="auto"/>
            <w:noWrap/>
            <w:vAlign w:val="center"/>
            <w:hideMark/>
          </w:tcPr>
          <w:p w14:paraId="6B2B3CF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Y</w:t>
            </w:r>
          </w:p>
        </w:tc>
        <w:tc>
          <w:tcPr>
            <w:tcW w:w="679" w:type="pct"/>
            <w:tcBorders>
              <w:top w:val="nil"/>
              <w:left w:val="nil"/>
              <w:bottom w:val="single" w:sz="8" w:space="0" w:color="auto"/>
              <w:right w:val="nil"/>
            </w:tcBorders>
            <w:shd w:val="clear" w:color="auto" w:fill="auto"/>
            <w:noWrap/>
            <w:vAlign w:val="center"/>
            <w:hideMark/>
          </w:tcPr>
          <w:p w14:paraId="74CDE18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U</w:t>
            </w:r>
          </w:p>
        </w:tc>
        <w:tc>
          <w:tcPr>
            <w:tcW w:w="679" w:type="pct"/>
            <w:tcBorders>
              <w:top w:val="nil"/>
              <w:left w:val="nil"/>
              <w:bottom w:val="single" w:sz="8" w:space="0" w:color="auto"/>
              <w:right w:val="single" w:sz="4" w:space="0" w:color="auto"/>
            </w:tcBorders>
            <w:shd w:val="clear" w:color="auto" w:fill="auto"/>
            <w:noWrap/>
            <w:vAlign w:val="center"/>
            <w:hideMark/>
          </w:tcPr>
          <w:p w14:paraId="1951311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V</w:t>
            </w:r>
          </w:p>
        </w:tc>
        <w:tc>
          <w:tcPr>
            <w:tcW w:w="724" w:type="pct"/>
            <w:tcBorders>
              <w:top w:val="nil"/>
              <w:left w:val="nil"/>
              <w:bottom w:val="single" w:sz="8" w:space="0" w:color="auto"/>
              <w:right w:val="nil"/>
            </w:tcBorders>
            <w:shd w:val="clear" w:color="auto" w:fill="auto"/>
            <w:noWrap/>
            <w:vAlign w:val="center"/>
            <w:hideMark/>
          </w:tcPr>
          <w:p w14:paraId="5AD4F26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EncT</w:t>
            </w:r>
          </w:p>
        </w:tc>
        <w:tc>
          <w:tcPr>
            <w:tcW w:w="724" w:type="pct"/>
            <w:tcBorders>
              <w:top w:val="nil"/>
              <w:left w:val="nil"/>
              <w:bottom w:val="single" w:sz="8" w:space="0" w:color="auto"/>
              <w:right w:val="nil"/>
            </w:tcBorders>
            <w:shd w:val="clear" w:color="auto" w:fill="auto"/>
            <w:noWrap/>
            <w:vAlign w:val="center"/>
            <w:hideMark/>
          </w:tcPr>
          <w:p w14:paraId="366367D4"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DecT</w:t>
            </w:r>
          </w:p>
        </w:tc>
        <w:tc>
          <w:tcPr>
            <w:tcW w:w="802" w:type="pct"/>
            <w:tcBorders>
              <w:top w:val="nil"/>
              <w:left w:val="single" w:sz="4" w:space="0" w:color="auto"/>
              <w:bottom w:val="single" w:sz="8" w:space="0" w:color="auto"/>
              <w:right w:val="single" w:sz="8" w:space="0" w:color="auto"/>
            </w:tcBorders>
            <w:shd w:val="clear" w:color="auto" w:fill="auto"/>
            <w:noWrap/>
            <w:vAlign w:val="center"/>
            <w:hideMark/>
          </w:tcPr>
          <w:p w14:paraId="1E92FBC5"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VmPeak</w:t>
            </w:r>
          </w:p>
        </w:tc>
      </w:tr>
      <w:tr w:rsidR="008663E6" w:rsidRPr="008663E6" w14:paraId="2803033C" w14:textId="77777777" w:rsidTr="008663E6">
        <w:trPr>
          <w:trHeight w:val="255"/>
        </w:trPr>
        <w:tc>
          <w:tcPr>
            <w:tcW w:w="712" w:type="pct"/>
            <w:tcBorders>
              <w:top w:val="single" w:sz="8" w:space="0" w:color="auto"/>
              <w:left w:val="single" w:sz="8" w:space="0" w:color="auto"/>
              <w:bottom w:val="nil"/>
              <w:right w:val="single" w:sz="8" w:space="0" w:color="auto"/>
            </w:tcBorders>
            <w:shd w:val="clear" w:color="auto" w:fill="auto"/>
            <w:noWrap/>
            <w:vAlign w:val="center"/>
            <w:hideMark/>
          </w:tcPr>
          <w:p w14:paraId="0B3D356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A1</w:t>
            </w:r>
          </w:p>
        </w:tc>
        <w:tc>
          <w:tcPr>
            <w:tcW w:w="679" w:type="pct"/>
            <w:tcBorders>
              <w:top w:val="nil"/>
              <w:left w:val="nil"/>
              <w:bottom w:val="nil"/>
              <w:right w:val="nil"/>
            </w:tcBorders>
            <w:shd w:val="clear" w:color="auto" w:fill="auto"/>
            <w:noWrap/>
            <w:vAlign w:val="center"/>
          </w:tcPr>
          <w:p w14:paraId="46359EC2" w14:textId="78146856"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679" w:type="pct"/>
            <w:tcBorders>
              <w:top w:val="nil"/>
              <w:left w:val="nil"/>
              <w:bottom w:val="nil"/>
              <w:right w:val="nil"/>
            </w:tcBorders>
            <w:shd w:val="clear" w:color="auto" w:fill="auto"/>
            <w:noWrap/>
            <w:vAlign w:val="center"/>
          </w:tcPr>
          <w:p w14:paraId="12184E1F" w14:textId="673BB179"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679" w:type="pct"/>
            <w:tcBorders>
              <w:top w:val="nil"/>
              <w:left w:val="nil"/>
              <w:bottom w:val="nil"/>
              <w:right w:val="single" w:sz="4" w:space="0" w:color="auto"/>
            </w:tcBorders>
            <w:shd w:val="clear" w:color="auto" w:fill="auto"/>
            <w:noWrap/>
            <w:vAlign w:val="center"/>
          </w:tcPr>
          <w:p w14:paraId="4979C657" w14:textId="313206CD"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24" w:type="pct"/>
            <w:tcBorders>
              <w:top w:val="nil"/>
              <w:left w:val="nil"/>
              <w:bottom w:val="nil"/>
              <w:right w:val="nil"/>
            </w:tcBorders>
            <w:shd w:val="clear" w:color="auto" w:fill="auto"/>
            <w:noWrap/>
            <w:vAlign w:val="center"/>
          </w:tcPr>
          <w:p w14:paraId="5FBAD198" w14:textId="5605A259"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24" w:type="pct"/>
            <w:tcBorders>
              <w:top w:val="nil"/>
              <w:left w:val="nil"/>
              <w:bottom w:val="nil"/>
              <w:right w:val="nil"/>
            </w:tcBorders>
            <w:shd w:val="clear" w:color="auto" w:fill="auto"/>
            <w:noWrap/>
            <w:vAlign w:val="center"/>
          </w:tcPr>
          <w:p w14:paraId="1D0793D4" w14:textId="5FEE5A28"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802" w:type="pct"/>
            <w:tcBorders>
              <w:top w:val="nil"/>
              <w:left w:val="single" w:sz="4" w:space="0" w:color="auto"/>
              <w:bottom w:val="nil"/>
              <w:right w:val="single" w:sz="8" w:space="0" w:color="auto"/>
            </w:tcBorders>
            <w:shd w:val="clear" w:color="auto" w:fill="auto"/>
            <w:noWrap/>
            <w:vAlign w:val="center"/>
          </w:tcPr>
          <w:p w14:paraId="46BEFD2A" w14:textId="0F0F7B00"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8663E6" w:rsidRPr="008663E6" w14:paraId="41CD9BC2" w14:textId="77777777" w:rsidTr="008663E6">
        <w:trPr>
          <w:trHeight w:val="255"/>
        </w:trPr>
        <w:tc>
          <w:tcPr>
            <w:tcW w:w="712" w:type="pct"/>
            <w:tcBorders>
              <w:top w:val="nil"/>
              <w:left w:val="single" w:sz="8" w:space="0" w:color="auto"/>
              <w:bottom w:val="nil"/>
              <w:right w:val="single" w:sz="8" w:space="0" w:color="auto"/>
            </w:tcBorders>
            <w:shd w:val="clear" w:color="auto" w:fill="auto"/>
            <w:noWrap/>
            <w:vAlign w:val="center"/>
            <w:hideMark/>
          </w:tcPr>
          <w:p w14:paraId="169FD98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A2</w:t>
            </w:r>
          </w:p>
        </w:tc>
        <w:tc>
          <w:tcPr>
            <w:tcW w:w="679" w:type="pct"/>
            <w:tcBorders>
              <w:top w:val="nil"/>
              <w:left w:val="nil"/>
              <w:bottom w:val="nil"/>
              <w:right w:val="nil"/>
            </w:tcBorders>
            <w:shd w:val="clear" w:color="auto" w:fill="auto"/>
            <w:noWrap/>
            <w:vAlign w:val="center"/>
          </w:tcPr>
          <w:p w14:paraId="0D68195C" w14:textId="4676697C"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679" w:type="pct"/>
            <w:tcBorders>
              <w:top w:val="nil"/>
              <w:left w:val="nil"/>
              <w:bottom w:val="nil"/>
              <w:right w:val="nil"/>
            </w:tcBorders>
            <w:shd w:val="clear" w:color="auto" w:fill="auto"/>
            <w:noWrap/>
            <w:vAlign w:val="center"/>
          </w:tcPr>
          <w:p w14:paraId="6DA19CAF"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679" w:type="pct"/>
            <w:tcBorders>
              <w:top w:val="nil"/>
              <w:left w:val="nil"/>
              <w:bottom w:val="nil"/>
              <w:right w:val="single" w:sz="4" w:space="0" w:color="auto"/>
            </w:tcBorders>
            <w:shd w:val="clear" w:color="auto" w:fill="auto"/>
            <w:noWrap/>
            <w:vAlign w:val="center"/>
          </w:tcPr>
          <w:p w14:paraId="6C04E39A" w14:textId="0418CCD3"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24" w:type="pct"/>
            <w:tcBorders>
              <w:top w:val="nil"/>
              <w:left w:val="nil"/>
              <w:bottom w:val="nil"/>
              <w:right w:val="nil"/>
            </w:tcBorders>
            <w:shd w:val="clear" w:color="auto" w:fill="auto"/>
            <w:noWrap/>
            <w:vAlign w:val="center"/>
          </w:tcPr>
          <w:p w14:paraId="129C78DE" w14:textId="3D80751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24" w:type="pct"/>
            <w:tcBorders>
              <w:top w:val="nil"/>
              <w:left w:val="nil"/>
              <w:bottom w:val="nil"/>
              <w:right w:val="nil"/>
            </w:tcBorders>
            <w:shd w:val="clear" w:color="auto" w:fill="auto"/>
            <w:noWrap/>
            <w:vAlign w:val="center"/>
          </w:tcPr>
          <w:p w14:paraId="17D5A21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802" w:type="pct"/>
            <w:tcBorders>
              <w:top w:val="nil"/>
              <w:left w:val="single" w:sz="4" w:space="0" w:color="auto"/>
              <w:bottom w:val="nil"/>
              <w:right w:val="single" w:sz="8" w:space="0" w:color="auto"/>
            </w:tcBorders>
            <w:shd w:val="clear" w:color="auto" w:fill="auto"/>
            <w:noWrap/>
            <w:vAlign w:val="center"/>
          </w:tcPr>
          <w:p w14:paraId="79B8CE41" w14:textId="41F3B556"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8663E6" w:rsidRPr="008663E6" w14:paraId="593CE65C" w14:textId="77777777" w:rsidTr="008663E6">
        <w:trPr>
          <w:trHeight w:val="255"/>
        </w:trPr>
        <w:tc>
          <w:tcPr>
            <w:tcW w:w="712" w:type="pct"/>
            <w:tcBorders>
              <w:top w:val="nil"/>
              <w:left w:val="single" w:sz="8" w:space="0" w:color="auto"/>
              <w:bottom w:val="nil"/>
              <w:right w:val="single" w:sz="8" w:space="0" w:color="auto"/>
            </w:tcBorders>
            <w:shd w:val="clear" w:color="auto" w:fill="auto"/>
            <w:noWrap/>
            <w:vAlign w:val="center"/>
            <w:hideMark/>
          </w:tcPr>
          <w:p w14:paraId="07DD3CF8"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B</w:t>
            </w:r>
          </w:p>
        </w:tc>
        <w:tc>
          <w:tcPr>
            <w:tcW w:w="679" w:type="pct"/>
            <w:tcBorders>
              <w:top w:val="nil"/>
              <w:left w:val="nil"/>
              <w:bottom w:val="nil"/>
              <w:right w:val="nil"/>
            </w:tcBorders>
            <w:shd w:val="clear" w:color="auto" w:fill="auto"/>
            <w:noWrap/>
            <w:vAlign w:val="center"/>
            <w:hideMark/>
          </w:tcPr>
          <w:p w14:paraId="4D78A14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-0.19%</w:t>
            </w:r>
          </w:p>
        </w:tc>
        <w:tc>
          <w:tcPr>
            <w:tcW w:w="679" w:type="pct"/>
            <w:tcBorders>
              <w:top w:val="nil"/>
              <w:left w:val="nil"/>
              <w:bottom w:val="nil"/>
              <w:right w:val="nil"/>
            </w:tcBorders>
            <w:shd w:val="clear" w:color="auto" w:fill="auto"/>
            <w:noWrap/>
            <w:vAlign w:val="center"/>
            <w:hideMark/>
          </w:tcPr>
          <w:p w14:paraId="27CF061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0.48%</w:t>
            </w:r>
          </w:p>
        </w:tc>
        <w:tc>
          <w:tcPr>
            <w:tcW w:w="679" w:type="pct"/>
            <w:tcBorders>
              <w:top w:val="nil"/>
              <w:left w:val="nil"/>
              <w:bottom w:val="nil"/>
              <w:right w:val="single" w:sz="4" w:space="0" w:color="auto"/>
            </w:tcBorders>
            <w:shd w:val="clear" w:color="auto" w:fill="auto"/>
            <w:noWrap/>
            <w:vAlign w:val="center"/>
            <w:hideMark/>
          </w:tcPr>
          <w:p w14:paraId="4C2890A5"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-0.18%</w:t>
            </w:r>
          </w:p>
        </w:tc>
        <w:tc>
          <w:tcPr>
            <w:tcW w:w="724" w:type="pct"/>
            <w:tcBorders>
              <w:top w:val="nil"/>
              <w:left w:val="nil"/>
              <w:bottom w:val="nil"/>
              <w:right w:val="nil"/>
            </w:tcBorders>
            <w:shd w:val="clear" w:color="auto" w:fill="auto"/>
            <w:noWrap/>
            <w:vAlign w:val="center"/>
            <w:hideMark/>
          </w:tcPr>
          <w:p w14:paraId="4B41D4F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115.8%</w:t>
            </w:r>
          </w:p>
        </w:tc>
        <w:tc>
          <w:tcPr>
            <w:tcW w:w="724" w:type="pct"/>
            <w:tcBorders>
              <w:top w:val="nil"/>
              <w:left w:val="nil"/>
              <w:bottom w:val="nil"/>
              <w:right w:val="nil"/>
            </w:tcBorders>
            <w:shd w:val="clear" w:color="auto" w:fill="auto"/>
            <w:noWrap/>
            <w:vAlign w:val="center"/>
            <w:hideMark/>
          </w:tcPr>
          <w:p w14:paraId="37931AEF"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100.2%</w:t>
            </w:r>
          </w:p>
        </w:tc>
        <w:tc>
          <w:tcPr>
            <w:tcW w:w="802" w:type="pct"/>
            <w:tcBorders>
              <w:top w:val="nil"/>
              <w:left w:val="single" w:sz="4" w:space="0" w:color="auto"/>
              <w:bottom w:val="nil"/>
              <w:right w:val="single" w:sz="8" w:space="0" w:color="auto"/>
            </w:tcBorders>
            <w:shd w:val="clear" w:color="auto" w:fill="auto"/>
            <w:noWrap/>
            <w:vAlign w:val="center"/>
            <w:hideMark/>
          </w:tcPr>
          <w:p w14:paraId="217D268E"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100.1%</w:t>
            </w:r>
          </w:p>
        </w:tc>
      </w:tr>
      <w:tr w:rsidR="008663E6" w:rsidRPr="008663E6" w14:paraId="635DB283" w14:textId="77777777" w:rsidTr="008663E6">
        <w:trPr>
          <w:trHeight w:val="255"/>
        </w:trPr>
        <w:tc>
          <w:tcPr>
            <w:tcW w:w="712" w:type="pct"/>
            <w:tcBorders>
              <w:top w:val="nil"/>
              <w:left w:val="single" w:sz="8" w:space="0" w:color="auto"/>
              <w:bottom w:val="nil"/>
              <w:right w:val="single" w:sz="8" w:space="0" w:color="auto"/>
            </w:tcBorders>
            <w:shd w:val="clear" w:color="auto" w:fill="auto"/>
            <w:noWrap/>
            <w:vAlign w:val="center"/>
            <w:hideMark/>
          </w:tcPr>
          <w:p w14:paraId="105E29E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C</w:t>
            </w:r>
          </w:p>
        </w:tc>
        <w:tc>
          <w:tcPr>
            <w:tcW w:w="679" w:type="pct"/>
            <w:tcBorders>
              <w:top w:val="nil"/>
              <w:left w:val="nil"/>
              <w:bottom w:val="nil"/>
              <w:right w:val="nil"/>
            </w:tcBorders>
            <w:shd w:val="clear" w:color="auto" w:fill="auto"/>
            <w:noWrap/>
            <w:vAlign w:val="center"/>
            <w:hideMark/>
          </w:tcPr>
          <w:p w14:paraId="077AF5B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-0.29%</w:t>
            </w:r>
          </w:p>
        </w:tc>
        <w:tc>
          <w:tcPr>
            <w:tcW w:w="679" w:type="pct"/>
            <w:tcBorders>
              <w:top w:val="nil"/>
              <w:left w:val="nil"/>
              <w:bottom w:val="nil"/>
              <w:right w:val="nil"/>
            </w:tcBorders>
            <w:shd w:val="clear" w:color="auto" w:fill="auto"/>
            <w:noWrap/>
            <w:vAlign w:val="center"/>
            <w:hideMark/>
          </w:tcPr>
          <w:p w14:paraId="1330283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-0.63%</w:t>
            </w:r>
          </w:p>
        </w:tc>
        <w:tc>
          <w:tcPr>
            <w:tcW w:w="679" w:type="pct"/>
            <w:tcBorders>
              <w:top w:val="nil"/>
              <w:left w:val="nil"/>
              <w:bottom w:val="nil"/>
              <w:right w:val="single" w:sz="4" w:space="0" w:color="auto"/>
            </w:tcBorders>
            <w:shd w:val="clear" w:color="auto" w:fill="auto"/>
            <w:noWrap/>
            <w:vAlign w:val="center"/>
            <w:hideMark/>
          </w:tcPr>
          <w:p w14:paraId="3982D60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-0.68%</w:t>
            </w:r>
          </w:p>
        </w:tc>
        <w:tc>
          <w:tcPr>
            <w:tcW w:w="724" w:type="pct"/>
            <w:tcBorders>
              <w:top w:val="nil"/>
              <w:left w:val="nil"/>
              <w:bottom w:val="nil"/>
              <w:right w:val="nil"/>
            </w:tcBorders>
            <w:shd w:val="clear" w:color="auto" w:fill="auto"/>
            <w:noWrap/>
            <w:vAlign w:val="center"/>
            <w:hideMark/>
          </w:tcPr>
          <w:p w14:paraId="6B5A093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119.7%</w:t>
            </w:r>
          </w:p>
        </w:tc>
        <w:tc>
          <w:tcPr>
            <w:tcW w:w="724" w:type="pct"/>
            <w:tcBorders>
              <w:top w:val="nil"/>
              <w:left w:val="nil"/>
              <w:bottom w:val="nil"/>
              <w:right w:val="nil"/>
            </w:tcBorders>
            <w:shd w:val="clear" w:color="auto" w:fill="auto"/>
            <w:noWrap/>
            <w:vAlign w:val="center"/>
            <w:hideMark/>
          </w:tcPr>
          <w:p w14:paraId="7821273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101.2%</w:t>
            </w:r>
          </w:p>
        </w:tc>
        <w:tc>
          <w:tcPr>
            <w:tcW w:w="802" w:type="pct"/>
            <w:tcBorders>
              <w:top w:val="nil"/>
              <w:left w:val="single" w:sz="4" w:space="0" w:color="auto"/>
              <w:bottom w:val="nil"/>
              <w:right w:val="single" w:sz="8" w:space="0" w:color="auto"/>
            </w:tcBorders>
            <w:shd w:val="clear" w:color="auto" w:fill="auto"/>
            <w:noWrap/>
            <w:vAlign w:val="center"/>
            <w:hideMark/>
          </w:tcPr>
          <w:p w14:paraId="2AE9B8A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r w:rsidR="008663E6" w:rsidRPr="008663E6" w14:paraId="45D68E3B" w14:textId="77777777" w:rsidTr="008663E6">
        <w:trPr>
          <w:trHeight w:val="255"/>
        </w:trPr>
        <w:tc>
          <w:tcPr>
            <w:tcW w:w="712" w:type="pct"/>
            <w:tcBorders>
              <w:top w:val="nil"/>
              <w:left w:val="single" w:sz="8" w:space="0" w:color="auto"/>
              <w:bottom w:val="nil"/>
              <w:right w:val="single" w:sz="8" w:space="0" w:color="auto"/>
            </w:tcBorders>
            <w:shd w:val="clear" w:color="auto" w:fill="auto"/>
            <w:noWrap/>
            <w:vAlign w:val="center"/>
            <w:hideMark/>
          </w:tcPr>
          <w:p w14:paraId="1C962F3F"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E</w:t>
            </w:r>
          </w:p>
        </w:tc>
        <w:tc>
          <w:tcPr>
            <w:tcW w:w="679" w:type="pct"/>
            <w:tcBorders>
              <w:top w:val="nil"/>
              <w:left w:val="nil"/>
              <w:bottom w:val="nil"/>
              <w:right w:val="nil"/>
            </w:tcBorders>
            <w:shd w:val="clear" w:color="auto" w:fill="auto"/>
            <w:noWrap/>
            <w:vAlign w:val="center"/>
            <w:hideMark/>
          </w:tcPr>
          <w:p w14:paraId="489F4DB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-0.16%</w:t>
            </w:r>
          </w:p>
        </w:tc>
        <w:tc>
          <w:tcPr>
            <w:tcW w:w="679" w:type="pct"/>
            <w:tcBorders>
              <w:top w:val="nil"/>
              <w:left w:val="nil"/>
              <w:bottom w:val="nil"/>
              <w:right w:val="nil"/>
            </w:tcBorders>
            <w:shd w:val="clear" w:color="auto" w:fill="auto"/>
            <w:noWrap/>
            <w:vAlign w:val="center"/>
            <w:hideMark/>
          </w:tcPr>
          <w:p w14:paraId="227455E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0.36%</w:t>
            </w:r>
          </w:p>
        </w:tc>
        <w:tc>
          <w:tcPr>
            <w:tcW w:w="679" w:type="pct"/>
            <w:tcBorders>
              <w:top w:val="nil"/>
              <w:left w:val="nil"/>
              <w:bottom w:val="nil"/>
              <w:right w:val="single" w:sz="4" w:space="0" w:color="auto"/>
            </w:tcBorders>
            <w:shd w:val="clear" w:color="auto" w:fill="auto"/>
            <w:noWrap/>
            <w:vAlign w:val="center"/>
            <w:hideMark/>
          </w:tcPr>
          <w:p w14:paraId="6410F14F"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0.28%</w:t>
            </w:r>
          </w:p>
        </w:tc>
        <w:tc>
          <w:tcPr>
            <w:tcW w:w="724" w:type="pct"/>
            <w:tcBorders>
              <w:top w:val="nil"/>
              <w:left w:val="nil"/>
              <w:bottom w:val="nil"/>
              <w:right w:val="nil"/>
            </w:tcBorders>
            <w:shd w:val="clear" w:color="auto" w:fill="auto"/>
            <w:noWrap/>
            <w:vAlign w:val="center"/>
            <w:hideMark/>
          </w:tcPr>
          <w:p w14:paraId="790654D6"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112.9%</w:t>
            </w:r>
          </w:p>
        </w:tc>
        <w:tc>
          <w:tcPr>
            <w:tcW w:w="724" w:type="pct"/>
            <w:tcBorders>
              <w:top w:val="nil"/>
              <w:left w:val="nil"/>
              <w:bottom w:val="nil"/>
              <w:right w:val="nil"/>
            </w:tcBorders>
            <w:shd w:val="clear" w:color="auto" w:fill="auto"/>
            <w:noWrap/>
            <w:vAlign w:val="center"/>
            <w:hideMark/>
          </w:tcPr>
          <w:p w14:paraId="02F1A09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99.9%</w:t>
            </w:r>
          </w:p>
        </w:tc>
        <w:tc>
          <w:tcPr>
            <w:tcW w:w="802" w:type="pct"/>
            <w:tcBorders>
              <w:top w:val="nil"/>
              <w:left w:val="single" w:sz="4" w:space="0" w:color="auto"/>
              <w:bottom w:val="nil"/>
              <w:right w:val="single" w:sz="8" w:space="0" w:color="auto"/>
            </w:tcBorders>
            <w:shd w:val="clear" w:color="auto" w:fill="auto"/>
            <w:noWrap/>
            <w:vAlign w:val="center"/>
            <w:hideMark/>
          </w:tcPr>
          <w:p w14:paraId="0AAA644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r w:rsidR="008663E6" w:rsidRPr="008663E6" w14:paraId="67584E29" w14:textId="77777777" w:rsidTr="008663E6">
        <w:trPr>
          <w:trHeight w:val="255"/>
        </w:trPr>
        <w:tc>
          <w:tcPr>
            <w:tcW w:w="712" w:type="pct"/>
            <w:tcBorders>
              <w:top w:val="single" w:sz="8" w:space="0" w:color="auto"/>
              <w:left w:val="single" w:sz="8" w:space="0" w:color="auto"/>
              <w:bottom w:val="nil"/>
              <w:right w:val="single" w:sz="8" w:space="0" w:color="auto"/>
            </w:tcBorders>
            <w:shd w:val="clear" w:color="auto" w:fill="auto"/>
            <w:noWrap/>
            <w:vAlign w:val="center"/>
            <w:hideMark/>
          </w:tcPr>
          <w:p w14:paraId="531B370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663E6">
              <w:rPr>
                <w:rFonts w:ascii="Arial" w:eastAsia="맑은 고딕" w:hAnsi="Arial" w:cs="Arial"/>
                <w:b/>
                <w:bCs/>
                <w:color w:val="000000"/>
                <w:sz w:val="18"/>
                <w:szCs w:val="18"/>
                <w:lang w:eastAsia="ko-KR"/>
              </w:rPr>
              <w:t>Overall</w:t>
            </w:r>
          </w:p>
        </w:tc>
        <w:tc>
          <w:tcPr>
            <w:tcW w:w="679" w:type="pct"/>
            <w:tcBorders>
              <w:top w:val="single" w:sz="8" w:space="0" w:color="auto"/>
              <w:left w:val="nil"/>
              <w:bottom w:val="nil"/>
              <w:right w:val="nil"/>
            </w:tcBorders>
            <w:shd w:val="clear" w:color="auto" w:fill="auto"/>
            <w:noWrap/>
            <w:vAlign w:val="center"/>
            <w:hideMark/>
          </w:tcPr>
          <w:p w14:paraId="5619FA2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-0.21%</w:t>
            </w:r>
          </w:p>
        </w:tc>
        <w:tc>
          <w:tcPr>
            <w:tcW w:w="679" w:type="pct"/>
            <w:tcBorders>
              <w:top w:val="single" w:sz="8" w:space="0" w:color="auto"/>
              <w:left w:val="nil"/>
              <w:bottom w:val="nil"/>
              <w:right w:val="nil"/>
            </w:tcBorders>
            <w:shd w:val="clear" w:color="auto" w:fill="auto"/>
            <w:noWrap/>
            <w:vAlign w:val="center"/>
            <w:hideMark/>
          </w:tcPr>
          <w:p w14:paraId="3D9E8D6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0.08%</w:t>
            </w:r>
          </w:p>
        </w:tc>
        <w:tc>
          <w:tcPr>
            <w:tcW w:w="679" w:type="pct"/>
            <w:tcBorders>
              <w:top w:val="single" w:sz="8" w:space="0" w:color="auto"/>
              <w:left w:val="nil"/>
              <w:bottom w:val="nil"/>
              <w:right w:val="single" w:sz="4" w:space="0" w:color="auto"/>
            </w:tcBorders>
            <w:shd w:val="clear" w:color="auto" w:fill="auto"/>
            <w:noWrap/>
            <w:vAlign w:val="center"/>
            <w:hideMark/>
          </w:tcPr>
          <w:p w14:paraId="06A2623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-0.24%</w:t>
            </w:r>
          </w:p>
        </w:tc>
        <w:tc>
          <w:tcPr>
            <w:tcW w:w="724" w:type="pct"/>
            <w:tcBorders>
              <w:top w:val="single" w:sz="8" w:space="0" w:color="auto"/>
              <w:left w:val="nil"/>
              <w:bottom w:val="nil"/>
              <w:right w:val="nil"/>
            </w:tcBorders>
            <w:shd w:val="clear" w:color="auto" w:fill="auto"/>
            <w:noWrap/>
            <w:vAlign w:val="center"/>
            <w:hideMark/>
          </w:tcPr>
          <w:p w14:paraId="1E9F60C8"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116.4%</w:t>
            </w:r>
          </w:p>
        </w:tc>
        <w:tc>
          <w:tcPr>
            <w:tcW w:w="724" w:type="pct"/>
            <w:tcBorders>
              <w:top w:val="single" w:sz="8" w:space="0" w:color="auto"/>
              <w:left w:val="nil"/>
              <w:bottom w:val="nil"/>
              <w:right w:val="nil"/>
            </w:tcBorders>
            <w:shd w:val="clear" w:color="auto" w:fill="auto"/>
            <w:noWrap/>
            <w:vAlign w:val="center"/>
            <w:hideMark/>
          </w:tcPr>
          <w:p w14:paraId="635088F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100.4%</w:t>
            </w:r>
          </w:p>
        </w:tc>
        <w:tc>
          <w:tcPr>
            <w:tcW w:w="802"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3A40B75"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100.1%</w:t>
            </w:r>
          </w:p>
        </w:tc>
      </w:tr>
      <w:tr w:rsidR="008663E6" w:rsidRPr="008663E6" w14:paraId="24C0C0BB" w14:textId="77777777" w:rsidTr="008663E6">
        <w:trPr>
          <w:trHeight w:val="255"/>
        </w:trPr>
        <w:tc>
          <w:tcPr>
            <w:tcW w:w="712" w:type="pct"/>
            <w:tcBorders>
              <w:top w:val="single" w:sz="8" w:space="0" w:color="auto"/>
              <w:left w:val="single" w:sz="8" w:space="0" w:color="auto"/>
              <w:right w:val="single" w:sz="8" w:space="0" w:color="auto"/>
            </w:tcBorders>
            <w:shd w:val="clear" w:color="auto" w:fill="auto"/>
            <w:noWrap/>
            <w:vAlign w:val="center"/>
            <w:hideMark/>
          </w:tcPr>
          <w:p w14:paraId="41BB5FC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D</w:t>
            </w:r>
          </w:p>
        </w:tc>
        <w:tc>
          <w:tcPr>
            <w:tcW w:w="679" w:type="pct"/>
            <w:tcBorders>
              <w:top w:val="single" w:sz="8" w:space="0" w:color="auto"/>
              <w:left w:val="nil"/>
              <w:right w:val="nil"/>
            </w:tcBorders>
            <w:shd w:val="clear" w:color="auto" w:fill="auto"/>
            <w:noWrap/>
            <w:vAlign w:val="center"/>
            <w:hideMark/>
          </w:tcPr>
          <w:p w14:paraId="4C550EF5"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-0.14%</w:t>
            </w:r>
          </w:p>
        </w:tc>
        <w:tc>
          <w:tcPr>
            <w:tcW w:w="679" w:type="pct"/>
            <w:tcBorders>
              <w:top w:val="single" w:sz="8" w:space="0" w:color="auto"/>
              <w:left w:val="nil"/>
              <w:right w:val="nil"/>
            </w:tcBorders>
            <w:shd w:val="clear" w:color="auto" w:fill="auto"/>
            <w:noWrap/>
            <w:vAlign w:val="center"/>
            <w:hideMark/>
          </w:tcPr>
          <w:p w14:paraId="762BAE68"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-0.44%</w:t>
            </w:r>
          </w:p>
        </w:tc>
        <w:tc>
          <w:tcPr>
            <w:tcW w:w="679" w:type="pct"/>
            <w:tcBorders>
              <w:top w:val="single" w:sz="8" w:space="0" w:color="auto"/>
              <w:left w:val="nil"/>
              <w:right w:val="single" w:sz="4" w:space="0" w:color="auto"/>
            </w:tcBorders>
            <w:shd w:val="clear" w:color="auto" w:fill="auto"/>
            <w:noWrap/>
            <w:vAlign w:val="center"/>
            <w:hideMark/>
          </w:tcPr>
          <w:p w14:paraId="04CED115"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-0.38%</w:t>
            </w:r>
          </w:p>
        </w:tc>
        <w:tc>
          <w:tcPr>
            <w:tcW w:w="724" w:type="pct"/>
            <w:tcBorders>
              <w:top w:val="single" w:sz="8" w:space="0" w:color="auto"/>
              <w:left w:val="nil"/>
              <w:right w:val="nil"/>
            </w:tcBorders>
            <w:shd w:val="clear" w:color="auto" w:fill="auto"/>
            <w:noWrap/>
            <w:vAlign w:val="center"/>
            <w:hideMark/>
          </w:tcPr>
          <w:p w14:paraId="0D37CB8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118.5%</w:t>
            </w:r>
          </w:p>
        </w:tc>
        <w:tc>
          <w:tcPr>
            <w:tcW w:w="724" w:type="pct"/>
            <w:tcBorders>
              <w:top w:val="single" w:sz="8" w:space="0" w:color="auto"/>
              <w:left w:val="nil"/>
              <w:right w:val="nil"/>
            </w:tcBorders>
            <w:shd w:val="clear" w:color="auto" w:fill="auto"/>
            <w:noWrap/>
            <w:vAlign w:val="center"/>
            <w:hideMark/>
          </w:tcPr>
          <w:p w14:paraId="3086C22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c>
          <w:tcPr>
            <w:tcW w:w="802" w:type="pct"/>
            <w:tcBorders>
              <w:top w:val="nil"/>
              <w:left w:val="single" w:sz="4" w:space="0" w:color="auto"/>
              <w:right w:val="single" w:sz="8" w:space="0" w:color="auto"/>
            </w:tcBorders>
            <w:shd w:val="clear" w:color="auto" w:fill="auto"/>
            <w:noWrap/>
            <w:vAlign w:val="center"/>
            <w:hideMark/>
          </w:tcPr>
          <w:p w14:paraId="3CD3CF34"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r w:rsidR="008663E6" w:rsidRPr="008663E6" w14:paraId="35947C77" w14:textId="77777777" w:rsidTr="008663E6">
        <w:trPr>
          <w:trHeight w:val="255"/>
        </w:trPr>
        <w:tc>
          <w:tcPr>
            <w:tcW w:w="712" w:type="pct"/>
            <w:tcBorders>
              <w:top w:val="nil"/>
              <w:left w:val="single" w:sz="8" w:space="0" w:color="auto"/>
              <w:bottom w:val="single" w:sz="8" w:space="0" w:color="auto"/>
              <w:right w:val="single" w:sz="8" w:space="0" w:color="auto"/>
            </w:tcBorders>
            <w:shd w:val="clear" w:color="auto" w:fill="auto"/>
            <w:noWrap/>
            <w:vAlign w:val="center"/>
            <w:hideMark/>
          </w:tcPr>
          <w:p w14:paraId="11AE7A5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F</w:t>
            </w:r>
          </w:p>
        </w:tc>
        <w:tc>
          <w:tcPr>
            <w:tcW w:w="679" w:type="pct"/>
            <w:tcBorders>
              <w:top w:val="nil"/>
              <w:left w:val="nil"/>
              <w:bottom w:val="single" w:sz="8" w:space="0" w:color="auto"/>
              <w:right w:val="nil"/>
            </w:tcBorders>
            <w:shd w:val="clear" w:color="auto" w:fill="auto"/>
            <w:noWrap/>
            <w:vAlign w:val="center"/>
            <w:hideMark/>
          </w:tcPr>
          <w:p w14:paraId="6D97014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-0.33%</w:t>
            </w:r>
          </w:p>
        </w:tc>
        <w:tc>
          <w:tcPr>
            <w:tcW w:w="679" w:type="pct"/>
            <w:tcBorders>
              <w:top w:val="nil"/>
              <w:left w:val="nil"/>
              <w:bottom w:val="single" w:sz="8" w:space="0" w:color="auto"/>
              <w:right w:val="nil"/>
            </w:tcBorders>
            <w:shd w:val="clear" w:color="auto" w:fill="auto"/>
            <w:noWrap/>
            <w:vAlign w:val="center"/>
            <w:hideMark/>
          </w:tcPr>
          <w:p w14:paraId="55185C0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-0.38%</w:t>
            </w:r>
          </w:p>
        </w:tc>
        <w:tc>
          <w:tcPr>
            <w:tcW w:w="679" w:type="pct"/>
            <w:tcBorders>
              <w:top w:val="nil"/>
              <w:left w:val="nil"/>
              <w:bottom w:val="single" w:sz="8" w:space="0" w:color="auto"/>
              <w:right w:val="single" w:sz="4" w:space="0" w:color="auto"/>
            </w:tcBorders>
            <w:shd w:val="clear" w:color="auto" w:fill="auto"/>
            <w:noWrap/>
            <w:vAlign w:val="center"/>
            <w:hideMark/>
          </w:tcPr>
          <w:p w14:paraId="228E652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-0.13%</w:t>
            </w:r>
          </w:p>
        </w:tc>
        <w:tc>
          <w:tcPr>
            <w:tcW w:w="724" w:type="pct"/>
            <w:tcBorders>
              <w:top w:val="nil"/>
              <w:left w:val="nil"/>
              <w:bottom w:val="single" w:sz="8" w:space="0" w:color="auto"/>
              <w:right w:val="nil"/>
            </w:tcBorders>
            <w:shd w:val="clear" w:color="auto" w:fill="auto"/>
            <w:noWrap/>
            <w:vAlign w:val="center"/>
            <w:hideMark/>
          </w:tcPr>
          <w:p w14:paraId="4BCBA4B8"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115.2%</w:t>
            </w:r>
          </w:p>
        </w:tc>
        <w:tc>
          <w:tcPr>
            <w:tcW w:w="724" w:type="pct"/>
            <w:tcBorders>
              <w:top w:val="nil"/>
              <w:left w:val="nil"/>
              <w:bottom w:val="single" w:sz="8" w:space="0" w:color="auto"/>
              <w:right w:val="nil"/>
            </w:tcBorders>
            <w:shd w:val="clear" w:color="auto" w:fill="auto"/>
            <w:noWrap/>
            <w:vAlign w:val="center"/>
            <w:hideMark/>
          </w:tcPr>
          <w:p w14:paraId="5E7B03F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99.8%</w:t>
            </w:r>
          </w:p>
        </w:tc>
        <w:tc>
          <w:tcPr>
            <w:tcW w:w="802" w:type="pct"/>
            <w:tcBorders>
              <w:top w:val="nil"/>
              <w:left w:val="single" w:sz="4" w:space="0" w:color="auto"/>
              <w:bottom w:val="single" w:sz="8" w:space="0" w:color="auto"/>
              <w:right w:val="single" w:sz="8" w:space="0" w:color="auto"/>
            </w:tcBorders>
            <w:shd w:val="clear" w:color="auto" w:fill="auto"/>
            <w:noWrap/>
            <w:vAlign w:val="center"/>
            <w:hideMark/>
          </w:tcPr>
          <w:p w14:paraId="3054858F"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bl>
    <w:p w14:paraId="5876ADE6" w14:textId="77777777" w:rsidR="008663E6" w:rsidRDefault="008663E6" w:rsidP="001D7CBF">
      <w:pPr>
        <w:rPr>
          <w:lang w:val="en-CA" w:eastAsia="ko-KR"/>
        </w:rPr>
      </w:pPr>
    </w:p>
    <w:p w14:paraId="7FCFCAB1" w14:textId="3526EFC3" w:rsidR="008663E6" w:rsidRDefault="008663E6" w:rsidP="00373F4C">
      <w:pPr>
        <w:pStyle w:val="ab"/>
        <w:keepNext/>
        <w:jc w:val="center"/>
      </w:pPr>
      <w:r>
        <w:t xml:space="preserve">Table </w:t>
      </w:r>
      <w:r w:rsidR="005E703B">
        <w:fldChar w:fldCharType="begin"/>
      </w:r>
      <w:r w:rsidR="005E703B">
        <w:instrText xml:space="preserve"> SEQ Table \* ARABIC </w:instrText>
      </w:r>
      <w:r w:rsidR="005E703B">
        <w:fldChar w:fldCharType="separate"/>
      </w:r>
      <w:r>
        <w:rPr>
          <w:noProof/>
        </w:rPr>
        <w:t>2</w:t>
      </w:r>
      <w:r w:rsidR="005E703B">
        <w:rPr>
          <w:noProof/>
        </w:rPr>
        <w:fldChar w:fldCharType="end"/>
      </w:r>
      <w:r>
        <w:t>. Performance of Test 1.1b (</w:t>
      </w:r>
      <w:r w:rsidR="00373F4C">
        <w:t xml:space="preserve">ECM-10.0 with </w:t>
      </w:r>
      <w:r w:rsidR="00BC14A4">
        <w:t>maximum</w:t>
      </w:r>
      <w:r w:rsidR="00373F4C">
        <w:t xml:space="preserve"> MTT depth plus 1)</w:t>
      </w:r>
    </w:p>
    <w:tbl>
      <w:tblPr>
        <w:tblW w:w="5000" w:type="pct"/>
        <w:tblCellMar>
          <w:left w:w="99" w:type="dxa"/>
          <w:right w:w="99" w:type="dxa"/>
        </w:tblCellMar>
        <w:tblLook w:val="04A0" w:firstRow="1" w:lastRow="0" w:firstColumn="1" w:lastColumn="0" w:noHBand="0" w:noVBand="1"/>
      </w:tblPr>
      <w:tblGrid>
        <w:gridCol w:w="1336"/>
        <w:gridCol w:w="1436"/>
        <w:gridCol w:w="1436"/>
        <w:gridCol w:w="1436"/>
        <w:gridCol w:w="1193"/>
        <w:gridCol w:w="1193"/>
        <w:gridCol w:w="1320"/>
      </w:tblGrid>
      <w:tr w:rsidR="008663E6" w:rsidRPr="008663E6" w14:paraId="57E7DF27" w14:textId="77777777" w:rsidTr="008663E6">
        <w:trPr>
          <w:trHeight w:val="255"/>
        </w:trPr>
        <w:tc>
          <w:tcPr>
            <w:tcW w:w="714" w:type="pct"/>
            <w:tcBorders>
              <w:top w:val="nil"/>
              <w:left w:val="nil"/>
              <w:bottom w:val="nil"/>
              <w:right w:val="nil"/>
            </w:tcBorders>
            <w:shd w:val="clear" w:color="auto" w:fill="auto"/>
            <w:noWrap/>
            <w:vAlign w:val="center"/>
            <w:hideMark/>
          </w:tcPr>
          <w:p w14:paraId="2ABDF2D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286" w:type="pct"/>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18D67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663E6">
              <w:rPr>
                <w:rFonts w:ascii="Arial" w:eastAsia="맑은 고딕" w:hAnsi="Arial" w:cs="Arial"/>
                <w:b/>
                <w:bCs/>
                <w:color w:val="000000"/>
                <w:sz w:val="18"/>
                <w:szCs w:val="18"/>
                <w:lang w:eastAsia="ko-KR"/>
              </w:rPr>
              <w:t xml:space="preserve">All Intra Main 10 </w:t>
            </w:r>
          </w:p>
        </w:tc>
      </w:tr>
      <w:tr w:rsidR="008663E6" w:rsidRPr="008663E6" w14:paraId="7A2A0CFC" w14:textId="77777777" w:rsidTr="008663E6">
        <w:trPr>
          <w:trHeight w:val="255"/>
        </w:trPr>
        <w:tc>
          <w:tcPr>
            <w:tcW w:w="714" w:type="pct"/>
            <w:tcBorders>
              <w:top w:val="nil"/>
              <w:left w:val="nil"/>
              <w:bottom w:val="nil"/>
              <w:right w:val="nil"/>
            </w:tcBorders>
            <w:shd w:val="clear" w:color="auto" w:fill="auto"/>
            <w:noWrap/>
            <w:vAlign w:val="center"/>
            <w:hideMark/>
          </w:tcPr>
          <w:p w14:paraId="7568D22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286" w:type="pct"/>
            <w:gridSpan w:val="6"/>
            <w:tcBorders>
              <w:top w:val="nil"/>
              <w:left w:val="single" w:sz="8" w:space="0" w:color="auto"/>
              <w:bottom w:val="nil"/>
              <w:right w:val="single" w:sz="8" w:space="0" w:color="000000"/>
            </w:tcBorders>
            <w:shd w:val="clear" w:color="auto" w:fill="auto"/>
            <w:noWrap/>
            <w:vAlign w:val="center"/>
            <w:hideMark/>
          </w:tcPr>
          <w:p w14:paraId="51530D1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663E6">
              <w:rPr>
                <w:rFonts w:ascii="Arial" w:eastAsia="맑은 고딕" w:hAnsi="Arial" w:cs="Arial"/>
                <w:b/>
                <w:bCs/>
                <w:color w:val="000000"/>
                <w:sz w:val="18"/>
                <w:szCs w:val="18"/>
                <w:lang w:eastAsia="ko-KR"/>
              </w:rPr>
              <w:t>Over ECM-10.0</w:t>
            </w:r>
          </w:p>
        </w:tc>
      </w:tr>
      <w:tr w:rsidR="008663E6" w:rsidRPr="008663E6" w14:paraId="7C67A2C2" w14:textId="77777777" w:rsidTr="008663E6">
        <w:trPr>
          <w:trHeight w:val="255"/>
        </w:trPr>
        <w:tc>
          <w:tcPr>
            <w:tcW w:w="714" w:type="pct"/>
            <w:tcBorders>
              <w:top w:val="nil"/>
              <w:left w:val="nil"/>
              <w:bottom w:val="nil"/>
              <w:right w:val="nil"/>
            </w:tcBorders>
            <w:shd w:val="clear" w:color="auto" w:fill="auto"/>
            <w:noWrap/>
            <w:vAlign w:val="center"/>
            <w:hideMark/>
          </w:tcPr>
          <w:p w14:paraId="3A41136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768" w:type="pct"/>
            <w:tcBorders>
              <w:top w:val="nil"/>
              <w:left w:val="single" w:sz="8" w:space="0" w:color="auto"/>
              <w:bottom w:val="single" w:sz="8" w:space="0" w:color="auto"/>
              <w:right w:val="nil"/>
            </w:tcBorders>
            <w:shd w:val="clear" w:color="auto" w:fill="auto"/>
            <w:noWrap/>
            <w:vAlign w:val="center"/>
            <w:hideMark/>
          </w:tcPr>
          <w:p w14:paraId="6D918FE8"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Y</w:t>
            </w:r>
          </w:p>
        </w:tc>
        <w:tc>
          <w:tcPr>
            <w:tcW w:w="768" w:type="pct"/>
            <w:tcBorders>
              <w:top w:val="nil"/>
              <w:left w:val="nil"/>
              <w:bottom w:val="single" w:sz="8" w:space="0" w:color="auto"/>
              <w:right w:val="nil"/>
            </w:tcBorders>
            <w:shd w:val="clear" w:color="auto" w:fill="auto"/>
            <w:noWrap/>
            <w:vAlign w:val="center"/>
            <w:hideMark/>
          </w:tcPr>
          <w:p w14:paraId="044ABA6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U</w:t>
            </w:r>
          </w:p>
        </w:tc>
        <w:tc>
          <w:tcPr>
            <w:tcW w:w="768" w:type="pct"/>
            <w:tcBorders>
              <w:top w:val="nil"/>
              <w:left w:val="nil"/>
              <w:bottom w:val="single" w:sz="8" w:space="0" w:color="auto"/>
              <w:right w:val="single" w:sz="4" w:space="0" w:color="auto"/>
            </w:tcBorders>
            <w:shd w:val="clear" w:color="auto" w:fill="auto"/>
            <w:noWrap/>
            <w:vAlign w:val="center"/>
            <w:hideMark/>
          </w:tcPr>
          <w:p w14:paraId="41DDFCD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V</w:t>
            </w:r>
          </w:p>
        </w:tc>
        <w:tc>
          <w:tcPr>
            <w:tcW w:w="638" w:type="pct"/>
            <w:tcBorders>
              <w:top w:val="nil"/>
              <w:left w:val="nil"/>
              <w:bottom w:val="single" w:sz="8" w:space="0" w:color="auto"/>
              <w:right w:val="nil"/>
            </w:tcBorders>
            <w:shd w:val="clear" w:color="auto" w:fill="auto"/>
            <w:noWrap/>
            <w:vAlign w:val="center"/>
            <w:hideMark/>
          </w:tcPr>
          <w:p w14:paraId="7C390AB5"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EncT</w:t>
            </w:r>
          </w:p>
        </w:tc>
        <w:tc>
          <w:tcPr>
            <w:tcW w:w="638" w:type="pct"/>
            <w:tcBorders>
              <w:top w:val="nil"/>
              <w:left w:val="nil"/>
              <w:bottom w:val="single" w:sz="8" w:space="0" w:color="auto"/>
              <w:right w:val="nil"/>
            </w:tcBorders>
            <w:shd w:val="clear" w:color="auto" w:fill="auto"/>
            <w:noWrap/>
            <w:vAlign w:val="center"/>
            <w:hideMark/>
          </w:tcPr>
          <w:p w14:paraId="335CBCB6"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DecT</w:t>
            </w:r>
          </w:p>
        </w:tc>
        <w:tc>
          <w:tcPr>
            <w:tcW w:w="706" w:type="pct"/>
            <w:tcBorders>
              <w:top w:val="nil"/>
              <w:left w:val="single" w:sz="4" w:space="0" w:color="auto"/>
              <w:bottom w:val="single" w:sz="8" w:space="0" w:color="auto"/>
              <w:right w:val="single" w:sz="8" w:space="0" w:color="auto"/>
            </w:tcBorders>
            <w:shd w:val="clear" w:color="auto" w:fill="auto"/>
            <w:noWrap/>
            <w:vAlign w:val="center"/>
            <w:hideMark/>
          </w:tcPr>
          <w:p w14:paraId="07C06ECF"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VmPeak</w:t>
            </w:r>
          </w:p>
        </w:tc>
      </w:tr>
      <w:tr w:rsidR="008663E6" w:rsidRPr="008663E6" w14:paraId="2D289D87" w14:textId="77777777" w:rsidTr="008663E6">
        <w:trPr>
          <w:trHeight w:val="255"/>
        </w:trPr>
        <w:tc>
          <w:tcPr>
            <w:tcW w:w="714" w:type="pct"/>
            <w:tcBorders>
              <w:top w:val="single" w:sz="8" w:space="0" w:color="auto"/>
              <w:left w:val="single" w:sz="8" w:space="0" w:color="auto"/>
              <w:bottom w:val="nil"/>
              <w:right w:val="single" w:sz="8" w:space="0" w:color="auto"/>
            </w:tcBorders>
            <w:shd w:val="clear" w:color="auto" w:fill="auto"/>
            <w:noWrap/>
            <w:vAlign w:val="center"/>
            <w:hideMark/>
          </w:tcPr>
          <w:p w14:paraId="2EDBE915"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A1</w:t>
            </w:r>
          </w:p>
        </w:tc>
        <w:tc>
          <w:tcPr>
            <w:tcW w:w="768" w:type="pct"/>
            <w:tcBorders>
              <w:top w:val="nil"/>
              <w:left w:val="nil"/>
              <w:bottom w:val="nil"/>
              <w:right w:val="nil"/>
            </w:tcBorders>
            <w:shd w:val="clear" w:color="auto" w:fill="auto"/>
            <w:noWrap/>
            <w:vAlign w:val="center"/>
            <w:hideMark/>
          </w:tcPr>
          <w:p w14:paraId="4589A72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-0.09%</w:t>
            </w:r>
          </w:p>
        </w:tc>
        <w:tc>
          <w:tcPr>
            <w:tcW w:w="768" w:type="pct"/>
            <w:tcBorders>
              <w:top w:val="nil"/>
              <w:left w:val="nil"/>
              <w:bottom w:val="nil"/>
              <w:right w:val="nil"/>
            </w:tcBorders>
            <w:shd w:val="clear" w:color="auto" w:fill="auto"/>
            <w:noWrap/>
            <w:vAlign w:val="center"/>
            <w:hideMark/>
          </w:tcPr>
          <w:p w14:paraId="4CDEDC9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-0.03%</w:t>
            </w:r>
          </w:p>
        </w:tc>
        <w:tc>
          <w:tcPr>
            <w:tcW w:w="768" w:type="pct"/>
            <w:tcBorders>
              <w:top w:val="nil"/>
              <w:left w:val="nil"/>
              <w:bottom w:val="nil"/>
              <w:right w:val="single" w:sz="4" w:space="0" w:color="auto"/>
            </w:tcBorders>
            <w:shd w:val="clear" w:color="auto" w:fill="auto"/>
            <w:noWrap/>
            <w:vAlign w:val="center"/>
            <w:hideMark/>
          </w:tcPr>
          <w:p w14:paraId="1CC22B2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-0.25%</w:t>
            </w:r>
          </w:p>
        </w:tc>
        <w:tc>
          <w:tcPr>
            <w:tcW w:w="638" w:type="pct"/>
            <w:tcBorders>
              <w:top w:val="nil"/>
              <w:left w:val="nil"/>
              <w:bottom w:val="nil"/>
              <w:right w:val="nil"/>
            </w:tcBorders>
            <w:shd w:val="clear" w:color="auto" w:fill="auto"/>
            <w:noWrap/>
            <w:vAlign w:val="center"/>
            <w:hideMark/>
          </w:tcPr>
          <w:p w14:paraId="5FFE793E"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143.9%</w:t>
            </w:r>
          </w:p>
        </w:tc>
        <w:tc>
          <w:tcPr>
            <w:tcW w:w="638" w:type="pct"/>
            <w:tcBorders>
              <w:top w:val="nil"/>
              <w:left w:val="nil"/>
              <w:bottom w:val="nil"/>
              <w:right w:val="nil"/>
            </w:tcBorders>
            <w:shd w:val="clear" w:color="auto" w:fill="auto"/>
            <w:noWrap/>
            <w:vAlign w:val="center"/>
            <w:hideMark/>
          </w:tcPr>
          <w:p w14:paraId="407E25F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101.0%</w:t>
            </w:r>
          </w:p>
        </w:tc>
        <w:tc>
          <w:tcPr>
            <w:tcW w:w="706" w:type="pct"/>
            <w:tcBorders>
              <w:top w:val="nil"/>
              <w:left w:val="single" w:sz="4" w:space="0" w:color="auto"/>
              <w:bottom w:val="nil"/>
              <w:right w:val="single" w:sz="8" w:space="0" w:color="auto"/>
            </w:tcBorders>
            <w:shd w:val="clear" w:color="auto" w:fill="auto"/>
            <w:noWrap/>
            <w:vAlign w:val="center"/>
            <w:hideMark/>
          </w:tcPr>
          <w:p w14:paraId="4282C0BB"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100.1%</w:t>
            </w:r>
          </w:p>
        </w:tc>
      </w:tr>
      <w:tr w:rsidR="008663E6" w:rsidRPr="008663E6" w14:paraId="3027E489" w14:textId="77777777" w:rsidTr="008663E6">
        <w:trPr>
          <w:trHeight w:val="255"/>
        </w:trPr>
        <w:tc>
          <w:tcPr>
            <w:tcW w:w="714" w:type="pct"/>
            <w:tcBorders>
              <w:top w:val="nil"/>
              <w:left w:val="single" w:sz="8" w:space="0" w:color="auto"/>
              <w:bottom w:val="nil"/>
              <w:right w:val="single" w:sz="8" w:space="0" w:color="auto"/>
            </w:tcBorders>
            <w:shd w:val="clear" w:color="auto" w:fill="auto"/>
            <w:noWrap/>
            <w:vAlign w:val="center"/>
            <w:hideMark/>
          </w:tcPr>
          <w:p w14:paraId="0A30047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A2</w:t>
            </w:r>
          </w:p>
        </w:tc>
        <w:tc>
          <w:tcPr>
            <w:tcW w:w="768" w:type="pct"/>
            <w:tcBorders>
              <w:top w:val="nil"/>
              <w:left w:val="nil"/>
              <w:bottom w:val="nil"/>
              <w:right w:val="nil"/>
            </w:tcBorders>
            <w:shd w:val="clear" w:color="auto" w:fill="auto"/>
            <w:noWrap/>
            <w:vAlign w:val="center"/>
            <w:hideMark/>
          </w:tcPr>
          <w:p w14:paraId="6F28C49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-0.23%</w:t>
            </w:r>
          </w:p>
        </w:tc>
        <w:tc>
          <w:tcPr>
            <w:tcW w:w="768" w:type="pct"/>
            <w:tcBorders>
              <w:top w:val="nil"/>
              <w:left w:val="nil"/>
              <w:bottom w:val="nil"/>
              <w:right w:val="nil"/>
            </w:tcBorders>
            <w:shd w:val="clear" w:color="auto" w:fill="auto"/>
            <w:noWrap/>
            <w:vAlign w:val="center"/>
            <w:hideMark/>
          </w:tcPr>
          <w:p w14:paraId="0A0BA46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-0.70%</w:t>
            </w:r>
          </w:p>
        </w:tc>
        <w:tc>
          <w:tcPr>
            <w:tcW w:w="768" w:type="pct"/>
            <w:tcBorders>
              <w:top w:val="nil"/>
              <w:left w:val="nil"/>
              <w:bottom w:val="nil"/>
              <w:right w:val="single" w:sz="4" w:space="0" w:color="auto"/>
            </w:tcBorders>
            <w:shd w:val="clear" w:color="auto" w:fill="auto"/>
            <w:noWrap/>
            <w:vAlign w:val="center"/>
            <w:hideMark/>
          </w:tcPr>
          <w:p w14:paraId="7BAE2C6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-0.73%</w:t>
            </w:r>
          </w:p>
        </w:tc>
        <w:tc>
          <w:tcPr>
            <w:tcW w:w="638" w:type="pct"/>
            <w:tcBorders>
              <w:top w:val="nil"/>
              <w:left w:val="nil"/>
              <w:bottom w:val="nil"/>
              <w:right w:val="nil"/>
            </w:tcBorders>
            <w:shd w:val="clear" w:color="auto" w:fill="auto"/>
            <w:noWrap/>
            <w:vAlign w:val="center"/>
            <w:hideMark/>
          </w:tcPr>
          <w:p w14:paraId="63EB2FDB"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162.9%</w:t>
            </w:r>
          </w:p>
        </w:tc>
        <w:tc>
          <w:tcPr>
            <w:tcW w:w="638" w:type="pct"/>
            <w:tcBorders>
              <w:top w:val="nil"/>
              <w:left w:val="nil"/>
              <w:bottom w:val="nil"/>
              <w:right w:val="nil"/>
            </w:tcBorders>
            <w:shd w:val="clear" w:color="auto" w:fill="auto"/>
            <w:noWrap/>
            <w:vAlign w:val="center"/>
            <w:hideMark/>
          </w:tcPr>
          <w:p w14:paraId="5097D1E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102.6%</w:t>
            </w:r>
          </w:p>
        </w:tc>
        <w:tc>
          <w:tcPr>
            <w:tcW w:w="706" w:type="pct"/>
            <w:tcBorders>
              <w:top w:val="nil"/>
              <w:left w:val="single" w:sz="4" w:space="0" w:color="auto"/>
              <w:bottom w:val="nil"/>
              <w:right w:val="single" w:sz="8" w:space="0" w:color="auto"/>
            </w:tcBorders>
            <w:shd w:val="clear" w:color="auto" w:fill="auto"/>
            <w:noWrap/>
            <w:vAlign w:val="center"/>
            <w:hideMark/>
          </w:tcPr>
          <w:p w14:paraId="6B5B7F1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100.2%</w:t>
            </w:r>
          </w:p>
        </w:tc>
      </w:tr>
      <w:tr w:rsidR="008663E6" w:rsidRPr="008663E6" w14:paraId="06614732" w14:textId="77777777" w:rsidTr="008663E6">
        <w:trPr>
          <w:trHeight w:val="255"/>
        </w:trPr>
        <w:tc>
          <w:tcPr>
            <w:tcW w:w="714" w:type="pct"/>
            <w:tcBorders>
              <w:top w:val="nil"/>
              <w:left w:val="single" w:sz="8" w:space="0" w:color="auto"/>
              <w:bottom w:val="nil"/>
              <w:right w:val="single" w:sz="8" w:space="0" w:color="auto"/>
            </w:tcBorders>
            <w:shd w:val="clear" w:color="auto" w:fill="auto"/>
            <w:noWrap/>
            <w:vAlign w:val="center"/>
            <w:hideMark/>
          </w:tcPr>
          <w:p w14:paraId="05771864"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B</w:t>
            </w:r>
          </w:p>
        </w:tc>
        <w:tc>
          <w:tcPr>
            <w:tcW w:w="768" w:type="pct"/>
            <w:tcBorders>
              <w:top w:val="nil"/>
              <w:left w:val="nil"/>
              <w:bottom w:val="nil"/>
              <w:right w:val="nil"/>
            </w:tcBorders>
            <w:shd w:val="clear" w:color="auto" w:fill="auto"/>
            <w:noWrap/>
            <w:vAlign w:val="center"/>
            <w:hideMark/>
          </w:tcPr>
          <w:p w14:paraId="44EF65C8"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-0.43%</w:t>
            </w:r>
          </w:p>
        </w:tc>
        <w:tc>
          <w:tcPr>
            <w:tcW w:w="768" w:type="pct"/>
            <w:tcBorders>
              <w:top w:val="nil"/>
              <w:left w:val="nil"/>
              <w:bottom w:val="nil"/>
              <w:right w:val="nil"/>
            </w:tcBorders>
            <w:shd w:val="clear" w:color="auto" w:fill="auto"/>
            <w:noWrap/>
            <w:vAlign w:val="center"/>
            <w:hideMark/>
          </w:tcPr>
          <w:p w14:paraId="2F207F0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-0.72%</w:t>
            </w:r>
          </w:p>
        </w:tc>
        <w:tc>
          <w:tcPr>
            <w:tcW w:w="768" w:type="pct"/>
            <w:tcBorders>
              <w:top w:val="nil"/>
              <w:left w:val="nil"/>
              <w:bottom w:val="nil"/>
              <w:right w:val="single" w:sz="4" w:space="0" w:color="auto"/>
            </w:tcBorders>
            <w:shd w:val="clear" w:color="auto" w:fill="auto"/>
            <w:noWrap/>
            <w:vAlign w:val="center"/>
            <w:hideMark/>
          </w:tcPr>
          <w:p w14:paraId="0CB4F89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-0.87%</w:t>
            </w:r>
          </w:p>
        </w:tc>
        <w:tc>
          <w:tcPr>
            <w:tcW w:w="638" w:type="pct"/>
            <w:tcBorders>
              <w:top w:val="nil"/>
              <w:left w:val="nil"/>
              <w:bottom w:val="nil"/>
              <w:right w:val="nil"/>
            </w:tcBorders>
            <w:shd w:val="clear" w:color="auto" w:fill="auto"/>
            <w:noWrap/>
            <w:vAlign w:val="center"/>
            <w:hideMark/>
          </w:tcPr>
          <w:p w14:paraId="15B0BD2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176.1%</w:t>
            </w:r>
          </w:p>
        </w:tc>
        <w:tc>
          <w:tcPr>
            <w:tcW w:w="638" w:type="pct"/>
            <w:tcBorders>
              <w:top w:val="nil"/>
              <w:left w:val="nil"/>
              <w:bottom w:val="nil"/>
              <w:right w:val="nil"/>
            </w:tcBorders>
            <w:shd w:val="clear" w:color="auto" w:fill="auto"/>
            <w:noWrap/>
            <w:vAlign w:val="center"/>
            <w:hideMark/>
          </w:tcPr>
          <w:p w14:paraId="385538E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102.0%</w:t>
            </w:r>
          </w:p>
        </w:tc>
        <w:tc>
          <w:tcPr>
            <w:tcW w:w="706" w:type="pct"/>
            <w:tcBorders>
              <w:top w:val="nil"/>
              <w:left w:val="single" w:sz="4" w:space="0" w:color="auto"/>
              <w:bottom w:val="nil"/>
              <w:right w:val="single" w:sz="8" w:space="0" w:color="auto"/>
            </w:tcBorders>
            <w:shd w:val="clear" w:color="auto" w:fill="auto"/>
            <w:noWrap/>
            <w:vAlign w:val="center"/>
            <w:hideMark/>
          </w:tcPr>
          <w:p w14:paraId="3875483E"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r w:rsidR="008663E6" w:rsidRPr="008663E6" w14:paraId="47F552F0" w14:textId="77777777" w:rsidTr="008663E6">
        <w:trPr>
          <w:trHeight w:val="255"/>
        </w:trPr>
        <w:tc>
          <w:tcPr>
            <w:tcW w:w="714" w:type="pct"/>
            <w:tcBorders>
              <w:top w:val="nil"/>
              <w:left w:val="single" w:sz="8" w:space="0" w:color="auto"/>
              <w:bottom w:val="nil"/>
              <w:right w:val="single" w:sz="8" w:space="0" w:color="auto"/>
            </w:tcBorders>
            <w:shd w:val="clear" w:color="auto" w:fill="auto"/>
            <w:noWrap/>
            <w:vAlign w:val="center"/>
            <w:hideMark/>
          </w:tcPr>
          <w:p w14:paraId="5CF5066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C</w:t>
            </w:r>
          </w:p>
        </w:tc>
        <w:tc>
          <w:tcPr>
            <w:tcW w:w="768" w:type="pct"/>
            <w:tcBorders>
              <w:top w:val="nil"/>
              <w:left w:val="nil"/>
              <w:bottom w:val="nil"/>
              <w:right w:val="nil"/>
            </w:tcBorders>
            <w:shd w:val="clear" w:color="auto" w:fill="auto"/>
            <w:noWrap/>
            <w:vAlign w:val="center"/>
            <w:hideMark/>
          </w:tcPr>
          <w:p w14:paraId="3F02A07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-0.62%</w:t>
            </w:r>
          </w:p>
        </w:tc>
        <w:tc>
          <w:tcPr>
            <w:tcW w:w="768" w:type="pct"/>
            <w:tcBorders>
              <w:top w:val="nil"/>
              <w:left w:val="nil"/>
              <w:bottom w:val="nil"/>
              <w:right w:val="nil"/>
            </w:tcBorders>
            <w:shd w:val="clear" w:color="auto" w:fill="auto"/>
            <w:noWrap/>
            <w:vAlign w:val="center"/>
            <w:hideMark/>
          </w:tcPr>
          <w:p w14:paraId="62D1C36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-0.73%</w:t>
            </w:r>
          </w:p>
        </w:tc>
        <w:tc>
          <w:tcPr>
            <w:tcW w:w="768" w:type="pct"/>
            <w:tcBorders>
              <w:top w:val="nil"/>
              <w:left w:val="nil"/>
              <w:bottom w:val="nil"/>
              <w:right w:val="single" w:sz="4" w:space="0" w:color="auto"/>
            </w:tcBorders>
            <w:shd w:val="clear" w:color="auto" w:fill="auto"/>
            <w:noWrap/>
            <w:vAlign w:val="center"/>
            <w:hideMark/>
          </w:tcPr>
          <w:p w14:paraId="2443052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-0.83%</w:t>
            </w:r>
          </w:p>
        </w:tc>
        <w:tc>
          <w:tcPr>
            <w:tcW w:w="638" w:type="pct"/>
            <w:tcBorders>
              <w:top w:val="nil"/>
              <w:left w:val="nil"/>
              <w:bottom w:val="nil"/>
              <w:right w:val="nil"/>
            </w:tcBorders>
            <w:shd w:val="clear" w:color="auto" w:fill="auto"/>
            <w:noWrap/>
            <w:vAlign w:val="center"/>
            <w:hideMark/>
          </w:tcPr>
          <w:p w14:paraId="3A29EA8F"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197.7%</w:t>
            </w:r>
          </w:p>
        </w:tc>
        <w:tc>
          <w:tcPr>
            <w:tcW w:w="638" w:type="pct"/>
            <w:tcBorders>
              <w:top w:val="nil"/>
              <w:left w:val="nil"/>
              <w:bottom w:val="nil"/>
              <w:right w:val="nil"/>
            </w:tcBorders>
            <w:shd w:val="clear" w:color="auto" w:fill="auto"/>
            <w:noWrap/>
            <w:vAlign w:val="center"/>
            <w:hideMark/>
          </w:tcPr>
          <w:p w14:paraId="751842AB"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102.2%</w:t>
            </w:r>
          </w:p>
        </w:tc>
        <w:tc>
          <w:tcPr>
            <w:tcW w:w="706" w:type="pct"/>
            <w:tcBorders>
              <w:top w:val="nil"/>
              <w:left w:val="single" w:sz="4" w:space="0" w:color="auto"/>
              <w:bottom w:val="nil"/>
              <w:right w:val="single" w:sz="8" w:space="0" w:color="auto"/>
            </w:tcBorders>
            <w:shd w:val="clear" w:color="auto" w:fill="auto"/>
            <w:noWrap/>
            <w:vAlign w:val="center"/>
            <w:hideMark/>
          </w:tcPr>
          <w:p w14:paraId="3EC2885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r w:rsidR="008663E6" w:rsidRPr="008663E6" w14:paraId="106FFEB0" w14:textId="77777777" w:rsidTr="008663E6">
        <w:trPr>
          <w:trHeight w:val="255"/>
        </w:trPr>
        <w:tc>
          <w:tcPr>
            <w:tcW w:w="714" w:type="pct"/>
            <w:tcBorders>
              <w:top w:val="nil"/>
              <w:left w:val="single" w:sz="8" w:space="0" w:color="auto"/>
              <w:bottom w:val="nil"/>
              <w:right w:val="single" w:sz="8" w:space="0" w:color="auto"/>
            </w:tcBorders>
            <w:shd w:val="clear" w:color="auto" w:fill="auto"/>
            <w:noWrap/>
            <w:vAlign w:val="center"/>
            <w:hideMark/>
          </w:tcPr>
          <w:p w14:paraId="297B9928"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E</w:t>
            </w:r>
          </w:p>
        </w:tc>
        <w:tc>
          <w:tcPr>
            <w:tcW w:w="768" w:type="pct"/>
            <w:tcBorders>
              <w:top w:val="nil"/>
              <w:left w:val="nil"/>
              <w:bottom w:val="nil"/>
              <w:right w:val="nil"/>
            </w:tcBorders>
            <w:shd w:val="clear" w:color="auto" w:fill="auto"/>
            <w:noWrap/>
            <w:vAlign w:val="center"/>
            <w:hideMark/>
          </w:tcPr>
          <w:p w14:paraId="05AF5074"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-0.70%</w:t>
            </w:r>
          </w:p>
        </w:tc>
        <w:tc>
          <w:tcPr>
            <w:tcW w:w="768" w:type="pct"/>
            <w:tcBorders>
              <w:top w:val="nil"/>
              <w:left w:val="nil"/>
              <w:bottom w:val="nil"/>
              <w:right w:val="nil"/>
            </w:tcBorders>
            <w:shd w:val="clear" w:color="auto" w:fill="auto"/>
            <w:noWrap/>
            <w:vAlign w:val="center"/>
            <w:hideMark/>
          </w:tcPr>
          <w:p w14:paraId="31AE191B"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-1.09%</w:t>
            </w:r>
          </w:p>
        </w:tc>
        <w:tc>
          <w:tcPr>
            <w:tcW w:w="768" w:type="pct"/>
            <w:tcBorders>
              <w:top w:val="nil"/>
              <w:left w:val="nil"/>
              <w:bottom w:val="nil"/>
              <w:right w:val="single" w:sz="4" w:space="0" w:color="auto"/>
            </w:tcBorders>
            <w:shd w:val="clear" w:color="auto" w:fill="auto"/>
            <w:noWrap/>
            <w:vAlign w:val="center"/>
            <w:hideMark/>
          </w:tcPr>
          <w:p w14:paraId="7F05E5A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-0.95%</w:t>
            </w:r>
          </w:p>
        </w:tc>
        <w:tc>
          <w:tcPr>
            <w:tcW w:w="638" w:type="pct"/>
            <w:tcBorders>
              <w:top w:val="nil"/>
              <w:left w:val="nil"/>
              <w:bottom w:val="nil"/>
              <w:right w:val="nil"/>
            </w:tcBorders>
            <w:shd w:val="clear" w:color="auto" w:fill="auto"/>
            <w:noWrap/>
            <w:vAlign w:val="center"/>
            <w:hideMark/>
          </w:tcPr>
          <w:p w14:paraId="2048A83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172.5%</w:t>
            </w:r>
          </w:p>
        </w:tc>
        <w:tc>
          <w:tcPr>
            <w:tcW w:w="638" w:type="pct"/>
            <w:tcBorders>
              <w:top w:val="nil"/>
              <w:left w:val="nil"/>
              <w:bottom w:val="nil"/>
              <w:right w:val="nil"/>
            </w:tcBorders>
            <w:shd w:val="clear" w:color="auto" w:fill="auto"/>
            <w:noWrap/>
            <w:vAlign w:val="center"/>
            <w:hideMark/>
          </w:tcPr>
          <w:p w14:paraId="1E6915F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103.5%</w:t>
            </w:r>
          </w:p>
        </w:tc>
        <w:tc>
          <w:tcPr>
            <w:tcW w:w="706" w:type="pct"/>
            <w:tcBorders>
              <w:top w:val="nil"/>
              <w:left w:val="single" w:sz="4" w:space="0" w:color="auto"/>
              <w:bottom w:val="nil"/>
              <w:right w:val="single" w:sz="8" w:space="0" w:color="auto"/>
            </w:tcBorders>
            <w:shd w:val="clear" w:color="auto" w:fill="auto"/>
            <w:noWrap/>
            <w:vAlign w:val="center"/>
            <w:hideMark/>
          </w:tcPr>
          <w:p w14:paraId="407CD7CF"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r w:rsidR="008663E6" w:rsidRPr="008663E6" w14:paraId="4CB56C75" w14:textId="77777777" w:rsidTr="008663E6">
        <w:trPr>
          <w:trHeight w:val="255"/>
        </w:trPr>
        <w:tc>
          <w:tcPr>
            <w:tcW w:w="714" w:type="pct"/>
            <w:tcBorders>
              <w:top w:val="single" w:sz="8" w:space="0" w:color="auto"/>
              <w:left w:val="single" w:sz="8" w:space="0" w:color="auto"/>
              <w:bottom w:val="nil"/>
              <w:right w:val="single" w:sz="8" w:space="0" w:color="auto"/>
            </w:tcBorders>
            <w:shd w:val="clear" w:color="auto" w:fill="auto"/>
            <w:noWrap/>
            <w:vAlign w:val="center"/>
            <w:hideMark/>
          </w:tcPr>
          <w:p w14:paraId="338A5B4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663E6">
              <w:rPr>
                <w:rFonts w:ascii="Arial" w:eastAsia="맑은 고딕" w:hAnsi="Arial" w:cs="Arial"/>
                <w:b/>
                <w:bCs/>
                <w:color w:val="000000"/>
                <w:sz w:val="18"/>
                <w:szCs w:val="18"/>
                <w:lang w:eastAsia="ko-KR"/>
              </w:rPr>
              <w:t xml:space="preserve">Overall </w:t>
            </w:r>
          </w:p>
        </w:tc>
        <w:tc>
          <w:tcPr>
            <w:tcW w:w="768" w:type="pct"/>
            <w:tcBorders>
              <w:top w:val="single" w:sz="8" w:space="0" w:color="auto"/>
              <w:left w:val="nil"/>
              <w:bottom w:val="nil"/>
              <w:right w:val="nil"/>
            </w:tcBorders>
            <w:shd w:val="clear" w:color="auto" w:fill="auto"/>
            <w:noWrap/>
            <w:vAlign w:val="center"/>
            <w:hideMark/>
          </w:tcPr>
          <w:p w14:paraId="5DDCE5F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-0.43%</w:t>
            </w:r>
          </w:p>
        </w:tc>
        <w:tc>
          <w:tcPr>
            <w:tcW w:w="768" w:type="pct"/>
            <w:tcBorders>
              <w:top w:val="single" w:sz="8" w:space="0" w:color="auto"/>
              <w:left w:val="nil"/>
              <w:bottom w:val="nil"/>
              <w:right w:val="nil"/>
            </w:tcBorders>
            <w:shd w:val="clear" w:color="auto" w:fill="auto"/>
            <w:noWrap/>
            <w:vAlign w:val="center"/>
            <w:hideMark/>
          </w:tcPr>
          <w:p w14:paraId="7E6E5A5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-0.67%</w:t>
            </w:r>
          </w:p>
        </w:tc>
        <w:tc>
          <w:tcPr>
            <w:tcW w:w="768" w:type="pct"/>
            <w:tcBorders>
              <w:top w:val="single" w:sz="8" w:space="0" w:color="auto"/>
              <w:left w:val="nil"/>
              <w:bottom w:val="nil"/>
              <w:right w:val="single" w:sz="4" w:space="0" w:color="auto"/>
            </w:tcBorders>
            <w:shd w:val="clear" w:color="auto" w:fill="auto"/>
            <w:noWrap/>
            <w:vAlign w:val="center"/>
            <w:hideMark/>
          </w:tcPr>
          <w:p w14:paraId="6A8D9FB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-0.74%</w:t>
            </w:r>
          </w:p>
        </w:tc>
        <w:tc>
          <w:tcPr>
            <w:tcW w:w="638" w:type="pct"/>
            <w:tcBorders>
              <w:top w:val="single" w:sz="8" w:space="0" w:color="auto"/>
              <w:left w:val="nil"/>
              <w:bottom w:val="nil"/>
              <w:right w:val="nil"/>
            </w:tcBorders>
            <w:shd w:val="clear" w:color="auto" w:fill="auto"/>
            <w:noWrap/>
            <w:vAlign w:val="center"/>
            <w:hideMark/>
          </w:tcPr>
          <w:p w14:paraId="5635FC8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171.8%</w:t>
            </w:r>
          </w:p>
        </w:tc>
        <w:tc>
          <w:tcPr>
            <w:tcW w:w="638" w:type="pct"/>
            <w:tcBorders>
              <w:top w:val="single" w:sz="8" w:space="0" w:color="auto"/>
              <w:left w:val="nil"/>
              <w:bottom w:val="nil"/>
              <w:right w:val="nil"/>
            </w:tcBorders>
            <w:shd w:val="clear" w:color="auto" w:fill="auto"/>
            <w:noWrap/>
            <w:vAlign w:val="center"/>
            <w:hideMark/>
          </w:tcPr>
          <w:p w14:paraId="7025FCAB"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102.2%</w:t>
            </w:r>
          </w:p>
        </w:tc>
        <w:tc>
          <w:tcPr>
            <w:tcW w:w="706"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C5B115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100.1%</w:t>
            </w:r>
          </w:p>
        </w:tc>
      </w:tr>
      <w:tr w:rsidR="008663E6" w:rsidRPr="008663E6" w14:paraId="201A48C7" w14:textId="77777777" w:rsidTr="008663E6">
        <w:trPr>
          <w:trHeight w:val="255"/>
        </w:trPr>
        <w:tc>
          <w:tcPr>
            <w:tcW w:w="714" w:type="pct"/>
            <w:tcBorders>
              <w:top w:val="single" w:sz="8" w:space="0" w:color="auto"/>
              <w:left w:val="single" w:sz="8" w:space="0" w:color="auto"/>
              <w:right w:val="single" w:sz="8" w:space="0" w:color="auto"/>
            </w:tcBorders>
            <w:shd w:val="clear" w:color="auto" w:fill="auto"/>
            <w:noWrap/>
            <w:vAlign w:val="center"/>
            <w:hideMark/>
          </w:tcPr>
          <w:p w14:paraId="670E985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D</w:t>
            </w:r>
          </w:p>
        </w:tc>
        <w:tc>
          <w:tcPr>
            <w:tcW w:w="768" w:type="pct"/>
            <w:tcBorders>
              <w:top w:val="single" w:sz="8" w:space="0" w:color="auto"/>
              <w:left w:val="nil"/>
              <w:right w:val="nil"/>
            </w:tcBorders>
            <w:shd w:val="clear" w:color="auto" w:fill="auto"/>
            <w:noWrap/>
            <w:vAlign w:val="center"/>
            <w:hideMark/>
          </w:tcPr>
          <w:p w14:paraId="35F771F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-0.52%</w:t>
            </w:r>
          </w:p>
        </w:tc>
        <w:tc>
          <w:tcPr>
            <w:tcW w:w="768" w:type="pct"/>
            <w:tcBorders>
              <w:top w:val="single" w:sz="8" w:space="0" w:color="auto"/>
              <w:left w:val="nil"/>
              <w:right w:val="nil"/>
            </w:tcBorders>
            <w:shd w:val="clear" w:color="auto" w:fill="auto"/>
            <w:noWrap/>
            <w:vAlign w:val="center"/>
            <w:hideMark/>
          </w:tcPr>
          <w:p w14:paraId="70DCC0B6"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-0.62%</w:t>
            </w:r>
          </w:p>
        </w:tc>
        <w:tc>
          <w:tcPr>
            <w:tcW w:w="768" w:type="pct"/>
            <w:tcBorders>
              <w:top w:val="single" w:sz="8" w:space="0" w:color="auto"/>
              <w:left w:val="nil"/>
              <w:right w:val="single" w:sz="4" w:space="0" w:color="auto"/>
            </w:tcBorders>
            <w:shd w:val="clear" w:color="auto" w:fill="auto"/>
            <w:noWrap/>
            <w:vAlign w:val="center"/>
            <w:hideMark/>
          </w:tcPr>
          <w:p w14:paraId="5FDA031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-0.81%</w:t>
            </w:r>
          </w:p>
        </w:tc>
        <w:tc>
          <w:tcPr>
            <w:tcW w:w="638" w:type="pct"/>
            <w:tcBorders>
              <w:top w:val="single" w:sz="8" w:space="0" w:color="auto"/>
              <w:left w:val="nil"/>
              <w:right w:val="nil"/>
            </w:tcBorders>
            <w:shd w:val="clear" w:color="auto" w:fill="auto"/>
            <w:noWrap/>
            <w:vAlign w:val="center"/>
            <w:hideMark/>
          </w:tcPr>
          <w:p w14:paraId="49B5AF06"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203.1%</w:t>
            </w:r>
          </w:p>
        </w:tc>
        <w:tc>
          <w:tcPr>
            <w:tcW w:w="638" w:type="pct"/>
            <w:tcBorders>
              <w:top w:val="single" w:sz="8" w:space="0" w:color="auto"/>
              <w:left w:val="nil"/>
              <w:right w:val="nil"/>
            </w:tcBorders>
            <w:shd w:val="clear" w:color="auto" w:fill="auto"/>
            <w:noWrap/>
            <w:vAlign w:val="center"/>
            <w:hideMark/>
          </w:tcPr>
          <w:p w14:paraId="5A0843F5"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102.9%</w:t>
            </w:r>
          </w:p>
        </w:tc>
        <w:tc>
          <w:tcPr>
            <w:tcW w:w="706" w:type="pct"/>
            <w:tcBorders>
              <w:top w:val="nil"/>
              <w:left w:val="single" w:sz="4" w:space="0" w:color="auto"/>
              <w:right w:val="single" w:sz="8" w:space="0" w:color="auto"/>
            </w:tcBorders>
            <w:shd w:val="clear" w:color="auto" w:fill="auto"/>
            <w:noWrap/>
            <w:vAlign w:val="center"/>
            <w:hideMark/>
          </w:tcPr>
          <w:p w14:paraId="0A23F27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r w:rsidR="008663E6" w:rsidRPr="008663E6" w14:paraId="478234A7" w14:textId="77777777" w:rsidTr="008663E6">
        <w:trPr>
          <w:trHeight w:val="255"/>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14:paraId="2B66C9F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F</w:t>
            </w:r>
          </w:p>
        </w:tc>
        <w:tc>
          <w:tcPr>
            <w:tcW w:w="768" w:type="pct"/>
            <w:tcBorders>
              <w:top w:val="nil"/>
              <w:left w:val="nil"/>
              <w:bottom w:val="single" w:sz="8" w:space="0" w:color="auto"/>
              <w:right w:val="nil"/>
            </w:tcBorders>
            <w:shd w:val="clear" w:color="auto" w:fill="auto"/>
            <w:noWrap/>
            <w:vAlign w:val="center"/>
            <w:hideMark/>
          </w:tcPr>
          <w:p w14:paraId="215DFF9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-1.30%</w:t>
            </w:r>
          </w:p>
        </w:tc>
        <w:tc>
          <w:tcPr>
            <w:tcW w:w="768" w:type="pct"/>
            <w:tcBorders>
              <w:top w:val="nil"/>
              <w:left w:val="nil"/>
              <w:bottom w:val="single" w:sz="8" w:space="0" w:color="auto"/>
              <w:right w:val="nil"/>
            </w:tcBorders>
            <w:shd w:val="clear" w:color="auto" w:fill="auto"/>
            <w:noWrap/>
            <w:vAlign w:val="center"/>
            <w:hideMark/>
          </w:tcPr>
          <w:p w14:paraId="2E23F47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-1.70%</w:t>
            </w:r>
          </w:p>
        </w:tc>
        <w:tc>
          <w:tcPr>
            <w:tcW w:w="768" w:type="pct"/>
            <w:tcBorders>
              <w:top w:val="nil"/>
              <w:left w:val="nil"/>
              <w:bottom w:val="single" w:sz="8" w:space="0" w:color="auto"/>
              <w:right w:val="single" w:sz="4" w:space="0" w:color="auto"/>
            </w:tcBorders>
            <w:shd w:val="clear" w:color="auto" w:fill="auto"/>
            <w:noWrap/>
            <w:vAlign w:val="center"/>
            <w:hideMark/>
          </w:tcPr>
          <w:p w14:paraId="346554B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-1.66%</w:t>
            </w:r>
          </w:p>
        </w:tc>
        <w:tc>
          <w:tcPr>
            <w:tcW w:w="638" w:type="pct"/>
            <w:tcBorders>
              <w:top w:val="nil"/>
              <w:left w:val="nil"/>
              <w:bottom w:val="single" w:sz="8" w:space="0" w:color="auto"/>
              <w:right w:val="nil"/>
            </w:tcBorders>
            <w:shd w:val="clear" w:color="auto" w:fill="auto"/>
            <w:noWrap/>
            <w:vAlign w:val="center"/>
            <w:hideMark/>
          </w:tcPr>
          <w:p w14:paraId="2E6EC246"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180.7%</w:t>
            </w:r>
          </w:p>
        </w:tc>
        <w:tc>
          <w:tcPr>
            <w:tcW w:w="638" w:type="pct"/>
            <w:tcBorders>
              <w:top w:val="nil"/>
              <w:left w:val="nil"/>
              <w:bottom w:val="single" w:sz="8" w:space="0" w:color="auto"/>
              <w:right w:val="nil"/>
            </w:tcBorders>
            <w:shd w:val="clear" w:color="auto" w:fill="auto"/>
            <w:noWrap/>
            <w:vAlign w:val="center"/>
            <w:hideMark/>
          </w:tcPr>
          <w:p w14:paraId="6A1FC534"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101.2%</w:t>
            </w:r>
          </w:p>
        </w:tc>
        <w:tc>
          <w:tcPr>
            <w:tcW w:w="706" w:type="pct"/>
            <w:tcBorders>
              <w:top w:val="nil"/>
              <w:left w:val="single" w:sz="4" w:space="0" w:color="auto"/>
              <w:bottom w:val="single" w:sz="8" w:space="0" w:color="auto"/>
              <w:right w:val="single" w:sz="8" w:space="0" w:color="auto"/>
            </w:tcBorders>
            <w:shd w:val="clear" w:color="auto" w:fill="auto"/>
            <w:noWrap/>
            <w:vAlign w:val="center"/>
            <w:hideMark/>
          </w:tcPr>
          <w:p w14:paraId="5FDD4A8F"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100.1%</w:t>
            </w:r>
          </w:p>
        </w:tc>
      </w:tr>
      <w:tr w:rsidR="008663E6" w:rsidRPr="008663E6" w14:paraId="771D879B" w14:textId="77777777" w:rsidTr="008663E6">
        <w:trPr>
          <w:trHeight w:val="255"/>
        </w:trPr>
        <w:tc>
          <w:tcPr>
            <w:tcW w:w="714" w:type="pct"/>
            <w:tcBorders>
              <w:top w:val="nil"/>
              <w:left w:val="nil"/>
              <w:bottom w:val="nil"/>
              <w:right w:val="nil"/>
            </w:tcBorders>
            <w:shd w:val="clear" w:color="auto" w:fill="auto"/>
            <w:noWrap/>
            <w:vAlign w:val="center"/>
            <w:hideMark/>
          </w:tcPr>
          <w:p w14:paraId="4FD7C36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286" w:type="pct"/>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6F124B"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663E6">
              <w:rPr>
                <w:rFonts w:ascii="Arial" w:eastAsia="맑은 고딕" w:hAnsi="Arial" w:cs="Arial"/>
                <w:b/>
                <w:bCs/>
                <w:color w:val="000000"/>
                <w:sz w:val="18"/>
                <w:szCs w:val="18"/>
                <w:lang w:eastAsia="ko-KR"/>
              </w:rPr>
              <w:t>Random Access Main 10</w:t>
            </w:r>
          </w:p>
        </w:tc>
      </w:tr>
      <w:tr w:rsidR="008663E6" w:rsidRPr="008663E6" w14:paraId="3B67CBD5" w14:textId="77777777" w:rsidTr="008663E6">
        <w:trPr>
          <w:trHeight w:val="255"/>
        </w:trPr>
        <w:tc>
          <w:tcPr>
            <w:tcW w:w="714" w:type="pct"/>
            <w:tcBorders>
              <w:top w:val="nil"/>
              <w:left w:val="nil"/>
              <w:bottom w:val="nil"/>
              <w:right w:val="nil"/>
            </w:tcBorders>
            <w:shd w:val="clear" w:color="auto" w:fill="auto"/>
            <w:noWrap/>
            <w:vAlign w:val="center"/>
            <w:hideMark/>
          </w:tcPr>
          <w:p w14:paraId="42E846A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286" w:type="pct"/>
            <w:gridSpan w:val="6"/>
            <w:tcBorders>
              <w:top w:val="nil"/>
              <w:left w:val="single" w:sz="8" w:space="0" w:color="auto"/>
              <w:bottom w:val="nil"/>
              <w:right w:val="single" w:sz="8" w:space="0" w:color="000000"/>
            </w:tcBorders>
            <w:shd w:val="clear" w:color="auto" w:fill="auto"/>
            <w:noWrap/>
            <w:vAlign w:val="center"/>
            <w:hideMark/>
          </w:tcPr>
          <w:p w14:paraId="63EAA278"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663E6">
              <w:rPr>
                <w:rFonts w:ascii="Arial" w:eastAsia="맑은 고딕" w:hAnsi="Arial" w:cs="Arial"/>
                <w:b/>
                <w:bCs/>
                <w:color w:val="000000"/>
                <w:sz w:val="18"/>
                <w:szCs w:val="18"/>
                <w:lang w:eastAsia="ko-KR"/>
              </w:rPr>
              <w:t>Over ECM-10.0</w:t>
            </w:r>
          </w:p>
        </w:tc>
      </w:tr>
      <w:tr w:rsidR="008663E6" w:rsidRPr="008663E6" w14:paraId="4664F69C" w14:textId="77777777" w:rsidTr="008663E6">
        <w:trPr>
          <w:trHeight w:val="255"/>
        </w:trPr>
        <w:tc>
          <w:tcPr>
            <w:tcW w:w="714" w:type="pct"/>
            <w:tcBorders>
              <w:top w:val="nil"/>
              <w:left w:val="nil"/>
              <w:bottom w:val="nil"/>
              <w:right w:val="nil"/>
            </w:tcBorders>
            <w:shd w:val="clear" w:color="auto" w:fill="auto"/>
            <w:noWrap/>
            <w:vAlign w:val="center"/>
            <w:hideMark/>
          </w:tcPr>
          <w:p w14:paraId="180375F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768" w:type="pct"/>
            <w:tcBorders>
              <w:top w:val="nil"/>
              <w:left w:val="single" w:sz="8" w:space="0" w:color="auto"/>
              <w:bottom w:val="single" w:sz="8" w:space="0" w:color="auto"/>
              <w:right w:val="nil"/>
            </w:tcBorders>
            <w:shd w:val="clear" w:color="auto" w:fill="auto"/>
            <w:noWrap/>
            <w:vAlign w:val="center"/>
            <w:hideMark/>
          </w:tcPr>
          <w:p w14:paraId="57D20296"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Y</w:t>
            </w:r>
          </w:p>
        </w:tc>
        <w:tc>
          <w:tcPr>
            <w:tcW w:w="768" w:type="pct"/>
            <w:tcBorders>
              <w:top w:val="nil"/>
              <w:left w:val="nil"/>
              <w:bottom w:val="single" w:sz="8" w:space="0" w:color="auto"/>
              <w:right w:val="nil"/>
            </w:tcBorders>
            <w:shd w:val="clear" w:color="auto" w:fill="auto"/>
            <w:noWrap/>
            <w:vAlign w:val="center"/>
            <w:hideMark/>
          </w:tcPr>
          <w:p w14:paraId="2EBA1D9E"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U</w:t>
            </w:r>
          </w:p>
        </w:tc>
        <w:tc>
          <w:tcPr>
            <w:tcW w:w="768" w:type="pct"/>
            <w:tcBorders>
              <w:top w:val="nil"/>
              <w:left w:val="nil"/>
              <w:bottom w:val="single" w:sz="8" w:space="0" w:color="auto"/>
              <w:right w:val="single" w:sz="4" w:space="0" w:color="auto"/>
            </w:tcBorders>
            <w:shd w:val="clear" w:color="auto" w:fill="auto"/>
            <w:noWrap/>
            <w:vAlign w:val="center"/>
            <w:hideMark/>
          </w:tcPr>
          <w:p w14:paraId="350F0A2B"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V</w:t>
            </w:r>
          </w:p>
        </w:tc>
        <w:tc>
          <w:tcPr>
            <w:tcW w:w="638" w:type="pct"/>
            <w:tcBorders>
              <w:top w:val="nil"/>
              <w:left w:val="nil"/>
              <w:bottom w:val="single" w:sz="8" w:space="0" w:color="auto"/>
              <w:right w:val="nil"/>
            </w:tcBorders>
            <w:shd w:val="clear" w:color="auto" w:fill="auto"/>
            <w:noWrap/>
            <w:vAlign w:val="center"/>
            <w:hideMark/>
          </w:tcPr>
          <w:p w14:paraId="1D05F04F"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EncT</w:t>
            </w:r>
          </w:p>
        </w:tc>
        <w:tc>
          <w:tcPr>
            <w:tcW w:w="638" w:type="pct"/>
            <w:tcBorders>
              <w:top w:val="nil"/>
              <w:left w:val="nil"/>
              <w:bottom w:val="single" w:sz="8" w:space="0" w:color="auto"/>
              <w:right w:val="nil"/>
            </w:tcBorders>
            <w:shd w:val="clear" w:color="auto" w:fill="auto"/>
            <w:noWrap/>
            <w:vAlign w:val="center"/>
            <w:hideMark/>
          </w:tcPr>
          <w:p w14:paraId="07E0D4A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DecT</w:t>
            </w:r>
          </w:p>
        </w:tc>
        <w:tc>
          <w:tcPr>
            <w:tcW w:w="706" w:type="pct"/>
            <w:tcBorders>
              <w:top w:val="nil"/>
              <w:left w:val="single" w:sz="4" w:space="0" w:color="auto"/>
              <w:bottom w:val="single" w:sz="8" w:space="0" w:color="auto"/>
              <w:right w:val="single" w:sz="8" w:space="0" w:color="auto"/>
            </w:tcBorders>
            <w:shd w:val="clear" w:color="auto" w:fill="auto"/>
            <w:noWrap/>
            <w:vAlign w:val="center"/>
            <w:hideMark/>
          </w:tcPr>
          <w:p w14:paraId="5749D45E"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VmPeak</w:t>
            </w:r>
          </w:p>
        </w:tc>
      </w:tr>
      <w:tr w:rsidR="008663E6" w:rsidRPr="008663E6" w14:paraId="32A6B9DE" w14:textId="77777777" w:rsidTr="008663E6">
        <w:trPr>
          <w:trHeight w:val="255"/>
        </w:trPr>
        <w:tc>
          <w:tcPr>
            <w:tcW w:w="714" w:type="pct"/>
            <w:tcBorders>
              <w:top w:val="single" w:sz="8" w:space="0" w:color="auto"/>
              <w:left w:val="single" w:sz="8" w:space="0" w:color="auto"/>
              <w:bottom w:val="nil"/>
              <w:right w:val="single" w:sz="8" w:space="0" w:color="auto"/>
            </w:tcBorders>
            <w:shd w:val="clear" w:color="auto" w:fill="auto"/>
            <w:noWrap/>
            <w:vAlign w:val="center"/>
            <w:hideMark/>
          </w:tcPr>
          <w:p w14:paraId="2A559E0F"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A1</w:t>
            </w:r>
          </w:p>
        </w:tc>
        <w:tc>
          <w:tcPr>
            <w:tcW w:w="768" w:type="pct"/>
            <w:tcBorders>
              <w:top w:val="nil"/>
              <w:left w:val="nil"/>
              <w:bottom w:val="nil"/>
              <w:right w:val="nil"/>
            </w:tcBorders>
            <w:shd w:val="clear" w:color="auto" w:fill="auto"/>
            <w:noWrap/>
            <w:vAlign w:val="center"/>
            <w:hideMark/>
          </w:tcPr>
          <w:p w14:paraId="319D61B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-1.09%</w:t>
            </w:r>
          </w:p>
        </w:tc>
        <w:tc>
          <w:tcPr>
            <w:tcW w:w="768" w:type="pct"/>
            <w:tcBorders>
              <w:top w:val="nil"/>
              <w:left w:val="nil"/>
              <w:bottom w:val="nil"/>
              <w:right w:val="nil"/>
            </w:tcBorders>
            <w:shd w:val="clear" w:color="auto" w:fill="auto"/>
            <w:noWrap/>
            <w:vAlign w:val="center"/>
            <w:hideMark/>
          </w:tcPr>
          <w:p w14:paraId="7DB99EA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-1.45%</w:t>
            </w:r>
          </w:p>
        </w:tc>
        <w:tc>
          <w:tcPr>
            <w:tcW w:w="768" w:type="pct"/>
            <w:tcBorders>
              <w:top w:val="nil"/>
              <w:left w:val="nil"/>
              <w:bottom w:val="nil"/>
              <w:right w:val="single" w:sz="4" w:space="0" w:color="auto"/>
            </w:tcBorders>
            <w:shd w:val="clear" w:color="auto" w:fill="auto"/>
            <w:noWrap/>
            <w:vAlign w:val="center"/>
            <w:hideMark/>
          </w:tcPr>
          <w:p w14:paraId="5507BD2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-1.52%</w:t>
            </w:r>
          </w:p>
        </w:tc>
        <w:tc>
          <w:tcPr>
            <w:tcW w:w="638" w:type="pct"/>
            <w:tcBorders>
              <w:top w:val="nil"/>
              <w:left w:val="nil"/>
              <w:bottom w:val="nil"/>
              <w:right w:val="nil"/>
            </w:tcBorders>
            <w:shd w:val="clear" w:color="auto" w:fill="auto"/>
            <w:noWrap/>
            <w:vAlign w:val="center"/>
            <w:hideMark/>
          </w:tcPr>
          <w:p w14:paraId="24F0C81B"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195.7%</w:t>
            </w:r>
          </w:p>
        </w:tc>
        <w:tc>
          <w:tcPr>
            <w:tcW w:w="638" w:type="pct"/>
            <w:tcBorders>
              <w:top w:val="nil"/>
              <w:left w:val="nil"/>
              <w:bottom w:val="nil"/>
              <w:right w:val="nil"/>
            </w:tcBorders>
            <w:shd w:val="clear" w:color="auto" w:fill="auto"/>
            <w:noWrap/>
            <w:vAlign w:val="center"/>
            <w:hideMark/>
          </w:tcPr>
          <w:p w14:paraId="4439711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100.5%</w:t>
            </w:r>
          </w:p>
        </w:tc>
        <w:tc>
          <w:tcPr>
            <w:tcW w:w="706" w:type="pct"/>
            <w:tcBorders>
              <w:top w:val="nil"/>
              <w:left w:val="single" w:sz="4" w:space="0" w:color="auto"/>
              <w:bottom w:val="nil"/>
              <w:right w:val="single" w:sz="8" w:space="0" w:color="auto"/>
            </w:tcBorders>
            <w:shd w:val="clear" w:color="auto" w:fill="auto"/>
            <w:noWrap/>
            <w:vAlign w:val="center"/>
            <w:hideMark/>
          </w:tcPr>
          <w:p w14:paraId="6AB4BC3F"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100.1%</w:t>
            </w:r>
          </w:p>
        </w:tc>
      </w:tr>
      <w:tr w:rsidR="008663E6" w:rsidRPr="008663E6" w14:paraId="66D77EA8" w14:textId="77777777" w:rsidTr="008663E6">
        <w:trPr>
          <w:trHeight w:val="255"/>
        </w:trPr>
        <w:tc>
          <w:tcPr>
            <w:tcW w:w="714" w:type="pct"/>
            <w:tcBorders>
              <w:top w:val="nil"/>
              <w:left w:val="single" w:sz="8" w:space="0" w:color="auto"/>
              <w:bottom w:val="nil"/>
              <w:right w:val="single" w:sz="8" w:space="0" w:color="auto"/>
            </w:tcBorders>
            <w:shd w:val="clear" w:color="auto" w:fill="auto"/>
            <w:noWrap/>
            <w:vAlign w:val="center"/>
            <w:hideMark/>
          </w:tcPr>
          <w:p w14:paraId="4135529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A2</w:t>
            </w:r>
          </w:p>
        </w:tc>
        <w:tc>
          <w:tcPr>
            <w:tcW w:w="768" w:type="pct"/>
            <w:tcBorders>
              <w:top w:val="nil"/>
              <w:left w:val="nil"/>
              <w:bottom w:val="nil"/>
              <w:right w:val="nil"/>
            </w:tcBorders>
            <w:shd w:val="clear" w:color="auto" w:fill="auto"/>
            <w:noWrap/>
            <w:vAlign w:val="center"/>
            <w:hideMark/>
          </w:tcPr>
          <w:p w14:paraId="35AE35A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#VALUE!</w:t>
            </w:r>
          </w:p>
        </w:tc>
        <w:tc>
          <w:tcPr>
            <w:tcW w:w="768" w:type="pct"/>
            <w:tcBorders>
              <w:top w:val="nil"/>
              <w:left w:val="nil"/>
              <w:bottom w:val="nil"/>
              <w:right w:val="nil"/>
            </w:tcBorders>
            <w:shd w:val="clear" w:color="auto" w:fill="auto"/>
            <w:noWrap/>
            <w:vAlign w:val="center"/>
            <w:hideMark/>
          </w:tcPr>
          <w:p w14:paraId="774C6C54"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#VALUE!</w:t>
            </w:r>
          </w:p>
        </w:tc>
        <w:tc>
          <w:tcPr>
            <w:tcW w:w="768" w:type="pct"/>
            <w:tcBorders>
              <w:top w:val="nil"/>
              <w:left w:val="nil"/>
              <w:bottom w:val="nil"/>
              <w:right w:val="single" w:sz="4" w:space="0" w:color="auto"/>
            </w:tcBorders>
            <w:shd w:val="clear" w:color="auto" w:fill="auto"/>
            <w:noWrap/>
            <w:vAlign w:val="center"/>
            <w:hideMark/>
          </w:tcPr>
          <w:p w14:paraId="49E4C29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#VALUE!</w:t>
            </w:r>
          </w:p>
        </w:tc>
        <w:tc>
          <w:tcPr>
            <w:tcW w:w="638" w:type="pct"/>
            <w:tcBorders>
              <w:top w:val="nil"/>
              <w:left w:val="nil"/>
              <w:bottom w:val="nil"/>
              <w:right w:val="nil"/>
            </w:tcBorders>
            <w:shd w:val="clear" w:color="auto" w:fill="auto"/>
            <w:noWrap/>
            <w:vAlign w:val="center"/>
            <w:hideMark/>
          </w:tcPr>
          <w:p w14:paraId="680AAA5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#NUM!</w:t>
            </w:r>
          </w:p>
        </w:tc>
        <w:tc>
          <w:tcPr>
            <w:tcW w:w="638" w:type="pct"/>
            <w:tcBorders>
              <w:top w:val="nil"/>
              <w:left w:val="nil"/>
              <w:bottom w:val="nil"/>
              <w:right w:val="nil"/>
            </w:tcBorders>
            <w:shd w:val="clear" w:color="auto" w:fill="auto"/>
            <w:noWrap/>
            <w:vAlign w:val="center"/>
            <w:hideMark/>
          </w:tcPr>
          <w:p w14:paraId="7C34E8D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#NUM!</w:t>
            </w:r>
          </w:p>
        </w:tc>
        <w:tc>
          <w:tcPr>
            <w:tcW w:w="706" w:type="pct"/>
            <w:tcBorders>
              <w:top w:val="nil"/>
              <w:left w:val="single" w:sz="4" w:space="0" w:color="auto"/>
              <w:bottom w:val="nil"/>
              <w:right w:val="single" w:sz="8" w:space="0" w:color="auto"/>
            </w:tcBorders>
            <w:shd w:val="clear" w:color="auto" w:fill="auto"/>
            <w:noWrap/>
            <w:vAlign w:val="center"/>
            <w:hideMark/>
          </w:tcPr>
          <w:p w14:paraId="14D5BD9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#NUM!</w:t>
            </w:r>
          </w:p>
        </w:tc>
      </w:tr>
      <w:tr w:rsidR="008663E6" w:rsidRPr="008663E6" w14:paraId="6FE94035" w14:textId="77777777" w:rsidTr="008663E6">
        <w:trPr>
          <w:trHeight w:val="255"/>
        </w:trPr>
        <w:tc>
          <w:tcPr>
            <w:tcW w:w="714" w:type="pct"/>
            <w:tcBorders>
              <w:top w:val="nil"/>
              <w:left w:val="single" w:sz="8" w:space="0" w:color="auto"/>
              <w:bottom w:val="nil"/>
              <w:right w:val="single" w:sz="8" w:space="0" w:color="auto"/>
            </w:tcBorders>
            <w:shd w:val="clear" w:color="auto" w:fill="auto"/>
            <w:noWrap/>
            <w:vAlign w:val="center"/>
            <w:hideMark/>
          </w:tcPr>
          <w:p w14:paraId="7422D855"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B</w:t>
            </w:r>
          </w:p>
        </w:tc>
        <w:tc>
          <w:tcPr>
            <w:tcW w:w="768" w:type="pct"/>
            <w:tcBorders>
              <w:top w:val="nil"/>
              <w:left w:val="nil"/>
              <w:bottom w:val="nil"/>
              <w:right w:val="nil"/>
            </w:tcBorders>
            <w:shd w:val="clear" w:color="auto" w:fill="auto"/>
            <w:noWrap/>
            <w:vAlign w:val="center"/>
            <w:hideMark/>
          </w:tcPr>
          <w:p w14:paraId="77D224E5"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-1.01%</w:t>
            </w:r>
          </w:p>
        </w:tc>
        <w:tc>
          <w:tcPr>
            <w:tcW w:w="768" w:type="pct"/>
            <w:tcBorders>
              <w:top w:val="nil"/>
              <w:left w:val="nil"/>
              <w:bottom w:val="nil"/>
              <w:right w:val="nil"/>
            </w:tcBorders>
            <w:shd w:val="clear" w:color="auto" w:fill="auto"/>
            <w:noWrap/>
            <w:vAlign w:val="center"/>
            <w:hideMark/>
          </w:tcPr>
          <w:p w14:paraId="53DE544F"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-1.71%</w:t>
            </w:r>
          </w:p>
        </w:tc>
        <w:tc>
          <w:tcPr>
            <w:tcW w:w="768" w:type="pct"/>
            <w:tcBorders>
              <w:top w:val="nil"/>
              <w:left w:val="nil"/>
              <w:bottom w:val="nil"/>
              <w:right w:val="single" w:sz="4" w:space="0" w:color="auto"/>
            </w:tcBorders>
            <w:shd w:val="clear" w:color="auto" w:fill="auto"/>
            <w:noWrap/>
            <w:vAlign w:val="center"/>
            <w:hideMark/>
          </w:tcPr>
          <w:p w14:paraId="135542E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-1.71%</w:t>
            </w:r>
          </w:p>
        </w:tc>
        <w:tc>
          <w:tcPr>
            <w:tcW w:w="638" w:type="pct"/>
            <w:tcBorders>
              <w:top w:val="nil"/>
              <w:left w:val="nil"/>
              <w:bottom w:val="nil"/>
              <w:right w:val="nil"/>
            </w:tcBorders>
            <w:shd w:val="clear" w:color="auto" w:fill="auto"/>
            <w:noWrap/>
            <w:vAlign w:val="center"/>
            <w:hideMark/>
          </w:tcPr>
          <w:p w14:paraId="48F54AF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186.8%</w:t>
            </w:r>
          </w:p>
        </w:tc>
        <w:tc>
          <w:tcPr>
            <w:tcW w:w="638" w:type="pct"/>
            <w:tcBorders>
              <w:top w:val="nil"/>
              <w:left w:val="nil"/>
              <w:bottom w:val="nil"/>
              <w:right w:val="nil"/>
            </w:tcBorders>
            <w:shd w:val="clear" w:color="auto" w:fill="auto"/>
            <w:noWrap/>
            <w:vAlign w:val="center"/>
            <w:hideMark/>
          </w:tcPr>
          <w:p w14:paraId="054A1A3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101.0%</w:t>
            </w:r>
          </w:p>
        </w:tc>
        <w:tc>
          <w:tcPr>
            <w:tcW w:w="706" w:type="pct"/>
            <w:tcBorders>
              <w:top w:val="nil"/>
              <w:left w:val="single" w:sz="4" w:space="0" w:color="auto"/>
              <w:bottom w:val="nil"/>
              <w:right w:val="single" w:sz="8" w:space="0" w:color="auto"/>
            </w:tcBorders>
            <w:shd w:val="clear" w:color="auto" w:fill="auto"/>
            <w:noWrap/>
            <w:vAlign w:val="center"/>
            <w:hideMark/>
          </w:tcPr>
          <w:p w14:paraId="06DD393B"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100.4%</w:t>
            </w:r>
          </w:p>
        </w:tc>
      </w:tr>
      <w:tr w:rsidR="008663E6" w:rsidRPr="008663E6" w14:paraId="6446A59C" w14:textId="77777777" w:rsidTr="008663E6">
        <w:trPr>
          <w:trHeight w:val="255"/>
        </w:trPr>
        <w:tc>
          <w:tcPr>
            <w:tcW w:w="714" w:type="pct"/>
            <w:tcBorders>
              <w:top w:val="nil"/>
              <w:left w:val="single" w:sz="8" w:space="0" w:color="auto"/>
              <w:bottom w:val="nil"/>
              <w:right w:val="single" w:sz="8" w:space="0" w:color="auto"/>
            </w:tcBorders>
            <w:shd w:val="clear" w:color="auto" w:fill="auto"/>
            <w:noWrap/>
            <w:vAlign w:val="center"/>
            <w:hideMark/>
          </w:tcPr>
          <w:p w14:paraId="62511EC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lastRenderedPageBreak/>
              <w:t>Class C</w:t>
            </w:r>
          </w:p>
        </w:tc>
        <w:tc>
          <w:tcPr>
            <w:tcW w:w="768" w:type="pct"/>
            <w:tcBorders>
              <w:top w:val="nil"/>
              <w:left w:val="nil"/>
              <w:bottom w:val="nil"/>
              <w:right w:val="nil"/>
            </w:tcBorders>
            <w:shd w:val="clear" w:color="auto" w:fill="auto"/>
            <w:noWrap/>
            <w:vAlign w:val="center"/>
            <w:hideMark/>
          </w:tcPr>
          <w:p w14:paraId="5D17678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-0.80%</w:t>
            </w:r>
          </w:p>
        </w:tc>
        <w:tc>
          <w:tcPr>
            <w:tcW w:w="768" w:type="pct"/>
            <w:tcBorders>
              <w:top w:val="nil"/>
              <w:left w:val="nil"/>
              <w:bottom w:val="nil"/>
              <w:right w:val="nil"/>
            </w:tcBorders>
            <w:shd w:val="clear" w:color="auto" w:fill="auto"/>
            <w:noWrap/>
            <w:vAlign w:val="center"/>
            <w:hideMark/>
          </w:tcPr>
          <w:p w14:paraId="65EB83B4"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-1.12%</w:t>
            </w:r>
          </w:p>
        </w:tc>
        <w:tc>
          <w:tcPr>
            <w:tcW w:w="768" w:type="pct"/>
            <w:tcBorders>
              <w:top w:val="nil"/>
              <w:left w:val="nil"/>
              <w:bottom w:val="nil"/>
              <w:right w:val="single" w:sz="4" w:space="0" w:color="auto"/>
            </w:tcBorders>
            <w:shd w:val="clear" w:color="auto" w:fill="auto"/>
            <w:noWrap/>
            <w:vAlign w:val="center"/>
            <w:hideMark/>
          </w:tcPr>
          <w:p w14:paraId="17286C2E"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-1.38%</w:t>
            </w:r>
          </w:p>
        </w:tc>
        <w:tc>
          <w:tcPr>
            <w:tcW w:w="638" w:type="pct"/>
            <w:tcBorders>
              <w:top w:val="nil"/>
              <w:left w:val="nil"/>
              <w:bottom w:val="nil"/>
              <w:right w:val="nil"/>
            </w:tcBorders>
            <w:shd w:val="clear" w:color="auto" w:fill="auto"/>
            <w:noWrap/>
            <w:vAlign w:val="center"/>
            <w:hideMark/>
          </w:tcPr>
          <w:p w14:paraId="04CAE7BF"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166.5%</w:t>
            </w:r>
          </w:p>
        </w:tc>
        <w:tc>
          <w:tcPr>
            <w:tcW w:w="638" w:type="pct"/>
            <w:tcBorders>
              <w:top w:val="nil"/>
              <w:left w:val="nil"/>
              <w:bottom w:val="nil"/>
              <w:right w:val="nil"/>
            </w:tcBorders>
            <w:shd w:val="clear" w:color="auto" w:fill="auto"/>
            <w:noWrap/>
            <w:vAlign w:val="center"/>
            <w:hideMark/>
          </w:tcPr>
          <w:p w14:paraId="7729455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101.8%</w:t>
            </w:r>
          </w:p>
        </w:tc>
        <w:tc>
          <w:tcPr>
            <w:tcW w:w="706" w:type="pct"/>
            <w:tcBorders>
              <w:top w:val="nil"/>
              <w:left w:val="single" w:sz="4" w:space="0" w:color="auto"/>
              <w:bottom w:val="nil"/>
              <w:right w:val="single" w:sz="8" w:space="0" w:color="auto"/>
            </w:tcBorders>
            <w:shd w:val="clear" w:color="auto" w:fill="auto"/>
            <w:noWrap/>
            <w:vAlign w:val="center"/>
            <w:hideMark/>
          </w:tcPr>
          <w:p w14:paraId="05568C0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r w:rsidR="008663E6" w:rsidRPr="008663E6" w14:paraId="1C9351E5" w14:textId="77777777" w:rsidTr="008663E6">
        <w:trPr>
          <w:trHeight w:val="255"/>
        </w:trPr>
        <w:tc>
          <w:tcPr>
            <w:tcW w:w="714" w:type="pct"/>
            <w:tcBorders>
              <w:top w:val="nil"/>
              <w:left w:val="single" w:sz="8" w:space="0" w:color="auto"/>
              <w:bottom w:val="nil"/>
              <w:right w:val="single" w:sz="8" w:space="0" w:color="auto"/>
            </w:tcBorders>
            <w:shd w:val="clear" w:color="auto" w:fill="auto"/>
            <w:noWrap/>
            <w:vAlign w:val="center"/>
            <w:hideMark/>
          </w:tcPr>
          <w:p w14:paraId="054C2CF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E</w:t>
            </w:r>
          </w:p>
        </w:tc>
        <w:tc>
          <w:tcPr>
            <w:tcW w:w="768" w:type="pct"/>
            <w:tcBorders>
              <w:top w:val="nil"/>
              <w:left w:val="nil"/>
              <w:bottom w:val="nil"/>
              <w:right w:val="nil"/>
            </w:tcBorders>
            <w:shd w:val="clear" w:color="auto" w:fill="auto"/>
            <w:noWrap/>
            <w:vAlign w:val="center"/>
          </w:tcPr>
          <w:p w14:paraId="5664AFCE" w14:textId="0A21C6DB"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8" w:type="pct"/>
            <w:tcBorders>
              <w:top w:val="nil"/>
              <w:left w:val="nil"/>
              <w:bottom w:val="nil"/>
              <w:right w:val="nil"/>
            </w:tcBorders>
            <w:shd w:val="clear" w:color="auto" w:fill="auto"/>
            <w:noWrap/>
            <w:vAlign w:val="center"/>
          </w:tcPr>
          <w:p w14:paraId="6FB949A6"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8" w:type="pct"/>
            <w:tcBorders>
              <w:top w:val="nil"/>
              <w:left w:val="nil"/>
              <w:bottom w:val="nil"/>
              <w:right w:val="single" w:sz="4" w:space="0" w:color="auto"/>
            </w:tcBorders>
            <w:shd w:val="clear" w:color="auto" w:fill="auto"/>
            <w:noWrap/>
            <w:vAlign w:val="center"/>
          </w:tcPr>
          <w:p w14:paraId="324B6103" w14:textId="76BB4A64"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638" w:type="pct"/>
            <w:tcBorders>
              <w:top w:val="nil"/>
              <w:left w:val="nil"/>
              <w:bottom w:val="nil"/>
              <w:right w:val="nil"/>
            </w:tcBorders>
            <w:shd w:val="clear" w:color="auto" w:fill="auto"/>
            <w:noWrap/>
            <w:vAlign w:val="center"/>
          </w:tcPr>
          <w:p w14:paraId="10D585BC" w14:textId="5D007CA9"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638" w:type="pct"/>
            <w:tcBorders>
              <w:top w:val="nil"/>
              <w:left w:val="nil"/>
              <w:bottom w:val="nil"/>
              <w:right w:val="nil"/>
            </w:tcBorders>
            <w:shd w:val="clear" w:color="auto" w:fill="auto"/>
            <w:noWrap/>
            <w:vAlign w:val="center"/>
          </w:tcPr>
          <w:p w14:paraId="6A78485F"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06" w:type="pct"/>
            <w:tcBorders>
              <w:top w:val="nil"/>
              <w:left w:val="single" w:sz="4" w:space="0" w:color="auto"/>
              <w:bottom w:val="nil"/>
              <w:right w:val="single" w:sz="8" w:space="0" w:color="auto"/>
            </w:tcBorders>
            <w:shd w:val="clear" w:color="auto" w:fill="auto"/>
            <w:noWrap/>
            <w:vAlign w:val="center"/>
          </w:tcPr>
          <w:p w14:paraId="237D64DE" w14:textId="0FAC3882"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8663E6" w:rsidRPr="008663E6" w14:paraId="59F9C2FB" w14:textId="77777777" w:rsidTr="008663E6">
        <w:trPr>
          <w:trHeight w:val="255"/>
        </w:trPr>
        <w:tc>
          <w:tcPr>
            <w:tcW w:w="714" w:type="pct"/>
            <w:tcBorders>
              <w:top w:val="single" w:sz="8" w:space="0" w:color="auto"/>
              <w:left w:val="single" w:sz="8" w:space="0" w:color="auto"/>
              <w:bottom w:val="nil"/>
              <w:right w:val="single" w:sz="8" w:space="0" w:color="auto"/>
            </w:tcBorders>
            <w:shd w:val="clear" w:color="auto" w:fill="auto"/>
            <w:noWrap/>
            <w:vAlign w:val="center"/>
            <w:hideMark/>
          </w:tcPr>
          <w:p w14:paraId="5AB98F56"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663E6">
              <w:rPr>
                <w:rFonts w:ascii="Arial" w:eastAsia="맑은 고딕" w:hAnsi="Arial" w:cs="Arial"/>
                <w:b/>
                <w:bCs/>
                <w:color w:val="000000"/>
                <w:sz w:val="18"/>
                <w:szCs w:val="18"/>
                <w:lang w:eastAsia="ko-KR"/>
              </w:rPr>
              <w:t>Overall</w:t>
            </w:r>
          </w:p>
        </w:tc>
        <w:tc>
          <w:tcPr>
            <w:tcW w:w="768" w:type="pct"/>
            <w:tcBorders>
              <w:top w:val="single" w:sz="8" w:space="0" w:color="auto"/>
              <w:left w:val="nil"/>
              <w:bottom w:val="nil"/>
              <w:right w:val="nil"/>
            </w:tcBorders>
            <w:shd w:val="clear" w:color="auto" w:fill="auto"/>
            <w:noWrap/>
            <w:vAlign w:val="center"/>
            <w:hideMark/>
          </w:tcPr>
          <w:p w14:paraId="1BBCCB95"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#VALUE!</w:t>
            </w:r>
          </w:p>
        </w:tc>
        <w:tc>
          <w:tcPr>
            <w:tcW w:w="768" w:type="pct"/>
            <w:tcBorders>
              <w:top w:val="single" w:sz="8" w:space="0" w:color="auto"/>
              <w:left w:val="nil"/>
              <w:bottom w:val="nil"/>
              <w:right w:val="nil"/>
            </w:tcBorders>
            <w:shd w:val="clear" w:color="auto" w:fill="auto"/>
            <w:noWrap/>
            <w:vAlign w:val="center"/>
            <w:hideMark/>
          </w:tcPr>
          <w:p w14:paraId="34DAD7D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#VALUE!</w:t>
            </w:r>
          </w:p>
        </w:tc>
        <w:tc>
          <w:tcPr>
            <w:tcW w:w="768" w:type="pct"/>
            <w:tcBorders>
              <w:top w:val="single" w:sz="8" w:space="0" w:color="auto"/>
              <w:left w:val="nil"/>
              <w:bottom w:val="nil"/>
              <w:right w:val="single" w:sz="4" w:space="0" w:color="auto"/>
            </w:tcBorders>
            <w:shd w:val="clear" w:color="auto" w:fill="auto"/>
            <w:noWrap/>
            <w:vAlign w:val="center"/>
            <w:hideMark/>
          </w:tcPr>
          <w:p w14:paraId="4A971C3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#VALUE!</w:t>
            </w:r>
          </w:p>
        </w:tc>
        <w:tc>
          <w:tcPr>
            <w:tcW w:w="638" w:type="pct"/>
            <w:tcBorders>
              <w:top w:val="single" w:sz="8" w:space="0" w:color="auto"/>
              <w:left w:val="nil"/>
              <w:bottom w:val="nil"/>
              <w:right w:val="nil"/>
            </w:tcBorders>
            <w:shd w:val="clear" w:color="auto" w:fill="auto"/>
            <w:noWrap/>
            <w:vAlign w:val="center"/>
            <w:hideMark/>
          </w:tcPr>
          <w:p w14:paraId="22230E6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#NUM!</w:t>
            </w:r>
          </w:p>
        </w:tc>
        <w:tc>
          <w:tcPr>
            <w:tcW w:w="638" w:type="pct"/>
            <w:tcBorders>
              <w:top w:val="single" w:sz="8" w:space="0" w:color="auto"/>
              <w:left w:val="nil"/>
              <w:bottom w:val="nil"/>
              <w:right w:val="nil"/>
            </w:tcBorders>
            <w:shd w:val="clear" w:color="auto" w:fill="auto"/>
            <w:noWrap/>
            <w:vAlign w:val="center"/>
            <w:hideMark/>
          </w:tcPr>
          <w:p w14:paraId="35ED4344"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#NUM!</w:t>
            </w:r>
          </w:p>
        </w:tc>
        <w:tc>
          <w:tcPr>
            <w:tcW w:w="706"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A3A4F1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#NUM!</w:t>
            </w:r>
          </w:p>
        </w:tc>
      </w:tr>
      <w:tr w:rsidR="008663E6" w:rsidRPr="008663E6" w14:paraId="0D8D00AD" w14:textId="77777777" w:rsidTr="008663E6">
        <w:trPr>
          <w:trHeight w:val="255"/>
        </w:trPr>
        <w:tc>
          <w:tcPr>
            <w:tcW w:w="714" w:type="pct"/>
            <w:tcBorders>
              <w:top w:val="single" w:sz="8" w:space="0" w:color="auto"/>
              <w:left w:val="single" w:sz="8" w:space="0" w:color="auto"/>
              <w:right w:val="single" w:sz="8" w:space="0" w:color="auto"/>
            </w:tcBorders>
            <w:shd w:val="clear" w:color="auto" w:fill="auto"/>
            <w:noWrap/>
            <w:vAlign w:val="center"/>
            <w:hideMark/>
          </w:tcPr>
          <w:p w14:paraId="5DBA00E8"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D</w:t>
            </w:r>
          </w:p>
        </w:tc>
        <w:tc>
          <w:tcPr>
            <w:tcW w:w="768" w:type="pct"/>
            <w:tcBorders>
              <w:top w:val="single" w:sz="8" w:space="0" w:color="auto"/>
              <w:left w:val="nil"/>
              <w:right w:val="nil"/>
            </w:tcBorders>
            <w:shd w:val="clear" w:color="auto" w:fill="auto"/>
            <w:noWrap/>
            <w:vAlign w:val="center"/>
            <w:hideMark/>
          </w:tcPr>
          <w:p w14:paraId="43C1A96F"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-0.73%</w:t>
            </w:r>
          </w:p>
        </w:tc>
        <w:tc>
          <w:tcPr>
            <w:tcW w:w="768" w:type="pct"/>
            <w:tcBorders>
              <w:top w:val="single" w:sz="8" w:space="0" w:color="auto"/>
              <w:left w:val="nil"/>
              <w:right w:val="nil"/>
            </w:tcBorders>
            <w:shd w:val="clear" w:color="auto" w:fill="auto"/>
            <w:noWrap/>
            <w:vAlign w:val="center"/>
            <w:hideMark/>
          </w:tcPr>
          <w:p w14:paraId="778DE96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-1.45%</w:t>
            </w:r>
          </w:p>
        </w:tc>
        <w:tc>
          <w:tcPr>
            <w:tcW w:w="768" w:type="pct"/>
            <w:tcBorders>
              <w:top w:val="single" w:sz="8" w:space="0" w:color="auto"/>
              <w:left w:val="nil"/>
              <w:right w:val="single" w:sz="4" w:space="0" w:color="auto"/>
            </w:tcBorders>
            <w:shd w:val="clear" w:color="auto" w:fill="auto"/>
            <w:noWrap/>
            <w:vAlign w:val="center"/>
            <w:hideMark/>
          </w:tcPr>
          <w:p w14:paraId="1A400BB5"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-1.19%</w:t>
            </w:r>
          </w:p>
        </w:tc>
        <w:tc>
          <w:tcPr>
            <w:tcW w:w="638" w:type="pct"/>
            <w:tcBorders>
              <w:top w:val="single" w:sz="8" w:space="0" w:color="auto"/>
              <w:left w:val="nil"/>
              <w:right w:val="nil"/>
            </w:tcBorders>
            <w:shd w:val="clear" w:color="auto" w:fill="auto"/>
            <w:noWrap/>
            <w:vAlign w:val="center"/>
            <w:hideMark/>
          </w:tcPr>
          <w:p w14:paraId="260DD8D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160.2%</w:t>
            </w:r>
          </w:p>
        </w:tc>
        <w:tc>
          <w:tcPr>
            <w:tcW w:w="638" w:type="pct"/>
            <w:tcBorders>
              <w:top w:val="single" w:sz="8" w:space="0" w:color="auto"/>
              <w:left w:val="nil"/>
              <w:right w:val="nil"/>
            </w:tcBorders>
            <w:shd w:val="clear" w:color="auto" w:fill="auto"/>
            <w:noWrap/>
            <w:vAlign w:val="center"/>
            <w:hideMark/>
          </w:tcPr>
          <w:p w14:paraId="7C43E7B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102.3%</w:t>
            </w:r>
          </w:p>
        </w:tc>
        <w:tc>
          <w:tcPr>
            <w:tcW w:w="706" w:type="pct"/>
            <w:tcBorders>
              <w:top w:val="nil"/>
              <w:left w:val="single" w:sz="4" w:space="0" w:color="auto"/>
              <w:right w:val="single" w:sz="8" w:space="0" w:color="auto"/>
            </w:tcBorders>
            <w:shd w:val="clear" w:color="auto" w:fill="auto"/>
            <w:noWrap/>
            <w:vAlign w:val="center"/>
            <w:hideMark/>
          </w:tcPr>
          <w:p w14:paraId="541D929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r w:rsidR="008663E6" w:rsidRPr="008663E6" w14:paraId="2B84DADF" w14:textId="77777777" w:rsidTr="008663E6">
        <w:trPr>
          <w:trHeight w:val="255"/>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14:paraId="755F9635"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F</w:t>
            </w:r>
          </w:p>
        </w:tc>
        <w:tc>
          <w:tcPr>
            <w:tcW w:w="768" w:type="pct"/>
            <w:tcBorders>
              <w:top w:val="nil"/>
              <w:left w:val="nil"/>
              <w:bottom w:val="single" w:sz="8" w:space="0" w:color="auto"/>
              <w:right w:val="nil"/>
            </w:tcBorders>
            <w:shd w:val="clear" w:color="auto" w:fill="auto"/>
            <w:noWrap/>
            <w:vAlign w:val="center"/>
            <w:hideMark/>
          </w:tcPr>
          <w:p w14:paraId="6F125348"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-1.55%</w:t>
            </w:r>
          </w:p>
        </w:tc>
        <w:tc>
          <w:tcPr>
            <w:tcW w:w="768" w:type="pct"/>
            <w:tcBorders>
              <w:top w:val="nil"/>
              <w:left w:val="nil"/>
              <w:bottom w:val="single" w:sz="8" w:space="0" w:color="auto"/>
              <w:right w:val="nil"/>
            </w:tcBorders>
            <w:shd w:val="clear" w:color="auto" w:fill="auto"/>
            <w:noWrap/>
            <w:vAlign w:val="center"/>
            <w:hideMark/>
          </w:tcPr>
          <w:p w14:paraId="2D11DDE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-1.65%</w:t>
            </w:r>
          </w:p>
        </w:tc>
        <w:tc>
          <w:tcPr>
            <w:tcW w:w="768" w:type="pct"/>
            <w:tcBorders>
              <w:top w:val="nil"/>
              <w:left w:val="nil"/>
              <w:bottom w:val="single" w:sz="8" w:space="0" w:color="auto"/>
              <w:right w:val="single" w:sz="4" w:space="0" w:color="auto"/>
            </w:tcBorders>
            <w:shd w:val="clear" w:color="auto" w:fill="auto"/>
            <w:noWrap/>
            <w:vAlign w:val="center"/>
            <w:hideMark/>
          </w:tcPr>
          <w:p w14:paraId="2179C9C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-1.61%</w:t>
            </w:r>
          </w:p>
        </w:tc>
        <w:tc>
          <w:tcPr>
            <w:tcW w:w="638" w:type="pct"/>
            <w:tcBorders>
              <w:top w:val="nil"/>
              <w:left w:val="nil"/>
              <w:bottom w:val="single" w:sz="8" w:space="0" w:color="auto"/>
              <w:right w:val="nil"/>
            </w:tcBorders>
            <w:shd w:val="clear" w:color="auto" w:fill="auto"/>
            <w:noWrap/>
            <w:vAlign w:val="center"/>
            <w:hideMark/>
          </w:tcPr>
          <w:p w14:paraId="583F4E68"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163.3%</w:t>
            </w:r>
          </w:p>
        </w:tc>
        <w:tc>
          <w:tcPr>
            <w:tcW w:w="638" w:type="pct"/>
            <w:tcBorders>
              <w:top w:val="nil"/>
              <w:left w:val="nil"/>
              <w:bottom w:val="single" w:sz="8" w:space="0" w:color="auto"/>
              <w:right w:val="nil"/>
            </w:tcBorders>
            <w:shd w:val="clear" w:color="auto" w:fill="auto"/>
            <w:noWrap/>
            <w:vAlign w:val="center"/>
            <w:hideMark/>
          </w:tcPr>
          <w:p w14:paraId="0FAFC79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102.0%</w:t>
            </w:r>
          </w:p>
        </w:tc>
        <w:tc>
          <w:tcPr>
            <w:tcW w:w="706" w:type="pct"/>
            <w:tcBorders>
              <w:top w:val="nil"/>
              <w:left w:val="single" w:sz="4" w:space="0" w:color="auto"/>
              <w:bottom w:val="single" w:sz="8" w:space="0" w:color="auto"/>
              <w:right w:val="single" w:sz="8" w:space="0" w:color="auto"/>
            </w:tcBorders>
            <w:shd w:val="clear" w:color="auto" w:fill="auto"/>
            <w:noWrap/>
            <w:vAlign w:val="center"/>
            <w:hideMark/>
          </w:tcPr>
          <w:p w14:paraId="6587F31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99.9%</w:t>
            </w:r>
          </w:p>
        </w:tc>
      </w:tr>
      <w:tr w:rsidR="008663E6" w:rsidRPr="008663E6" w14:paraId="5F9EFEAC" w14:textId="77777777" w:rsidTr="008663E6">
        <w:trPr>
          <w:trHeight w:val="255"/>
        </w:trPr>
        <w:tc>
          <w:tcPr>
            <w:tcW w:w="714" w:type="pct"/>
            <w:tcBorders>
              <w:top w:val="nil"/>
              <w:left w:val="nil"/>
              <w:bottom w:val="nil"/>
              <w:right w:val="nil"/>
            </w:tcBorders>
            <w:shd w:val="clear" w:color="auto" w:fill="auto"/>
            <w:noWrap/>
            <w:vAlign w:val="center"/>
            <w:hideMark/>
          </w:tcPr>
          <w:p w14:paraId="2B956098"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286" w:type="pct"/>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A77778"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663E6">
              <w:rPr>
                <w:rFonts w:ascii="Arial" w:eastAsia="맑은 고딕" w:hAnsi="Arial" w:cs="Arial"/>
                <w:b/>
                <w:bCs/>
                <w:color w:val="000000"/>
                <w:sz w:val="18"/>
                <w:szCs w:val="18"/>
                <w:lang w:eastAsia="ko-KR"/>
              </w:rPr>
              <w:t xml:space="preserve">Low delay B Main 10 </w:t>
            </w:r>
          </w:p>
        </w:tc>
      </w:tr>
      <w:tr w:rsidR="008663E6" w:rsidRPr="008663E6" w14:paraId="2AF605B7" w14:textId="77777777" w:rsidTr="008663E6">
        <w:trPr>
          <w:trHeight w:val="255"/>
        </w:trPr>
        <w:tc>
          <w:tcPr>
            <w:tcW w:w="714" w:type="pct"/>
            <w:tcBorders>
              <w:top w:val="nil"/>
              <w:left w:val="nil"/>
              <w:bottom w:val="nil"/>
              <w:right w:val="nil"/>
            </w:tcBorders>
            <w:shd w:val="clear" w:color="auto" w:fill="auto"/>
            <w:noWrap/>
            <w:vAlign w:val="center"/>
            <w:hideMark/>
          </w:tcPr>
          <w:p w14:paraId="719D02A5"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286" w:type="pct"/>
            <w:gridSpan w:val="6"/>
            <w:tcBorders>
              <w:top w:val="nil"/>
              <w:left w:val="single" w:sz="8" w:space="0" w:color="auto"/>
              <w:bottom w:val="nil"/>
              <w:right w:val="single" w:sz="8" w:space="0" w:color="000000"/>
            </w:tcBorders>
            <w:shd w:val="clear" w:color="auto" w:fill="auto"/>
            <w:noWrap/>
            <w:vAlign w:val="center"/>
            <w:hideMark/>
          </w:tcPr>
          <w:p w14:paraId="2F7B5EF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663E6">
              <w:rPr>
                <w:rFonts w:ascii="Arial" w:eastAsia="맑은 고딕" w:hAnsi="Arial" w:cs="Arial"/>
                <w:b/>
                <w:bCs/>
                <w:color w:val="000000"/>
                <w:sz w:val="18"/>
                <w:szCs w:val="18"/>
                <w:lang w:eastAsia="ko-KR"/>
              </w:rPr>
              <w:t>Over ECM-10.0</w:t>
            </w:r>
          </w:p>
        </w:tc>
      </w:tr>
      <w:tr w:rsidR="008663E6" w:rsidRPr="008663E6" w14:paraId="5CB7F833" w14:textId="77777777" w:rsidTr="008663E6">
        <w:trPr>
          <w:trHeight w:val="255"/>
        </w:trPr>
        <w:tc>
          <w:tcPr>
            <w:tcW w:w="714" w:type="pct"/>
            <w:tcBorders>
              <w:top w:val="nil"/>
              <w:left w:val="nil"/>
              <w:bottom w:val="nil"/>
              <w:right w:val="nil"/>
            </w:tcBorders>
            <w:shd w:val="clear" w:color="auto" w:fill="auto"/>
            <w:noWrap/>
            <w:vAlign w:val="center"/>
            <w:hideMark/>
          </w:tcPr>
          <w:p w14:paraId="3B45FFDE"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768" w:type="pct"/>
            <w:tcBorders>
              <w:top w:val="nil"/>
              <w:left w:val="single" w:sz="8" w:space="0" w:color="auto"/>
              <w:bottom w:val="single" w:sz="8" w:space="0" w:color="auto"/>
              <w:right w:val="nil"/>
            </w:tcBorders>
            <w:shd w:val="clear" w:color="auto" w:fill="auto"/>
            <w:noWrap/>
            <w:vAlign w:val="center"/>
            <w:hideMark/>
          </w:tcPr>
          <w:p w14:paraId="0775BEF2"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Y</w:t>
            </w:r>
          </w:p>
        </w:tc>
        <w:tc>
          <w:tcPr>
            <w:tcW w:w="768" w:type="pct"/>
            <w:tcBorders>
              <w:top w:val="nil"/>
              <w:left w:val="nil"/>
              <w:bottom w:val="single" w:sz="8" w:space="0" w:color="auto"/>
              <w:right w:val="nil"/>
            </w:tcBorders>
            <w:shd w:val="clear" w:color="auto" w:fill="auto"/>
            <w:noWrap/>
            <w:vAlign w:val="center"/>
            <w:hideMark/>
          </w:tcPr>
          <w:p w14:paraId="4B2AEE7B"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U</w:t>
            </w:r>
          </w:p>
        </w:tc>
        <w:tc>
          <w:tcPr>
            <w:tcW w:w="768" w:type="pct"/>
            <w:tcBorders>
              <w:top w:val="nil"/>
              <w:left w:val="nil"/>
              <w:bottom w:val="single" w:sz="8" w:space="0" w:color="auto"/>
              <w:right w:val="single" w:sz="4" w:space="0" w:color="auto"/>
            </w:tcBorders>
            <w:shd w:val="clear" w:color="auto" w:fill="auto"/>
            <w:noWrap/>
            <w:vAlign w:val="center"/>
            <w:hideMark/>
          </w:tcPr>
          <w:p w14:paraId="490BB0B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V</w:t>
            </w:r>
          </w:p>
        </w:tc>
        <w:tc>
          <w:tcPr>
            <w:tcW w:w="638" w:type="pct"/>
            <w:tcBorders>
              <w:top w:val="nil"/>
              <w:left w:val="nil"/>
              <w:bottom w:val="single" w:sz="8" w:space="0" w:color="auto"/>
              <w:right w:val="nil"/>
            </w:tcBorders>
            <w:shd w:val="clear" w:color="auto" w:fill="auto"/>
            <w:noWrap/>
            <w:vAlign w:val="center"/>
            <w:hideMark/>
          </w:tcPr>
          <w:p w14:paraId="60880425"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EncT</w:t>
            </w:r>
          </w:p>
        </w:tc>
        <w:tc>
          <w:tcPr>
            <w:tcW w:w="638" w:type="pct"/>
            <w:tcBorders>
              <w:top w:val="nil"/>
              <w:left w:val="nil"/>
              <w:bottom w:val="single" w:sz="8" w:space="0" w:color="auto"/>
              <w:right w:val="nil"/>
            </w:tcBorders>
            <w:shd w:val="clear" w:color="auto" w:fill="auto"/>
            <w:noWrap/>
            <w:vAlign w:val="center"/>
            <w:hideMark/>
          </w:tcPr>
          <w:p w14:paraId="5D13F634"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DecT</w:t>
            </w:r>
          </w:p>
        </w:tc>
        <w:tc>
          <w:tcPr>
            <w:tcW w:w="706" w:type="pct"/>
            <w:tcBorders>
              <w:top w:val="nil"/>
              <w:left w:val="single" w:sz="4" w:space="0" w:color="auto"/>
              <w:bottom w:val="single" w:sz="8" w:space="0" w:color="auto"/>
              <w:right w:val="single" w:sz="8" w:space="0" w:color="auto"/>
            </w:tcBorders>
            <w:shd w:val="clear" w:color="auto" w:fill="auto"/>
            <w:noWrap/>
            <w:vAlign w:val="center"/>
            <w:hideMark/>
          </w:tcPr>
          <w:p w14:paraId="61D8FEE8"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VmPeak</w:t>
            </w:r>
          </w:p>
        </w:tc>
      </w:tr>
      <w:tr w:rsidR="008663E6" w:rsidRPr="008663E6" w14:paraId="7735D59B" w14:textId="77777777" w:rsidTr="008663E6">
        <w:trPr>
          <w:trHeight w:val="255"/>
        </w:trPr>
        <w:tc>
          <w:tcPr>
            <w:tcW w:w="714" w:type="pct"/>
            <w:tcBorders>
              <w:top w:val="single" w:sz="8" w:space="0" w:color="auto"/>
              <w:left w:val="single" w:sz="8" w:space="0" w:color="auto"/>
              <w:bottom w:val="nil"/>
              <w:right w:val="single" w:sz="8" w:space="0" w:color="auto"/>
            </w:tcBorders>
            <w:shd w:val="clear" w:color="auto" w:fill="auto"/>
            <w:noWrap/>
            <w:vAlign w:val="center"/>
            <w:hideMark/>
          </w:tcPr>
          <w:p w14:paraId="18B9A84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A1</w:t>
            </w:r>
          </w:p>
        </w:tc>
        <w:tc>
          <w:tcPr>
            <w:tcW w:w="768" w:type="pct"/>
            <w:tcBorders>
              <w:top w:val="nil"/>
              <w:left w:val="nil"/>
              <w:bottom w:val="nil"/>
              <w:right w:val="nil"/>
            </w:tcBorders>
            <w:shd w:val="clear" w:color="auto" w:fill="auto"/>
            <w:noWrap/>
            <w:vAlign w:val="center"/>
          </w:tcPr>
          <w:p w14:paraId="257966EA" w14:textId="556984BD"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8" w:type="pct"/>
            <w:tcBorders>
              <w:top w:val="nil"/>
              <w:left w:val="nil"/>
              <w:bottom w:val="nil"/>
              <w:right w:val="nil"/>
            </w:tcBorders>
            <w:shd w:val="clear" w:color="auto" w:fill="auto"/>
            <w:noWrap/>
            <w:vAlign w:val="center"/>
          </w:tcPr>
          <w:p w14:paraId="3D6DDE8C" w14:textId="1A94B17B"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8" w:type="pct"/>
            <w:tcBorders>
              <w:top w:val="nil"/>
              <w:left w:val="nil"/>
              <w:bottom w:val="nil"/>
              <w:right w:val="single" w:sz="4" w:space="0" w:color="auto"/>
            </w:tcBorders>
            <w:shd w:val="clear" w:color="auto" w:fill="auto"/>
            <w:noWrap/>
            <w:vAlign w:val="center"/>
          </w:tcPr>
          <w:p w14:paraId="3AFF7BE6" w14:textId="0E2ACA04"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638" w:type="pct"/>
            <w:tcBorders>
              <w:top w:val="nil"/>
              <w:left w:val="nil"/>
              <w:bottom w:val="nil"/>
              <w:right w:val="nil"/>
            </w:tcBorders>
            <w:shd w:val="clear" w:color="auto" w:fill="auto"/>
            <w:noWrap/>
            <w:vAlign w:val="center"/>
          </w:tcPr>
          <w:p w14:paraId="7640F4A1" w14:textId="03166B9B"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638" w:type="pct"/>
            <w:tcBorders>
              <w:top w:val="nil"/>
              <w:left w:val="nil"/>
              <w:bottom w:val="nil"/>
              <w:right w:val="nil"/>
            </w:tcBorders>
            <w:shd w:val="clear" w:color="auto" w:fill="auto"/>
            <w:noWrap/>
            <w:vAlign w:val="center"/>
          </w:tcPr>
          <w:p w14:paraId="34F5A8AB" w14:textId="0D2C99D6"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06" w:type="pct"/>
            <w:tcBorders>
              <w:top w:val="nil"/>
              <w:left w:val="single" w:sz="4" w:space="0" w:color="auto"/>
              <w:bottom w:val="nil"/>
              <w:right w:val="single" w:sz="8" w:space="0" w:color="auto"/>
            </w:tcBorders>
            <w:shd w:val="clear" w:color="auto" w:fill="auto"/>
            <w:noWrap/>
            <w:vAlign w:val="center"/>
          </w:tcPr>
          <w:p w14:paraId="4F547C6A" w14:textId="6D13017A"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8663E6" w:rsidRPr="008663E6" w14:paraId="09297EC5" w14:textId="77777777" w:rsidTr="008663E6">
        <w:trPr>
          <w:trHeight w:val="255"/>
        </w:trPr>
        <w:tc>
          <w:tcPr>
            <w:tcW w:w="714" w:type="pct"/>
            <w:tcBorders>
              <w:top w:val="nil"/>
              <w:left w:val="single" w:sz="8" w:space="0" w:color="auto"/>
              <w:bottom w:val="nil"/>
              <w:right w:val="single" w:sz="8" w:space="0" w:color="auto"/>
            </w:tcBorders>
            <w:shd w:val="clear" w:color="auto" w:fill="auto"/>
            <w:noWrap/>
            <w:vAlign w:val="center"/>
            <w:hideMark/>
          </w:tcPr>
          <w:p w14:paraId="6750991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A2</w:t>
            </w:r>
          </w:p>
        </w:tc>
        <w:tc>
          <w:tcPr>
            <w:tcW w:w="768" w:type="pct"/>
            <w:tcBorders>
              <w:top w:val="nil"/>
              <w:left w:val="nil"/>
              <w:bottom w:val="nil"/>
              <w:right w:val="nil"/>
            </w:tcBorders>
            <w:shd w:val="clear" w:color="auto" w:fill="auto"/>
            <w:noWrap/>
            <w:vAlign w:val="center"/>
          </w:tcPr>
          <w:p w14:paraId="1A0EC67A" w14:textId="0DB3D872"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8" w:type="pct"/>
            <w:tcBorders>
              <w:top w:val="nil"/>
              <w:left w:val="nil"/>
              <w:bottom w:val="nil"/>
              <w:right w:val="nil"/>
            </w:tcBorders>
            <w:shd w:val="clear" w:color="auto" w:fill="auto"/>
            <w:noWrap/>
            <w:vAlign w:val="center"/>
          </w:tcPr>
          <w:p w14:paraId="43E10119"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8" w:type="pct"/>
            <w:tcBorders>
              <w:top w:val="nil"/>
              <w:left w:val="nil"/>
              <w:bottom w:val="nil"/>
              <w:right w:val="single" w:sz="4" w:space="0" w:color="auto"/>
            </w:tcBorders>
            <w:shd w:val="clear" w:color="auto" w:fill="auto"/>
            <w:noWrap/>
            <w:vAlign w:val="center"/>
          </w:tcPr>
          <w:p w14:paraId="29F40090" w14:textId="20B9A9CD"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638" w:type="pct"/>
            <w:tcBorders>
              <w:top w:val="nil"/>
              <w:left w:val="nil"/>
              <w:bottom w:val="nil"/>
              <w:right w:val="nil"/>
            </w:tcBorders>
            <w:shd w:val="clear" w:color="auto" w:fill="auto"/>
            <w:noWrap/>
            <w:vAlign w:val="center"/>
          </w:tcPr>
          <w:p w14:paraId="10C65E0C" w14:textId="087C3994"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638" w:type="pct"/>
            <w:tcBorders>
              <w:top w:val="nil"/>
              <w:left w:val="nil"/>
              <w:bottom w:val="nil"/>
              <w:right w:val="nil"/>
            </w:tcBorders>
            <w:shd w:val="clear" w:color="auto" w:fill="auto"/>
            <w:noWrap/>
            <w:vAlign w:val="center"/>
          </w:tcPr>
          <w:p w14:paraId="25129BA6"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06" w:type="pct"/>
            <w:tcBorders>
              <w:top w:val="nil"/>
              <w:left w:val="single" w:sz="4" w:space="0" w:color="auto"/>
              <w:bottom w:val="nil"/>
              <w:right w:val="single" w:sz="8" w:space="0" w:color="auto"/>
            </w:tcBorders>
            <w:shd w:val="clear" w:color="auto" w:fill="auto"/>
            <w:noWrap/>
            <w:vAlign w:val="center"/>
          </w:tcPr>
          <w:p w14:paraId="55E9E600" w14:textId="4C162452"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AD7620" w:rsidRPr="008663E6" w14:paraId="65C878FA" w14:textId="77777777" w:rsidTr="008663E6">
        <w:trPr>
          <w:trHeight w:val="255"/>
        </w:trPr>
        <w:tc>
          <w:tcPr>
            <w:tcW w:w="714" w:type="pct"/>
            <w:tcBorders>
              <w:top w:val="nil"/>
              <w:left w:val="single" w:sz="8" w:space="0" w:color="auto"/>
              <w:bottom w:val="nil"/>
              <w:right w:val="single" w:sz="8" w:space="0" w:color="auto"/>
            </w:tcBorders>
            <w:shd w:val="clear" w:color="auto" w:fill="auto"/>
            <w:noWrap/>
            <w:vAlign w:val="center"/>
            <w:hideMark/>
          </w:tcPr>
          <w:p w14:paraId="17F10D35" w14:textId="77777777" w:rsidR="00AD7620" w:rsidRPr="008663E6" w:rsidRDefault="00AD7620" w:rsidP="00AD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B</w:t>
            </w:r>
          </w:p>
        </w:tc>
        <w:tc>
          <w:tcPr>
            <w:tcW w:w="768" w:type="pct"/>
            <w:tcBorders>
              <w:top w:val="nil"/>
              <w:left w:val="nil"/>
              <w:bottom w:val="nil"/>
              <w:right w:val="nil"/>
            </w:tcBorders>
            <w:shd w:val="clear" w:color="auto" w:fill="auto"/>
            <w:noWrap/>
            <w:vAlign w:val="center"/>
            <w:hideMark/>
          </w:tcPr>
          <w:p w14:paraId="1594623A" w14:textId="75079DC4" w:rsidR="00AD7620" w:rsidRPr="008663E6" w:rsidRDefault="00AD7620" w:rsidP="00AD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-0.69%</w:t>
            </w:r>
          </w:p>
        </w:tc>
        <w:tc>
          <w:tcPr>
            <w:tcW w:w="768" w:type="pct"/>
            <w:tcBorders>
              <w:top w:val="nil"/>
              <w:left w:val="nil"/>
              <w:bottom w:val="nil"/>
              <w:right w:val="nil"/>
            </w:tcBorders>
            <w:shd w:val="clear" w:color="auto" w:fill="auto"/>
            <w:noWrap/>
            <w:vAlign w:val="center"/>
            <w:hideMark/>
          </w:tcPr>
          <w:p w14:paraId="788918D8" w14:textId="67B218A2" w:rsidR="00AD7620" w:rsidRPr="008663E6" w:rsidRDefault="00AD7620" w:rsidP="00AD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-1.06%</w:t>
            </w:r>
          </w:p>
        </w:tc>
        <w:tc>
          <w:tcPr>
            <w:tcW w:w="768" w:type="pct"/>
            <w:tcBorders>
              <w:top w:val="nil"/>
              <w:left w:val="nil"/>
              <w:bottom w:val="nil"/>
              <w:right w:val="single" w:sz="4" w:space="0" w:color="auto"/>
            </w:tcBorders>
            <w:shd w:val="clear" w:color="auto" w:fill="auto"/>
            <w:noWrap/>
            <w:vAlign w:val="center"/>
            <w:hideMark/>
          </w:tcPr>
          <w:p w14:paraId="3E8B0523" w14:textId="4C7A473C" w:rsidR="00AD7620" w:rsidRPr="008663E6" w:rsidRDefault="00AD7620" w:rsidP="00AD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-1.23%</w:t>
            </w:r>
          </w:p>
        </w:tc>
        <w:tc>
          <w:tcPr>
            <w:tcW w:w="638" w:type="pct"/>
            <w:tcBorders>
              <w:top w:val="nil"/>
              <w:left w:val="nil"/>
              <w:bottom w:val="nil"/>
              <w:right w:val="nil"/>
            </w:tcBorders>
            <w:shd w:val="clear" w:color="auto" w:fill="auto"/>
            <w:noWrap/>
            <w:vAlign w:val="center"/>
            <w:hideMark/>
          </w:tcPr>
          <w:p w14:paraId="7650F47E" w14:textId="7C486EED" w:rsidR="00AD7620" w:rsidRPr="008663E6" w:rsidRDefault="00AD7620" w:rsidP="00AD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165.3%</w:t>
            </w:r>
          </w:p>
        </w:tc>
        <w:tc>
          <w:tcPr>
            <w:tcW w:w="638" w:type="pct"/>
            <w:tcBorders>
              <w:top w:val="nil"/>
              <w:left w:val="nil"/>
              <w:bottom w:val="nil"/>
              <w:right w:val="nil"/>
            </w:tcBorders>
            <w:shd w:val="clear" w:color="auto" w:fill="auto"/>
            <w:noWrap/>
            <w:vAlign w:val="center"/>
            <w:hideMark/>
          </w:tcPr>
          <w:p w14:paraId="1AC06B61" w14:textId="4DC3E08C" w:rsidR="00AD7620" w:rsidRPr="008663E6" w:rsidRDefault="00AD7620" w:rsidP="00AD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100.9%</w:t>
            </w:r>
          </w:p>
        </w:tc>
        <w:tc>
          <w:tcPr>
            <w:tcW w:w="706" w:type="pct"/>
            <w:tcBorders>
              <w:top w:val="nil"/>
              <w:left w:val="single" w:sz="4" w:space="0" w:color="auto"/>
              <w:bottom w:val="nil"/>
              <w:right w:val="single" w:sz="8" w:space="0" w:color="auto"/>
            </w:tcBorders>
            <w:shd w:val="clear" w:color="auto" w:fill="auto"/>
            <w:noWrap/>
            <w:vAlign w:val="center"/>
            <w:hideMark/>
          </w:tcPr>
          <w:p w14:paraId="62E42767" w14:textId="46AA447D" w:rsidR="00AD7620" w:rsidRPr="008663E6" w:rsidRDefault="00AD7620" w:rsidP="00AD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100.4%</w:t>
            </w:r>
          </w:p>
        </w:tc>
      </w:tr>
      <w:tr w:rsidR="008663E6" w:rsidRPr="008663E6" w14:paraId="7B021F31" w14:textId="77777777" w:rsidTr="008663E6">
        <w:trPr>
          <w:trHeight w:val="255"/>
        </w:trPr>
        <w:tc>
          <w:tcPr>
            <w:tcW w:w="714" w:type="pct"/>
            <w:tcBorders>
              <w:top w:val="nil"/>
              <w:left w:val="single" w:sz="8" w:space="0" w:color="auto"/>
              <w:bottom w:val="nil"/>
              <w:right w:val="single" w:sz="8" w:space="0" w:color="auto"/>
            </w:tcBorders>
            <w:shd w:val="clear" w:color="auto" w:fill="auto"/>
            <w:noWrap/>
            <w:vAlign w:val="center"/>
            <w:hideMark/>
          </w:tcPr>
          <w:p w14:paraId="56D5F18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C</w:t>
            </w:r>
          </w:p>
        </w:tc>
        <w:tc>
          <w:tcPr>
            <w:tcW w:w="768" w:type="pct"/>
            <w:tcBorders>
              <w:top w:val="nil"/>
              <w:left w:val="nil"/>
              <w:bottom w:val="nil"/>
              <w:right w:val="nil"/>
            </w:tcBorders>
            <w:shd w:val="clear" w:color="auto" w:fill="auto"/>
            <w:noWrap/>
            <w:vAlign w:val="center"/>
            <w:hideMark/>
          </w:tcPr>
          <w:p w14:paraId="689E9DCE"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-0.83%</w:t>
            </w:r>
          </w:p>
        </w:tc>
        <w:tc>
          <w:tcPr>
            <w:tcW w:w="768" w:type="pct"/>
            <w:tcBorders>
              <w:top w:val="nil"/>
              <w:left w:val="nil"/>
              <w:bottom w:val="nil"/>
              <w:right w:val="nil"/>
            </w:tcBorders>
            <w:shd w:val="clear" w:color="auto" w:fill="auto"/>
            <w:noWrap/>
            <w:vAlign w:val="center"/>
            <w:hideMark/>
          </w:tcPr>
          <w:p w14:paraId="2818CDA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-1.41%</w:t>
            </w:r>
          </w:p>
        </w:tc>
        <w:tc>
          <w:tcPr>
            <w:tcW w:w="768" w:type="pct"/>
            <w:tcBorders>
              <w:top w:val="nil"/>
              <w:left w:val="nil"/>
              <w:bottom w:val="nil"/>
              <w:right w:val="single" w:sz="4" w:space="0" w:color="auto"/>
            </w:tcBorders>
            <w:shd w:val="clear" w:color="auto" w:fill="auto"/>
            <w:noWrap/>
            <w:vAlign w:val="center"/>
            <w:hideMark/>
          </w:tcPr>
          <w:p w14:paraId="5A96C6D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-1.47%</w:t>
            </w:r>
          </w:p>
        </w:tc>
        <w:tc>
          <w:tcPr>
            <w:tcW w:w="638" w:type="pct"/>
            <w:tcBorders>
              <w:top w:val="nil"/>
              <w:left w:val="nil"/>
              <w:bottom w:val="nil"/>
              <w:right w:val="nil"/>
            </w:tcBorders>
            <w:shd w:val="clear" w:color="auto" w:fill="auto"/>
            <w:noWrap/>
            <w:vAlign w:val="center"/>
            <w:hideMark/>
          </w:tcPr>
          <w:p w14:paraId="65568536"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167.4%</w:t>
            </w:r>
          </w:p>
        </w:tc>
        <w:tc>
          <w:tcPr>
            <w:tcW w:w="638" w:type="pct"/>
            <w:tcBorders>
              <w:top w:val="nil"/>
              <w:left w:val="nil"/>
              <w:bottom w:val="nil"/>
              <w:right w:val="nil"/>
            </w:tcBorders>
            <w:shd w:val="clear" w:color="auto" w:fill="auto"/>
            <w:noWrap/>
            <w:vAlign w:val="center"/>
            <w:hideMark/>
          </w:tcPr>
          <w:p w14:paraId="43414C6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102.5%</w:t>
            </w:r>
          </w:p>
        </w:tc>
        <w:tc>
          <w:tcPr>
            <w:tcW w:w="706" w:type="pct"/>
            <w:tcBorders>
              <w:top w:val="nil"/>
              <w:left w:val="single" w:sz="4" w:space="0" w:color="auto"/>
              <w:bottom w:val="nil"/>
              <w:right w:val="single" w:sz="8" w:space="0" w:color="auto"/>
            </w:tcBorders>
            <w:shd w:val="clear" w:color="auto" w:fill="auto"/>
            <w:noWrap/>
            <w:vAlign w:val="center"/>
            <w:hideMark/>
          </w:tcPr>
          <w:p w14:paraId="3B1DA2F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r w:rsidR="008663E6" w:rsidRPr="008663E6" w14:paraId="55B979AA" w14:textId="77777777" w:rsidTr="008663E6">
        <w:trPr>
          <w:trHeight w:val="255"/>
        </w:trPr>
        <w:tc>
          <w:tcPr>
            <w:tcW w:w="714" w:type="pct"/>
            <w:tcBorders>
              <w:top w:val="nil"/>
              <w:left w:val="single" w:sz="8" w:space="0" w:color="auto"/>
              <w:bottom w:val="nil"/>
              <w:right w:val="single" w:sz="8" w:space="0" w:color="auto"/>
            </w:tcBorders>
            <w:shd w:val="clear" w:color="auto" w:fill="auto"/>
            <w:noWrap/>
            <w:vAlign w:val="center"/>
            <w:hideMark/>
          </w:tcPr>
          <w:p w14:paraId="1B739ADB"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E</w:t>
            </w:r>
          </w:p>
        </w:tc>
        <w:tc>
          <w:tcPr>
            <w:tcW w:w="768" w:type="pct"/>
            <w:tcBorders>
              <w:top w:val="nil"/>
              <w:left w:val="nil"/>
              <w:bottom w:val="nil"/>
              <w:right w:val="nil"/>
            </w:tcBorders>
            <w:shd w:val="clear" w:color="auto" w:fill="auto"/>
            <w:noWrap/>
            <w:vAlign w:val="center"/>
            <w:hideMark/>
          </w:tcPr>
          <w:p w14:paraId="3D08875F"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-0.81%</w:t>
            </w:r>
          </w:p>
        </w:tc>
        <w:tc>
          <w:tcPr>
            <w:tcW w:w="768" w:type="pct"/>
            <w:tcBorders>
              <w:top w:val="nil"/>
              <w:left w:val="nil"/>
              <w:bottom w:val="nil"/>
              <w:right w:val="nil"/>
            </w:tcBorders>
            <w:shd w:val="clear" w:color="auto" w:fill="auto"/>
            <w:noWrap/>
            <w:vAlign w:val="center"/>
            <w:hideMark/>
          </w:tcPr>
          <w:p w14:paraId="0B3E09C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-0.56%</w:t>
            </w:r>
          </w:p>
        </w:tc>
        <w:tc>
          <w:tcPr>
            <w:tcW w:w="768" w:type="pct"/>
            <w:tcBorders>
              <w:top w:val="nil"/>
              <w:left w:val="nil"/>
              <w:bottom w:val="nil"/>
              <w:right w:val="single" w:sz="4" w:space="0" w:color="auto"/>
            </w:tcBorders>
            <w:shd w:val="clear" w:color="auto" w:fill="auto"/>
            <w:noWrap/>
            <w:vAlign w:val="center"/>
            <w:hideMark/>
          </w:tcPr>
          <w:p w14:paraId="6608D41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-1.49%</w:t>
            </w:r>
          </w:p>
        </w:tc>
        <w:tc>
          <w:tcPr>
            <w:tcW w:w="638" w:type="pct"/>
            <w:tcBorders>
              <w:top w:val="nil"/>
              <w:left w:val="nil"/>
              <w:bottom w:val="nil"/>
              <w:right w:val="nil"/>
            </w:tcBorders>
            <w:shd w:val="clear" w:color="auto" w:fill="auto"/>
            <w:noWrap/>
            <w:vAlign w:val="center"/>
            <w:hideMark/>
          </w:tcPr>
          <w:p w14:paraId="7BBDE2F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145.7%</w:t>
            </w:r>
          </w:p>
        </w:tc>
        <w:tc>
          <w:tcPr>
            <w:tcW w:w="638" w:type="pct"/>
            <w:tcBorders>
              <w:top w:val="nil"/>
              <w:left w:val="nil"/>
              <w:bottom w:val="nil"/>
              <w:right w:val="nil"/>
            </w:tcBorders>
            <w:shd w:val="clear" w:color="auto" w:fill="auto"/>
            <w:noWrap/>
            <w:vAlign w:val="center"/>
            <w:hideMark/>
          </w:tcPr>
          <w:p w14:paraId="3EB9827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102.0%</w:t>
            </w:r>
          </w:p>
        </w:tc>
        <w:tc>
          <w:tcPr>
            <w:tcW w:w="706" w:type="pct"/>
            <w:tcBorders>
              <w:top w:val="nil"/>
              <w:left w:val="single" w:sz="4" w:space="0" w:color="auto"/>
              <w:bottom w:val="nil"/>
              <w:right w:val="single" w:sz="8" w:space="0" w:color="auto"/>
            </w:tcBorders>
            <w:shd w:val="clear" w:color="auto" w:fill="auto"/>
            <w:noWrap/>
            <w:vAlign w:val="center"/>
            <w:hideMark/>
          </w:tcPr>
          <w:p w14:paraId="6DCFBE03"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r w:rsidR="00AD7620" w:rsidRPr="008663E6" w14:paraId="0FEAD1A9" w14:textId="77777777" w:rsidTr="008663E6">
        <w:trPr>
          <w:trHeight w:val="255"/>
        </w:trPr>
        <w:tc>
          <w:tcPr>
            <w:tcW w:w="714" w:type="pct"/>
            <w:tcBorders>
              <w:top w:val="single" w:sz="8" w:space="0" w:color="auto"/>
              <w:left w:val="single" w:sz="8" w:space="0" w:color="auto"/>
              <w:bottom w:val="nil"/>
              <w:right w:val="single" w:sz="8" w:space="0" w:color="auto"/>
            </w:tcBorders>
            <w:shd w:val="clear" w:color="auto" w:fill="auto"/>
            <w:noWrap/>
            <w:vAlign w:val="center"/>
            <w:hideMark/>
          </w:tcPr>
          <w:p w14:paraId="477D6345" w14:textId="77777777" w:rsidR="00AD7620" w:rsidRPr="008663E6" w:rsidRDefault="00AD7620" w:rsidP="00AD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663E6">
              <w:rPr>
                <w:rFonts w:ascii="Arial" w:eastAsia="맑은 고딕" w:hAnsi="Arial" w:cs="Arial"/>
                <w:b/>
                <w:bCs/>
                <w:color w:val="000000"/>
                <w:sz w:val="18"/>
                <w:szCs w:val="18"/>
                <w:lang w:eastAsia="ko-KR"/>
              </w:rPr>
              <w:t>Overall</w:t>
            </w:r>
          </w:p>
        </w:tc>
        <w:tc>
          <w:tcPr>
            <w:tcW w:w="768" w:type="pct"/>
            <w:tcBorders>
              <w:top w:val="single" w:sz="8" w:space="0" w:color="auto"/>
              <w:left w:val="nil"/>
              <w:bottom w:val="nil"/>
              <w:right w:val="nil"/>
            </w:tcBorders>
            <w:shd w:val="clear" w:color="auto" w:fill="auto"/>
            <w:noWrap/>
            <w:vAlign w:val="center"/>
            <w:hideMark/>
          </w:tcPr>
          <w:p w14:paraId="30563937" w14:textId="3B923E30" w:rsidR="00AD7620" w:rsidRPr="008663E6" w:rsidRDefault="00AD7620" w:rsidP="00AD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-0.77%</w:t>
            </w:r>
          </w:p>
        </w:tc>
        <w:tc>
          <w:tcPr>
            <w:tcW w:w="768" w:type="pct"/>
            <w:tcBorders>
              <w:top w:val="single" w:sz="8" w:space="0" w:color="auto"/>
              <w:left w:val="nil"/>
              <w:bottom w:val="nil"/>
              <w:right w:val="nil"/>
            </w:tcBorders>
            <w:shd w:val="clear" w:color="auto" w:fill="auto"/>
            <w:noWrap/>
            <w:vAlign w:val="center"/>
            <w:hideMark/>
          </w:tcPr>
          <w:p w14:paraId="76DDC313" w14:textId="6863DBF1" w:rsidR="00AD7620" w:rsidRPr="008663E6" w:rsidRDefault="00AD7620" w:rsidP="00AD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c>
          <w:tcPr>
            <w:tcW w:w="768" w:type="pct"/>
            <w:tcBorders>
              <w:top w:val="single" w:sz="8" w:space="0" w:color="auto"/>
              <w:left w:val="nil"/>
              <w:bottom w:val="nil"/>
              <w:right w:val="single" w:sz="4" w:space="0" w:color="auto"/>
            </w:tcBorders>
            <w:shd w:val="clear" w:color="auto" w:fill="auto"/>
            <w:noWrap/>
            <w:vAlign w:val="center"/>
            <w:hideMark/>
          </w:tcPr>
          <w:p w14:paraId="3491B6C6" w14:textId="5585B1E9" w:rsidR="00AD7620" w:rsidRPr="008663E6" w:rsidRDefault="00AD7620" w:rsidP="00AD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-1.37%</w:t>
            </w:r>
          </w:p>
        </w:tc>
        <w:tc>
          <w:tcPr>
            <w:tcW w:w="638" w:type="pct"/>
            <w:tcBorders>
              <w:top w:val="single" w:sz="8" w:space="0" w:color="auto"/>
              <w:left w:val="nil"/>
              <w:bottom w:val="nil"/>
              <w:right w:val="nil"/>
            </w:tcBorders>
            <w:shd w:val="clear" w:color="auto" w:fill="auto"/>
            <w:noWrap/>
            <w:vAlign w:val="center"/>
            <w:hideMark/>
          </w:tcPr>
          <w:p w14:paraId="551DA1F8" w14:textId="7EB76B5E" w:rsidR="00AD7620" w:rsidRPr="008663E6" w:rsidRDefault="00AD7620" w:rsidP="00AD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160.8%</w:t>
            </w:r>
          </w:p>
        </w:tc>
        <w:tc>
          <w:tcPr>
            <w:tcW w:w="638" w:type="pct"/>
            <w:tcBorders>
              <w:top w:val="single" w:sz="8" w:space="0" w:color="auto"/>
              <w:left w:val="nil"/>
              <w:bottom w:val="nil"/>
              <w:right w:val="nil"/>
            </w:tcBorders>
            <w:shd w:val="clear" w:color="auto" w:fill="auto"/>
            <w:noWrap/>
            <w:vAlign w:val="center"/>
            <w:hideMark/>
          </w:tcPr>
          <w:p w14:paraId="6CDB9157" w14:textId="332F325C" w:rsidR="00AD7620" w:rsidRPr="008663E6" w:rsidRDefault="00AD7620" w:rsidP="00AD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101.7%</w:t>
            </w:r>
          </w:p>
        </w:tc>
        <w:tc>
          <w:tcPr>
            <w:tcW w:w="706"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E63A62D" w14:textId="3EEE2981" w:rsidR="00AD7620" w:rsidRPr="008663E6" w:rsidRDefault="00AD7620" w:rsidP="00AD7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100.2%</w:t>
            </w:r>
          </w:p>
        </w:tc>
      </w:tr>
      <w:tr w:rsidR="008663E6" w:rsidRPr="008663E6" w14:paraId="66401401" w14:textId="77777777" w:rsidTr="008663E6">
        <w:trPr>
          <w:trHeight w:val="255"/>
        </w:trPr>
        <w:tc>
          <w:tcPr>
            <w:tcW w:w="714" w:type="pct"/>
            <w:tcBorders>
              <w:top w:val="single" w:sz="8" w:space="0" w:color="auto"/>
              <w:left w:val="single" w:sz="8" w:space="0" w:color="auto"/>
              <w:right w:val="single" w:sz="8" w:space="0" w:color="auto"/>
            </w:tcBorders>
            <w:shd w:val="clear" w:color="auto" w:fill="auto"/>
            <w:noWrap/>
            <w:vAlign w:val="center"/>
            <w:hideMark/>
          </w:tcPr>
          <w:p w14:paraId="3E79F48C"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D</w:t>
            </w:r>
          </w:p>
        </w:tc>
        <w:tc>
          <w:tcPr>
            <w:tcW w:w="768" w:type="pct"/>
            <w:tcBorders>
              <w:top w:val="single" w:sz="8" w:space="0" w:color="auto"/>
              <w:left w:val="nil"/>
              <w:right w:val="nil"/>
            </w:tcBorders>
            <w:shd w:val="clear" w:color="auto" w:fill="auto"/>
            <w:noWrap/>
            <w:vAlign w:val="center"/>
            <w:hideMark/>
          </w:tcPr>
          <w:p w14:paraId="67A76284"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-0.69%</w:t>
            </w:r>
          </w:p>
        </w:tc>
        <w:tc>
          <w:tcPr>
            <w:tcW w:w="768" w:type="pct"/>
            <w:tcBorders>
              <w:top w:val="single" w:sz="8" w:space="0" w:color="auto"/>
              <w:left w:val="nil"/>
              <w:right w:val="nil"/>
            </w:tcBorders>
            <w:shd w:val="clear" w:color="auto" w:fill="auto"/>
            <w:noWrap/>
            <w:vAlign w:val="center"/>
            <w:hideMark/>
          </w:tcPr>
          <w:p w14:paraId="1B7B62FB"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-1.83%</w:t>
            </w:r>
          </w:p>
        </w:tc>
        <w:tc>
          <w:tcPr>
            <w:tcW w:w="768" w:type="pct"/>
            <w:tcBorders>
              <w:top w:val="single" w:sz="8" w:space="0" w:color="auto"/>
              <w:left w:val="nil"/>
              <w:right w:val="single" w:sz="4" w:space="0" w:color="auto"/>
            </w:tcBorders>
            <w:shd w:val="clear" w:color="auto" w:fill="auto"/>
            <w:noWrap/>
            <w:vAlign w:val="center"/>
            <w:hideMark/>
          </w:tcPr>
          <w:p w14:paraId="679108C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-1.38%</w:t>
            </w:r>
          </w:p>
        </w:tc>
        <w:tc>
          <w:tcPr>
            <w:tcW w:w="638" w:type="pct"/>
            <w:tcBorders>
              <w:top w:val="single" w:sz="8" w:space="0" w:color="auto"/>
              <w:left w:val="nil"/>
              <w:right w:val="nil"/>
            </w:tcBorders>
            <w:shd w:val="clear" w:color="auto" w:fill="auto"/>
            <w:noWrap/>
            <w:vAlign w:val="center"/>
            <w:hideMark/>
          </w:tcPr>
          <w:p w14:paraId="420AB314"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152.9%</w:t>
            </w:r>
          </w:p>
        </w:tc>
        <w:tc>
          <w:tcPr>
            <w:tcW w:w="638" w:type="pct"/>
            <w:tcBorders>
              <w:top w:val="single" w:sz="8" w:space="0" w:color="auto"/>
              <w:left w:val="nil"/>
              <w:right w:val="nil"/>
            </w:tcBorders>
            <w:shd w:val="clear" w:color="auto" w:fill="auto"/>
            <w:noWrap/>
            <w:vAlign w:val="center"/>
            <w:hideMark/>
          </w:tcPr>
          <w:p w14:paraId="2F84D89D"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102.1%</w:t>
            </w:r>
          </w:p>
        </w:tc>
        <w:tc>
          <w:tcPr>
            <w:tcW w:w="706" w:type="pct"/>
            <w:tcBorders>
              <w:top w:val="nil"/>
              <w:left w:val="single" w:sz="4" w:space="0" w:color="auto"/>
              <w:right w:val="single" w:sz="8" w:space="0" w:color="auto"/>
            </w:tcBorders>
            <w:shd w:val="clear" w:color="auto" w:fill="auto"/>
            <w:noWrap/>
            <w:vAlign w:val="center"/>
            <w:hideMark/>
          </w:tcPr>
          <w:p w14:paraId="1676CA6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r w:rsidR="008663E6" w:rsidRPr="008663E6" w14:paraId="07D6124D" w14:textId="77777777" w:rsidTr="008663E6">
        <w:trPr>
          <w:trHeight w:val="255"/>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14:paraId="434C5FDA"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Class F</w:t>
            </w:r>
          </w:p>
        </w:tc>
        <w:tc>
          <w:tcPr>
            <w:tcW w:w="768" w:type="pct"/>
            <w:tcBorders>
              <w:top w:val="nil"/>
              <w:left w:val="nil"/>
              <w:bottom w:val="single" w:sz="8" w:space="0" w:color="auto"/>
              <w:right w:val="nil"/>
            </w:tcBorders>
            <w:shd w:val="clear" w:color="auto" w:fill="auto"/>
            <w:noWrap/>
            <w:vAlign w:val="center"/>
            <w:hideMark/>
          </w:tcPr>
          <w:p w14:paraId="640600D7"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-1.93%</w:t>
            </w:r>
          </w:p>
        </w:tc>
        <w:tc>
          <w:tcPr>
            <w:tcW w:w="768" w:type="pct"/>
            <w:tcBorders>
              <w:top w:val="nil"/>
              <w:left w:val="nil"/>
              <w:bottom w:val="single" w:sz="8" w:space="0" w:color="auto"/>
              <w:right w:val="nil"/>
            </w:tcBorders>
            <w:shd w:val="clear" w:color="auto" w:fill="auto"/>
            <w:noWrap/>
            <w:vAlign w:val="center"/>
            <w:hideMark/>
          </w:tcPr>
          <w:p w14:paraId="555B1F5B"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-2.82%</w:t>
            </w:r>
          </w:p>
        </w:tc>
        <w:tc>
          <w:tcPr>
            <w:tcW w:w="768" w:type="pct"/>
            <w:tcBorders>
              <w:top w:val="nil"/>
              <w:left w:val="nil"/>
              <w:bottom w:val="single" w:sz="8" w:space="0" w:color="auto"/>
              <w:right w:val="single" w:sz="4" w:space="0" w:color="auto"/>
            </w:tcBorders>
            <w:shd w:val="clear" w:color="auto" w:fill="auto"/>
            <w:noWrap/>
            <w:vAlign w:val="center"/>
            <w:hideMark/>
          </w:tcPr>
          <w:p w14:paraId="23CECB7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-2.07%</w:t>
            </w:r>
          </w:p>
        </w:tc>
        <w:tc>
          <w:tcPr>
            <w:tcW w:w="638" w:type="pct"/>
            <w:tcBorders>
              <w:top w:val="nil"/>
              <w:left w:val="nil"/>
              <w:bottom w:val="single" w:sz="8" w:space="0" w:color="auto"/>
              <w:right w:val="nil"/>
            </w:tcBorders>
            <w:shd w:val="clear" w:color="auto" w:fill="auto"/>
            <w:noWrap/>
            <w:vAlign w:val="center"/>
            <w:hideMark/>
          </w:tcPr>
          <w:p w14:paraId="4F5F584F"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155.3%</w:t>
            </w:r>
          </w:p>
        </w:tc>
        <w:tc>
          <w:tcPr>
            <w:tcW w:w="638" w:type="pct"/>
            <w:tcBorders>
              <w:top w:val="nil"/>
              <w:left w:val="nil"/>
              <w:bottom w:val="single" w:sz="8" w:space="0" w:color="auto"/>
              <w:right w:val="nil"/>
            </w:tcBorders>
            <w:shd w:val="clear" w:color="auto" w:fill="auto"/>
            <w:noWrap/>
            <w:vAlign w:val="center"/>
            <w:hideMark/>
          </w:tcPr>
          <w:p w14:paraId="17CBB9A0"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102.6%</w:t>
            </w:r>
          </w:p>
        </w:tc>
        <w:tc>
          <w:tcPr>
            <w:tcW w:w="706" w:type="pct"/>
            <w:tcBorders>
              <w:top w:val="nil"/>
              <w:left w:val="single" w:sz="4" w:space="0" w:color="auto"/>
              <w:bottom w:val="single" w:sz="8" w:space="0" w:color="auto"/>
              <w:right w:val="single" w:sz="8" w:space="0" w:color="auto"/>
            </w:tcBorders>
            <w:shd w:val="clear" w:color="auto" w:fill="auto"/>
            <w:noWrap/>
            <w:vAlign w:val="center"/>
            <w:hideMark/>
          </w:tcPr>
          <w:p w14:paraId="7D9CEA51" w14:textId="77777777" w:rsidR="008663E6" w:rsidRPr="008663E6" w:rsidRDefault="008663E6" w:rsidP="00866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663E6">
              <w:rPr>
                <w:rFonts w:ascii="Arial" w:eastAsia="맑은 고딕" w:hAnsi="Arial" w:cs="Arial"/>
                <w:color w:val="000000"/>
                <w:sz w:val="18"/>
                <w:szCs w:val="18"/>
                <w:lang w:eastAsia="ko-KR"/>
              </w:rPr>
              <w:t>100.0%</w:t>
            </w:r>
          </w:p>
        </w:tc>
      </w:tr>
    </w:tbl>
    <w:p w14:paraId="3CBC94E8" w14:textId="77777777" w:rsidR="008663E6" w:rsidRDefault="008663E6" w:rsidP="001D7CBF">
      <w:pPr>
        <w:rPr>
          <w:lang w:val="en-CA" w:eastAsia="ko-KR"/>
        </w:rPr>
      </w:pPr>
    </w:p>
    <w:p w14:paraId="04497C38" w14:textId="77777777" w:rsidR="001D7CBF" w:rsidRDefault="001D7CBF" w:rsidP="001D7CBF">
      <w:pPr>
        <w:pStyle w:val="1"/>
        <w:ind w:left="432" w:hanging="432"/>
        <w:rPr>
          <w:lang w:val="en-CA" w:eastAsia="ko-KR"/>
        </w:rPr>
      </w:pPr>
      <w:r>
        <w:rPr>
          <w:rFonts w:hint="eastAsia"/>
          <w:lang w:val="en-CA" w:eastAsia="ko-KR"/>
        </w:rPr>
        <w:t>Conclusion</w:t>
      </w:r>
    </w:p>
    <w:p w14:paraId="0F3E982C" w14:textId="79B8EB42" w:rsidR="00BF7A57" w:rsidRDefault="00BF7A57" w:rsidP="001D7CBF">
      <w:pPr>
        <w:rPr>
          <w:lang w:val="en-CA" w:eastAsia="ko-KR"/>
        </w:rPr>
      </w:pPr>
      <w:r>
        <w:rPr>
          <w:rFonts w:hint="eastAsia"/>
          <w:lang w:val="en-CA" w:eastAsia="ko-KR"/>
        </w:rPr>
        <w:t xml:space="preserve">This </w:t>
      </w:r>
      <w:r>
        <w:rPr>
          <w:lang w:val="en-CA" w:eastAsia="ko-KR"/>
        </w:rPr>
        <w:t>contribution reports the results for EE2 Test 1.1 on non-square quadtree partitioning</w:t>
      </w:r>
      <w:r w:rsidRPr="00854B04">
        <w:rPr>
          <w:lang w:val="en-CA" w:eastAsia="ko-KR"/>
        </w:rPr>
        <w:t>. It is asserted that the results indicate reasonable trad</w:t>
      </w:r>
      <w:r w:rsidR="00A1228E" w:rsidRPr="00854B04">
        <w:rPr>
          <w:lang w:val="en-CA" w:eastAsia="ko-KR"/>
        </w:rPr>
        <w:t>e</w:t>
      </w:r>
      <w:r w:rsidRPr="00854B04">
        <w:rPr>
          <w:lang w:val="en-CA" w:eastAsia="ko-KR"/>
        </w:rPr>
        <w:t>-off between BD-rate gains and run time impacts. It is proposed to include the proposed partitioning from EE2 Test 1.1</w:t>
      </w:r>
      <w:r w:rsidR="00373F4C" w:rsidRPr="00854B04">
        <w:rPr>
          <w:lang w:val="en-CA" w:eastAsia="ko-KR"/>
        </w:rPr>
        <w:t>a</w:t>
      </w:r>
      <w:r w:rsidRPr="00854B04">
        <w:rPr>
          <w:lang w:val="en-CA" w:eastAsia="ko-KR"/>
        </w:rPr>
        <w:t xml:space="preserve"> into the next version of ECM</w:t>
      </w:r>
      <w:r w:rsidR="000A59A0" w:rsidRPr="00854B04">
        <w:rPr>
          <w:lang w:val="en-CA" w:eastAsia="ko-KR"/>
        </w:rPr>
        <w:t>.</w:t>
      </w:r>
    </w:p>
    <w:p w14:paraId="6B910A49" w14:textId="77777777" w:rsidR="001D7CBF" w:rsidRPr="00CB3FAA" w:rsidRDefault="001D7CBF" w:rsidP="001D7CBF">
      <w:pPr>
        <w:rPr>
          <w:lang w:val="en-CA" w:eastAsia="ko-KR"/>
        </w:rPr>
      </w:pPr>
    </w:p>
    <w:p w14:paraId="40C7DF25" w14:textId="77777777" w:rsidR="001D7CBF" w:rsidRDefault="001D7CBF" w:rsidP="001D7CBF">
      <w:pPr>
        <w:pStyle w:val="1"/>
        <w:ind w:left="432" w:hanging="432"/>
        <w:rPr>
          <w:lang w:val="en-CA" w:eastAsia="ko-KR"/>
        </w:rPr>
      </w:pPr>
      <w:r w:rsidRPr="006B075C">
        <w:rPr>
          <w:rFonts w:hint="eastAsia"/>
          <w:lang w:val="en-CA" w:eastAsia="ko-KR"/>
        </w:rPr>
        <w:t>Reference</w:t>
      </w:r>
      <w:r>
        <w:rPr>
          <w:lang w:val="en-CA" w:eastAsia="ko-KR"/>
        </w:rPr>
        <w:t>(s)</w:t>
      </w:r>
    </w:p>
    <w:p w14:paraId="604A77AE" w14:textId="3B156946" w:rsidR="001D7CBF" w:rsidRDefault="001D7CBF" w:rsidP="001D7CBF">
      <w:pPr>
        <w:numPr>
          <w:ilvl w:val="0"/>
          <w:numId w:val="13"/>
        </w:numPr>
        <w:tabs>
          <w:tab w:val="clear" w:pos="360"/>
          <w:tab w:val="clear" w:pos="1080"/>
          <w:tab w:val="left" w:pos="426"/>
        </w:tabs>
        <w:rPr>
          <w:lang w:val="en-CA"/>
        </w:rPr>
      </w:pPr>
      <w:bookmarkStart w:id="1" w:name="_Ref36827579"/>
      <w:r>
        <w:rPr>
          <w:rFonts w:hint="eastAsia"/>
          <w:lang w:val="en-CA" w:eastAsia="ko-KR"/>
        </w:rPr>
        <w:t xml:space="preserve">Y. </w:t>
      </w:r>
      <w:r>
        <w:rPr>
          <w:lang w:val="en-CA" w:eastAsia="ko-KR"/>
        </w:rPr>
        <w:t>Ahn, J. Nam, N. Park, J. Lim, S. Kim, “AHG12: Non-square quadtree partitioning,” JVET-AE0082, 31st Meeting, Geneva, CH, 11-19 July 2023.</w:t>
      </w:r>
    </w:p>
    <w:p w14:paraId="4EC85E3D" w14:textId="69C2207E" w:rsidR="001D7CBF" w:rsidRDefault="001D7CBF" w:rsidP="001D7CBF">
      <w:pPr>
        <w:numPr>
          <w:ilvl w:val="0"/>
          <w:numId w:val="13"/>
        </w:numPr>
        <w:tabs>
          <w:tab w:val="clear" w:pos="360"/>
          <w:tab w:val="clear" w:pos="1080"/>
          <w:tab w:val="left" w:pos="426"/>
        </w:tabs>
        <w:rPr>
          <w:lang w:val="en-CA"/>
        </w:rPr>
      </w:pPr>
      <w:r>
        <w:rPr>
          <w:rFonts w:hint="eastAsia"/>
          <w:lang w:val="en-CA" w:eastAsia="ko-KR"/>
        </w:rPr>
        <w:t>E</w:t>
      </w:r>
      <w:r>
        <w:rPr>
          <w:lang w:val="en-CA" w:eastAsia="ko-KR"/>
        </w:rPr>
        <w:t xml:space="preserve">CM-10.0, </w:t>
      </w:r>
      <w:hyperlink r:id="rId11" w:history="1">
        <w:r w:rsidRPr="00BC5FDA">
          <w:rPr>
            <w:rStyle w:val="a6"/>
            <w:lang w:val="en-CA" w:eastAsia="ko-KR"/>
          </w:rPr>
          <w:t>https://vcgit.hhi.fraunhofer.de/ecm/ECM/-/tags/ECM-10.0</w:t>
        </w:r>
      </w:hyperlink>
    </w:p>
    <w:p w14:paraId="77D43528" w14:textId="6E2797BF" w:rsidR="001D7CBF" w:rsidRPr="00C22F71" w:rsidRDefault="001D7CBF" w:rsidP="001D7CBF">
      <w:pPr>
        <w:numPr>
          <w:ilvl w:val="0"/>
          <w:numId w:val="13"/>
        </w:numPr>
        <w:tabs>
          <w:tab w:val="clear" w:pos="360"/>
          <w:tab w:val="clear" w:pos="1080"/>
          <w:tab w:val="left" w:pos="426"/>
        </w:tabs>
        <w:rPr>
          <w:lang w:val="en-CA"/>
        </w:rPr>
      </w:pPr>
      <w:r w:rsidRPr="00C22F71">
        <w:rPr>
          <w:szCs w:val="22"/>
          <w:lang w:val="en-CA"/>
        </w:rPr>
        <w:t xml:space="preserve">M. Karczewicz, Y. Ye, </w:t>
      </w:r>
      <w:r w:rsidR="00C22F71">
        <w:rPr>
          <w:szCs w:val="22"/>
          <w:lang w:val="en-CA"/>
        </w:rPr>
        <w:t>“Common test c</w:t>
      </w:r>
      <w:r w:rsidRPr="00C22F71">
        <w:rPr>
          <w:szCs w:val="22"/>
          <w:lang w:val="en-CA"/>
        </w:rPr>
        <w:t>onditions and evaluation procedures for enhanced compression tool testing,” JVET-A</w:t>
      </w:r>
      <w:r w:rsidR="00C22F71">
        <w:rPr>
          <w:szCs w:val="22"/>
          <w:lang w:val="en-CA"/>
        </w:rPr>
        <w:t>E</w:t>
      </w:r>
      <w:r w:rsidRPr="00C22F71">
        <w:rPr>
          <w:szCs w:val="22"/>
          <w:lang w:val="en-CA"/>
        </w:rPr>
        <w:t xml:space="preserve">2017, </w:t>
      </w:r>
      <w:r w:rsidR="00C22F71">
        <w:rPr>
          <w:lang w:val="en-CA"/>
        </w:rPr>
        <w:t>31st</w:t>
      </w:r>
      <w:r w:rsidRPr="00C22F71">
        <w:rPr>
          <w:lang w:val="en-CA"/>
        </w:rPr>
        <w:t xml:space="preserve"> Meeting, </w:t>
      </w:r>
      <w:r w:rsidR="00C22F71">
        <w:rPr>
          <w:lang w:val="en-CA"/>
        </w:rPr>
        <w:t>Geneva</w:t>
      </w:r>
      <w:r w:rsidRPr="00C22F71">
        <w:rPr>
          <w:lang w:val="en-CA"/>
        </w:rPr>
        <w:t xml:space="preserve">, </w:t>
      </w:r>
      <w:r w:rsidR="00C22F71">
        <w:rPr>
          <w:lang w:val="en-CA"/>
        </w:rPr>
        <w:t>CH</w:t>
      </w:r>
      <w:r w:rsidRPr="00C22F71">
        <w:rPr>
          <w:lang w:val="en-CA"/>
        </w:rPr>
        <w:t xml:space="preserve">, </w:t>
      </w:r>
      <w:r w:rsidR="00C22F71">
        <w:rPr>
          <w:lang w:val="en-CA"/>
        </w:rPr>
        <w:t>11–19 July</w:t>
      </w:r>
      <w:r w:rsidRPr="00C22F71">
        <w:rPr>
          <w:lang w:val="en-CA"/>
        </w:rPr>
        <w:t xml:space="preserve"> 2023</w:t>
      </w:r>
      <w:r w:rsidRPr="00C22F71">
        <w:rPr>
          <w:szCs w:val="22"/>
          <w:lang w:val="en-CA"/>
        </w:rPr>
        <w:t>.</w:t>
      </w:r>
      <w:bookmarkEnd w:id="1"/>
    </w:p>
    <w:p w14:paraId="2308280F" w14:textId="77777777" w:rsidR="001D7CBF" w:rsidRPr="00D525EF" w:rsidRDefault="001D7CBF" w:rsidP="001D7CBF">
      <w:pPr>
        <w:tabs>
          <w:tab w:val="clear" w:pos="360"/>
          <w:tab w:val="clear" w:pos="1080"/>
          <w:tab w:val="left" w:pos="426"/>
        </w:tabs>
        <w:rPr>
          <w:lang w:val="en-CA"/>
        </w:rPr>
      </w:pPr>
    </w:p>
    <w:p w14:paraId="0AF589EA" w14:textId="77777777" w:rsidR="001D7CBF" w:rsidRPr="005B217D" w:rsidRDefault="001D7CBF" w:rsidP="001D7CBF">
      <w:pPr>
        <w:pStyle w:val="1"/>
        <w:ind w:left="432" w:hanging="432"/>
        <w:rPr>
          <w:lang w:val="en-CA"/>
        </w:rPr>
      </w:pPr>
      <w:r w:rsidRPr="005B217D">
        <w:rPr>
          <w:lang w:val="en-CA"/>
        </w:rPr>
        <w:t>Patent rights declaration(s)</w:t>
      </w:r>
    </w:p>
    <w:p w14:paraId="08B88DE8" w14:textId="77777777" w:rsidR="001D7CBF" w:rsidRPr="00C570DD" w:rsidRDefault="001D7CBF" w:rsidP="001D7CBF">
      <w:pPr>
        <w:rPr>
          <w:szCs w:val="22"/>
          <w:lang w:val="en-CA"/>
        </w:rPr>
      </w:pPr>
      <w:r>
        <w:rPr>
          <w:b/>
          <w:szCs w:val="22"/>
          <w:lang w:val="en-CA"/>
        </w:rPr>
        <w:t>LG Electronics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9B4D21" w14:textId="42A28BDA" w:rsidR="00342FF4" w:rsidRPr="001D7CBF" w:rsidRDefault="00342FF4"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D2B20D" w14:textId="77777777" w:rsidR="005E703B" w:rsidRDefault="005E703B">
      <w:r>
        <w:separator/>
      </w:r>
    </w:p>
  </w:endnote>
  <w:endnote w:type="continuationSeparator" w:id="0">
    <w:p w14:paraId="07E4B809" w14:textId="77777777" w:rsidR="005E703B" w:rsidRDefault="005E7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BE7F549" w:rsidR="001D27AA" w:rsidRPr="00C00DDE" w:rsidRDefault="001D27A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228C7">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228C7">
      <w:rPr>
        <w:rStyle w:val="a5"/>
        <w:noProof/>
      </w:rPr>
      <w:t>2023-10-07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F03238" w14:textId="77777777" w:rsidR="005E703B" w:rsidRDefault="005E703B">
      <w:r>
        <w:separator/>
      </w:r>
    </w:p>
  </w:footnote>
  <w:footnote w:type="continuationSeparator" w:id="0">
    <w:p w14:paraId="0177829C" w14:textId="77777777" w:rsidR="005E703B" w:rsidRDefault="005E70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161876"/>
    <w:multiLevelType w:val="hybridMultilevel"/>
    <w:tmpl w:val="114E649A"/>
    <w:lvl w:ilvl="0" w:tplc="6BA867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A59A0"/>
    <w:rsid w:val="000B0C0F"/>
    <w:rsid w:val="000B1C6B"/>
    <w:rsid w:val="000B4142"/>
    <w:rsid w:val="000B4FF9"/>
    <w:rsid w:val="000B6A0F"/>
    <w:rsid w:val="000C09AC"/>
    <w:rsid w:val="000C228D"/>
    <w:rsid w:val="000C2BAA"/>
    <w:rsid w:val="000C5F4C"/>
    <w:rsid w:val="000D4D91"/>
    <w:rsid w:val="000E00F3"/>
    <w:rsid w:val="000F158C"/>
    <w:rsid w:val="000F4AE7"/>
    <w:rsid w:val="00102F3D"/>
    <w:rsid w:val="0012391C"/>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D27AA"/>
    <w:rsid w:val="001D7CBF"/>
    <w:rsid w:val="001E0248"/>
    <w:rsid w:val="001E02BE"/>
    <w:rsid w:val="001E3681"/>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638A"/>
    <w:rsid w:val="00247E1E"/>
    <w:rsid w:val="00263398"/>
    <w:rsid w:val="00263B99"/>
    <w:rsid w:val="002647D8"/>
    <w:rsid w:val="00266F06"/>
    <w:rsid w:val="00275BCF"/>
    <w:rsid w:val="00276831"/>
    <w:rsid w:val="00280613"/>
    <w:rsid w:val="00286256"/>
    <w:rsid w:val="00291E36"/>
    <w:rsid w:val="00292257"/>
    <w:rsid w:val="002A54E0"/>
    <w:rsid w:val="002B1595"/>
    <w:rsid w:val="002B191D"/>
    <w:rsid w:val="002B2E83"/>
    <w:rsid w:val="002D0AF6"/>
    <w:rsid w:val="002F164D"/>
    <w:rsid w:val="003021BC"/>
    <w:rsid w:val="00306206"/>
    <w:rsid w:val="00313E63"/>
    <w:rsid w:val="00317D85"/>
    <w:rsid w:val="003228C7"/>
    <w:rsid w:val="00327C56"/>
    <w:rsid w:val="003315A1"/>
    <w:rsid w:val="003373EC"/>
    <w:rsid w:val="00342FF4"/>
    <w:rsid w:val="00344E5A"/>
    <w:rsid w:val="00346148"/>
    <w:rsid w:val="003669EA"/>
    <w:rsid w:val="003706CC"/>
    <w:rsid w:val="00373F4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07CEA"/>
    <w:rsid w:val="0051015C"/>
    <w:rsid w:val="00516CF1"/>
    <w:rsid w:val="00531AE9"/>
    <w:rsid w:val="00536188"/>
    <w:rsid w:val="00541FF1"/>
    <w:rsid w:val="00550A66"/>
    <w:rsid w:val="00567EC7"/>
    <w:rsid w:val="00570013"/>
    <w:rsid w:val="005753EC"/>
    <w:rsid w:val="005801A2"/>
    <w:rsid w:val="0059479D"/>
    <w:rsid w:val="005952A5"/>
    <w:rsid w:val="005A33A1"/>
    <w:rsid w:val="005B217D"/>
    <w:rsid w:val="005C385F"/>
    <w:rsid w:val="005C7C26"/>
    <w:rsid w:val="005E1AC6"/>
    <w:rsid w:val="005E3F2B"/>
    <w:rsid w:val="005E703B"/>
    <w:rsid w:val="005F6F1B"/>
    <w:rsid w:val="00615995"/>
    <w:rsid w:val="00616155"/>
    <w:rsid w:val="006163B2"/>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12A"/>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54B04"/>
    <w:rsid w:val="0086387C"/>
    <w:rsid w:val="008663E6"/>
    <w:rsid w:val="00874A6C"/>
    <w:rsid w:val="00876C65"/>
    <w:rsid w:val="00882F72"/>
    <w:rsid w:val="00893DC4"/>
    <w:rsid w:val="008A147E"/>
    <w:rsid w:val="008A4B4C"/>
    <w:rsid w:val="008C01CD"/>
    <w:rsid w:val="008C239F"/>
    <w:rsid w:val="008E480C"/>
    <w:rsid w:val="00907757"/>
    <w:rsid w:val="009212B0"/>
    <w:rsid w:val="00921FA1"/>
    <w:rsid w:val="009234A5"/>
    <w:rsid w:val="00933453"/>
    <w:rsid w:val="009336F7"/>
    <w:rsid w:val="0093636C"/>
    <w:rsid w:val="009374A7"/>
    <w:rsid w:val="00937F03"/>
    <w:rsid w:val="00946B57"/>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228E"/>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D7620"/>
    <w:rsid w:val="00AE341B"/>
    <w:rsid w:val="00AF51C5"/>
    <w:rsid w:val="00B01905"/>
    <w:rsid w:val="00B07CA7"/>
    <w:rsid w:val="00B1279A"/>
    <w:rsid w:val="00B174DA"/>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14A4"/>
    <w:rsid w:val="00BC5AFD"/>
    <w:rsid w:val="00BF7A57"/>
    <w:rsid w:val="00C00DDE"/>
    <w:rsid w:val="00C04F43"/>
    <w:rsid w:val="00C05271"/>
    <w:rsid w:val="00C0609D"/>
    <w:rsid w:val="00C115AB"/>
    <w:rsid w:val="00C22F71"/>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1499"/>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character" w:customStyle="1" w:styleId="UnresolvedMention">
    <w:name w:val="Unresolved Mention"/>
    <w:basedOn w:val="a0"/>
    <w:uiPriority w:val="99"/>
    <w:semiHidden/>
    <w:unhideWhenUsed/>
    <w:rsid w:val="00D81499"/>
    <w:rPr>
      <w:color w:val="605E5C"/>
      <w:shd w:val="clear" w:color="auto" w:fill="E1DFDD"/>
    </w:rPr>
  </w:style>
  <w:style w:type="paragraph" w:customStyle="1" w:styleId="Normal-3-3">
    <w:name w:val="Normal-3-3"/>
    <w:basedOn w:val="a"/>
    <w:rsid w:val="001D7CBF"/>
    <w:pPr>
      <w:tabs>
        <w:tab w:val="clear" w:pos="1800"/>
        <w:tab w:val="clear" w:pos="2160"/>
        <w:tab w:val="clear" w:pos="2520"/>
        <w:tab w:val="clear" w:pos="2880"/>
        <w:tab w:val="clear" w:pos="3240"/>
        <w:tab w:val="clear" w:pos="3600"/>
        <w:tab w:val="clear" w:pos="3960"/>
        <w:tab w:val="clear" w:pos="4320"/>
      </w:tabs>
      <w:spacing w:before="60" w:after="60"/>
      <w:jc w:val="left"/>
    </w:pPr>
    <w:rPr>
      <w:rFonts w:eastAsia="바탕"/>
    </w:rPr>
  </w:style>
  <w:style w:type="paragraph" w:styleId="ab">
    <w:name w:val="caption"/>
    <w:basedOn w:val="a"/>
    <w:next w:val="a"/>
    <w:unhideWhenUsed/>
    <w:qFormat/>
    <w:rsid w:val="000D4D91"/>
    <w:pPr>
      <w:tabs>
        <w:tab w:val="clear" w:pos="1800"/>
        <w:tab w:val="clear" w:pos="2160"/>
        <w:tab w:val="clear" w:pos="2520"/>
        <w:tab w:val="clear" w:pos="2880"/>
        <w:tab w:val="clear" w:pos="3240"/>
        <w:tab w:val="clear" w:pos="3600"/>
        <w:tab w:val="clear" w:pos="3960"/>
        <w:tab w:val="clear" w:pos="4320"/>
      </w:tabs>
      <w:jc w:val="left"/>
    </w:pPr>
    <w:rPr>
      <w:rFonts w:eastAsia="바탕"/>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44327">
      <w:bodyDiv w:val="1"/>
      <w:marLeft w:val="0"/>
      <w:marRight w:val="0"/>
      <w:marTop w:val="0"/>
      <w:marBottom w:val="0"/>
      <w:divBdr>
        <w:top w:val="none" w:sz="0" w:space="0" w:color="auto"/>
        <w:left w:val="none" w:sz="0" w:space="0" w:color="auto"/>
        <w:bottom w:val="none" w:sz="0" w:space="0" w:color="auto"/>
        <w:right w:val="none" w:sz="0" w:space="0" w:color="auto"/>
      </w:divBdr>
    </w:div>
    <w:div w:id="693773656">
      <w:bodyDiv w:val="1"/>
      <w:marLeft w:val="0"/>
      <w:marRight w:val="0"/>
      <w:marTop w:val="0"/>
      <w:marBottom w:val="0"/>
      <w:divBdr>
        <w:top w:val="none" w:sz="0" w:space="0" w:color="auto"/>
        <w:left w:val="none" w:sz="0" w:space="0" w:color="auto"/>
        <w:bottom w:val="none" w:sz="0" w:space="0" w:color="auto"/>
        <w:right w:val="none" w:sz="0" w:space="0" w:color="auto"/>
      </w:divBdr>
    </w:div>
    <w:div w:id="703091591">
      <w:bodyDiv w:val="1"/>
      <w:marLeft w:val="0"/>
      <w:marRight w:val="0"/>
      <w:marTop w:val="0"/>
      <w:marBottom w:val="0"/>
      <w:divBdr>
        <w:top w:val="none" w:sz="0" w:space="0" w:color="auto"/>
        <w:left w:val="none" w:sz="0" w:space="0" w:color="auto"/>
        <w:bottom w:val="none" w:sz="0" w:space="0" w:color="auto"/>
        <w:right w:val="none" w:sz="0" w:space="0" w:color="auto"/>
      </w:divBdr>
    </w:div>
    <w:div w:id="757020207">
      <w:bodyDiv w:val="1"/>
      <w:marLeft w:val="0"/>
      <w:marRight w:val="0"/>
      <w:marTop w:val="0"/>
      <w:marBottom w:val="0"/>
      <w:divBdr>
        <w:top w:val="none" w:sz="0" w:space="0" w:color="auto"/>
        <w:left w:val="none" w:sz="0" w:space="0" w:color="auto"/>
        <w:bottom w:val="none" w:sz="0" w:space="0" w:color="auto"/>
        <w:right w:val="none" w:sz="0" w:space="0" w:color="auto"/>
      </w:divBdr>
    </w:div>
    <w:div w:id="1034039187">
      <w:bodyDiv w:val="1"/>
      <w:marLeft w:val="0"/>
      <w:marRight w:val="0"/>
      <w:marTop w:val="0"/>
      <w:marBottom w:val="0"/>
      <w:divBdr>
        <w:top w:val="none" w:sz="0" w:space="0" w:color="auto"/>
        <w:left w:val="none" w:sz="0" w:space="0" w:color="auto"/>
        <w:bottom w:val="none" w:sz="0" w:space="0" w:color="auto"/>
        <w:right w:val="none" w:sz="0" w:space="0" w:color="auto"/>
      </w:divBdr>
    </w:div>
    <w:div w:id="1136027311">
      <w:bodyDiv w:val="1"/>
      <w:marLeft w:val="0"/>
      <w:marRight w:val="0"/>
      <w:marTop w:val="0"/>
      <w:marBottom w:val="0"/>
      <w:divBdr>
        <w:top w:val="none" w:sz="0" w:space="0" w:color="auto"/>
        <w:left w:val="none" w:sz="0" w:space="0" w:color="auto"/>
        <w:bottom w:val="none" w:sz="0" w:space="0" w:color="auto"/>
        <w:right w:val="none" w:sz="0" w:space="0" w:color="auto"/>
      </w:divBdr>
    </w:div>
    <w:div w:id="1181120368">
      <w:bodyDiv w:val="1"/>
      <w:marLeft w:val="0"/>
      <w:marRight w:val="0"/>
      <w:marTop w:val="0"/>
      <w:marBottom w:val="0"/>
      <w:divBdr>
        <w:top w:val="none" w:sz="0" w:space="0" w:color="auto"/>
        <w:left w:val="none" w:sz="0" w:space="0" w:color="auto"/>
        <w:bottom w:val="none" w:sz="0" w:space="0" w:color="auto"/>
        <w:right w:val="none" w:sz="0" w:space="0" w:color="auto"/>
      </w:divBdr>
    </w:div>
    <w:div w:id="14273393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7083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ecm/ECM/-/tags/ECM-10.0" TargetMode="Externa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yongjo.ahn@lg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1512</Words>
  <Characters>8625</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10117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Yongjo Ahn</cp:lastModifiedBy>
  <cp:revision>8</cp:revision>
  <cp:lastPrinted>1900-01-01T08:00:00Z</cp:lastPrinted>
  <dcterms:created xsi:type="dcterms:W3CDTF">2023-10-06T07:14:00Z</dcterms:created>
  <dcterms:modified xsi:type="dcterms:W3CDTF">2023-10-06T19:11:00Z</dcterms:modified>
</cp:coreProperties>
</file>