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32nd Meeting</w:t>
            </w:r>
            <w:r>
              <w:rPr>
                <w:lang w:val="en-CA"/>
              </w:rPr>
              <w:t>, Hannover, DE, 13–20 October 2023</w:t>
            </w:r>
          </w:p>
        </w:tc>
        <w:tc>
          <w:tcPr>
            <w:tcW w:w="3060" w:type="dxa"/>
          </w:tcPr>
          <w:p>
            <w:pPr>
              <w:tabs>
                <w:tab w:val="left" w:pos="7200"/>
              </w:tabs>
              <w:rPr>
                <w:rFonts w:hint="eastAsia" w:eastAsia="宋体"/>
                <w:u w:val="single"/>
                <w:lang w:val="en-CA" w:eastAsia="zh-CN"/>
              </w:rPr>
            </w:pPr>
            <w:r>
              <w:rPr>
                <w:lang w:val="en-CA"/>
              </w:rPr>
              <w:t>Document: JVET-</w:t>
            </w:r>
            <w:r>
              <w:rPr>
                <w:highlight w:val="none"/>
                <w:lang w:val="en-CA"/>
              </w:rPr>
              <w:t>AF</w:t>
            </w:r>
            <w:r>
              <w:rPr>
                <w:rFonts w:hint="eastAsia" w:eastAsia="宋体"/>
                <w:highlight w:val="none"/>
                <w:lang w:val="en-US" w:eastAsia="zh-CN"/>
              </w:rPr>
              <w:t>0072</w:t>
            </w:r>
            <w:r>
              <w:rPr>
                <w:highlight w:val="none"/>
                <w:lang w:val="en-CA"/>
              </w:rPr>
              <w:t>-v</w:t>
            </w:r>
            <w:r>
              <w:rPr>
                <w:rFonts w:hint="eastAsia" w:eastAsia="宋体"/>
                <w:highlight w:val="none"/>
                <w:lang w:val="en-US" w:eastAsia="zh-CN"/>
              </w:rPr>
              <w:t>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FIBC flag inherits IntraTMP-FLM flag</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r>
              <w:t>Menghu Jia,</w:t>
            </w:r>
          </w:p>
          <w:p>
            <w:r>
              <w:t>Ying Gao,</w:t>
            </w:r>
          </w:p>
          <w:p>
            <w:pPr>
              <w:rPr>
                <w:rFonts w:hint="default" w:eastAsia="宋体"/>
                <w:lang w:val="en-US" w:eastAsia="zh-CN"/>
              </w:rPr>
            </w:pPr>
            <w:r>
              <w:rPr>
                <w:rFonts w:hint="eastAsia" w:eastAsia="宋体"/>
                <w:lang w:val="en-US" w:eastAsia="zh-CN"/>
              </w:rPr>
              <w:t>Yaxian</w:t>
            </w:r>
            <w:r>
              <w:t> </w:t>
            </w:r>
            <w:r>
              <w:rPr>
                <w:rFonts w:hint="eastAsia" w:eastAsia="宋体"/>
                <w:lang w:val="en-US" w:eastAsia="zh-CN"/>
              </w:rPr>
              <w:t>Bai</w:t>
            </w:r>
          </w:p>
          <w:p>
            <w:r>
              <w:rPr>
                <w:rFonts w:hint="eastAsia" w:eastAsia="宋体"/>
                <w:lang w:val="en-US" w:eastAsia="zh-CN"/>
              </w:rPr>
              <w:t>S</w:t>
            </w:r>
            <w:r>
              <w:t>haowei Xie,</w:t>
            </w:r>
          </w:p>
          <w:p>
            <w:pPr>
              <w:rPr>
                <w:rFonts w:eastAsia="宋体"/>
                <w:lang w:eastAsia="zh-CN"/>
              </w:rPr>
            </w:pPr>
            <w:r>
              <w:t>Cheng Huang</w:t>
            </w:r>
            <w:r>
              <w:rPr>
                <w:rFonts w:hint="eastAsia" w:eastAsia="宋体"/>
                <w:lang w:eastAsia="zh-CN"/>
              </w:rPr>
              <w:t>,</w:t>
            </w:r>
          </w:p>
          <w:p>
            <w:pPr>
              <w:spacing w:before="60" w:after="60"/>
              <w:rPr>
                <w:szCs w:val="22"/>
                <w:lang w:val="en-CA"/>
              </w:rPr>
            </w:pPr>
            <w:r>
              <w:rPr>
                <w:rFonts w:hint="eastAsia" w:eastAsia="宋体"/>
                <w:lang w:eastAsia="zh-CN"/>
              </w:rPr>
              <w:t>Ping</w:t>
            </w:r>
            <w:r>
              <w:t> </w:t>
            </w:r>
            <w:r>
              <w:rPr>
                <w:rFonts w:hint="eastAsia" w:eastAsia="宋体"/>
                <w:lang w:eastAsia="zh-CN"/>
              </w:rPr>
              <w:t>Wu</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Style w:val="19"/>
              </w:rPr>
            </w:pPr>
            <w:r>
              <w:fldChar w:fldCharType="begin"/>
            </w:r>
            <w:r>
              <w:instrText xml:space="preserve"> HYPERLINK "mailto:jia.menghu@zte.com.cn" </w:instrText>
            </w:r>
            <w:r>
              <w:fldChar w:fldCharType="separate"/>
            </w:r>
            <w:r>
              <w:rPr>
                <w:rStyle w:val="19"/>
              </w:rPr>
              <w:t>jia.menghu@zte.com.cn</w:t>
            </w:r>
            <w:r>
              <w:rPr>
                <w:rStyle w:val="19"/>
              </w:rPr>
              <w:fldChar w:fldCharType="end"/>
            </w:r>
          </w:p>
          <w:p>
            <w:pPr>
              <w:spacing w:before="60" w:after="60"/>
              <w:rPr>
                <w:rStyle w:val="19"/>
              </w:rPr>
            </w:pPr>
            <w:r>
              <w:rPr>
                <w:rStyle w:val="19"/>
              </w:rPr>
              <w:fldChar w:fldCharType="begin"/>
            </w:r>
            <w:r>
              <w:rPr>
                <w:rStyle w:val="19"/>
              </w:rPr>
              <w:instrText xml:space="preserve"> HYPERLINK "mailto:gao.ying@zte.com.cn" </w:instrText>
            </w:r>
            <w:r>
              <w:rPr>
                <w:rStyle w:val="19"/>
              </w:rPr>
              <w:fldChar w:fldCharType="separate"/>
            </w:r>
            <w:r>
              <w:rPr>
                <w:rStyle w:val="19"/>
              </w:rPr>
              <w:t>gao.ying@zte.com.cn</w:t>
            </w:r>
            <w:r>
              <w:rPr>
                <w:rStyle w:val="19"/>
              </w:rPr>
              <w:fldChar w:fldCharType="end"/>
            </w:r>
          </w:p>
          <w:p>
            <w:pPr>
              <w:spacing w:before="60" w:after="60"/>
              <w:rPr>
                <w:rStyle w:val="19"/>
              </w:rPr>
            </w:pPr>
            <w:r>
              <w:rPr>
                <w:rStyle w:val="19"/>
                <w:rFonts w:hint="eastAsia"/>
              </w:rPr>
              <w:t>bai.yaxian</w:t>
            </w:r>
            <w:r>
              <w:rPr>
                <w:rStyle w:val="19"/>
              </w:rPr>
              <w:t>@zte.com.cn</w:t>
            </w:r>
          </w:p>
          <w:p>
            <w:pPr>
              <w:spacing w:before="60" w:after="60"/>
              <w:rPr>
                <w:rStyle w:val="19"/>
              </w:rPr>
            </w:pPr>
            <w:r>
              <w:fldChar w:fldCharType="begin"/>
            </w:r>
            <w:r>
              <w:instrText xml:space="preserve"> HYPERLINK "mailto:xie.shaowei@zte.com.cn" </w:instrText>
            </w:r>
            <w:r>
              <w:fldChar w:fldCharType="separate"/>
            </w:r>
            <w:r>
              <w:rPr>
                <w:rStyle w:val="19"/>
              </w:rPr>
              <w:t>xie.shaowei@zte.com.cn</w:t>
            </w:r>
            <w:r>
              <w:rPr>
                <w:rStyle w:val="19"/>
              </w:rPr>
              <w:fldChar w:fldCharType="end"/>
            </w:r>
          </w:p>
          <w:p>
            <w:pPr>
              <w:spacing w:before="60" w:after="60"/>
              <w:rPr>
                <w:rStyle w:val="19"/>
              </w:rPr>
            </w:pPr>
            <w:r>
              <w:fldChar w:fldCharType="begin"/>
            </w:r>
            <w:r>
              <w:instrText xml:space="preserve"> HYPERLINK "mailto:huang.cheng5@zte.com.cn" </w:instrText>
            </w:r>
            <w:r>
              <w:fldChar w:fldCharType="separate"/>
            </w:r>
            <w:r>
              <w:rPr>
                <w:rStyle w:val="19"/>
              </w:rPr>
              <w:t>huang.cheng5@zte.com.cn</w:t>
            </w:r>
            <w:r>
              <w:rPr>
                <w:rStyle w:val="19"/>
              </w:rPr>
              <w:fldChar w:fldCharType="end"/>
            </w:r>
          </w:p>
          <w:p>
            <w:pPr>
              <w:spacing w:before="60" w:after="60"/>
              <w:rPr>
                <w:szCs w:val="22"/>
                <w:lang w:val="en-CA"/>
              </w:rPr>
            </w:pPr>
            <w:r>
              <w:rPr>
                <w:rStyle w:val="19"/>
                <w:rFonts w:hint="eastAsia"/>
              </w:rPr>
              <w:t>ping.wu@zte.com.cn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 xml:space="preserve">This contribution proposes that FIBC flag in the IBC merge mode can inherit the IntraTMP-FLM flag. In the IBC merge mode, the FIBC flag </w:t>
      </w:r>
      <w:r>
        <w:rPr>
          <w:rFonts w:hint="eastAsia"/>
          <w:lang w:val="en-CA"/>
        </w:rPr>
        <w:t>is inferred from the merge candidate</w:t>
      </w:r>
      <w:r>
        <w:rPr>
          <w:rFonts w:hint="eastAsia" w:eastAsia="宋体"/>
          <w:lang w:val="en-US" w:eastAsia="zh-CN"/>
        </w:rPr>
        <w:t>. When the merge candidate is come from the IntraTMP coded block, the FIBC flag can be inferred through IntraTMP-FLM flag.</w:t>
      </w:r>
    </w:p>
    <w:p>
      <w:pPr>
        <w:rPr>
          <w:szCs w:val="20"/>
          <w:lang w:eastAsia="zh-CN"/>
        </w:rPr>
      </w:pPr>
      <w:r>
        <w:rPr>
          <w:lang w:eastAsia="zh-CN"/>
        </w:rPr>
        <w:t>The proposed method is implemented on top of ECM-</w:t>
      </w:r>
      <w:r>
        <w:rPr>
          <w:rFonts w:hint="eastAsia"/>
          <w:lang w:val="en-US" w:eastAsia="zh-CN"/>
        </w:rPr>
        <w:t>10</w:t>
      </w:r>
      <w:r>
        <w:rPr>
          <w:lang w:eastAsia="zh-CN"/>
        </w:rPr>
        <w:t>.0 software, it shows coding gains as follows:</w:t>
      </w:r>
    </w:p>
    <w:p>
      <w:pPr>
        <w:rPr>
          <w:rFonts w:hint="eastAsia" w:eastAsia="宋体"/>
          <w:lang w:val="en-US" w:eastAsia="zh-CN"/>
        </w:rPr>
      </w:pPr>
      <w:r>
        <w:rPr>
          <w:rFonts w:hint="eastAsia" w:eastAsia="宋体"/>
          <w:lang w:val="en-US" w:eastAsia="zh-CN"/>
        </w:rPr>
        <w:t>AI:</w:t>
      </w:r>
    </w:p>
    <w:p>
      <w:pPr>
        <w:rPr>
          <w:rFonts w:hint="default" w:eastAsia="宋体"/>
          <w:lang w:val="en-US" w:eastAsia="zh-CN"/>
        </w:rPr>
      </w:pPr>
      <w:r>
        <w:rPr>
          <w:rFonts w:hint="eastAsia" w:eastAsia="宋体"/>
          <w:lang w:val="en-US" w:eastAsia="zh-CN"/>
        </w:rPr>
        <w:tab/>
      </w:r>
      <w:r>
        <w:rPr>
          <w:rFonts w:hint="eastAsia" w:eastAsia="宋体"/>
          <w:lang w:val="en-US" w:eastAsia="zh-CN"/>
        </w:rPr>
        <w:t xml:space="preserve">Class F：   -0.02% / 0.04% / 0.02%, 100.4% / </w:t>
      </w:r>
      <w:r>
        <w:rPr>
          <w:rFonts w:hint="default" w:eastAsia="宋体"/>
          <w:lang w:val="en-US" w:eastAsia="zh-CN"/>
        </w:rPr>
        <w:t>99.8%</w:t>
      </w:r>
    </w:p>
    <w:p>
      <w:pPr>
        <w:rPr>
          <w:rFonts w:hint="eastAsia" w:eastAsia="宋体"/>
          <w:lang w:val="en-US" w:eastAsia="zh-CN"/>
        </w:rPr>
      </w:pPr>
      <w:r>
        <w:rPr>
          <w:rFonts w:hint="eastAsia" w:eastAsia="宋体"/>
          <w:lang w:val="en-US" w:eastAsia="zh-CN"/>
        </w:rPr>
        <w:tab/>
      </w:r>
      <w:r>
        <w:rPr>
          <w:rFonts w:hint="eastAsia" w:eastAsia="宋体"/>
          <w:lang w:val="en-US" w:eastAsia="zh-CN"/>
        </w:rPr>
        <w:t xml:space="preserve">ClassTGM：-0.02% / -0.03% /-0.03%, 100.2% / </w:t>
      </w:r>
      <w:r>
        <w:rPr>
          <w:rFonts w:hint="default" w:eastAsia="宋体"/>
          <w:lang w:val="en-US" w:eastAsia="zh-CN"/>
        </w:rPr>
        <w:t>100.1%</w:t>
      </w:r>
    </w:p>
    <w:p>
      <w:pPr>
        <w:rPr>
          <w:rFonts w:hint="default" w:eastAsia="宋体"/>
          <w:lang w:val="en-US" w:eastAsia="zh-CN"/>
        </w:rPr>
      </w:pPr>
    </w:p>
    <w:p>
      <w:pPr>
        <w:pStyle w:val="2"/>
        <w:rPr>
          <w:lang w:val="en-CA"/>
        </w:rPr>
      </w:pPr>
      <w:r>
        <w:rPr>
          <w:lang w:val="en-CA"/>
        </w:rPr>
        <w:t>Introduction</w:t>
      </w:r>
    </w:p>
    <w:p>
      <w:pPr>
        <w:pStyle w:val="3"/>
        <w:bidi w:val="0"/>
        <w:rPr>
          <w:lang w:val="en-CA"/>
        </w:rPr>
      </w:pPr>
      <w:r>
        <w:rPr>
          <w:rFonts w:hint="eastAsia" w:eastAsia="宋体"/>
          <w:lang w:val="en-US" w:eastAsia="zh-CN"/>
        </w:rPr>
        <w:t>FIBC</w:t>
      </w:r>
    </w:p>
    <w:p>
      <w:r>
        <w:rPr>
          <w:rFonts w:hint="eastAsia" w:eastAsia="宋体"/>
          <w:lang w:val="en-US" w:eastAsia="zh-CN"/>
        </w:rPr>
        <w:t>F</w:t>
      </w:r>
      <w:r>
        <w:t>iltered IBC</w:t>
      </w:r>
      <w:r>
        <w:rPr>
          <w:rFonts w:hint="eastAsia" w:eastAsia="宋体"/>
          <w:lang w:val="en-US" w:eastAsia="zh-CN"/>
        </w:rPr>
        <w:t xml:space="preserve"> (FIBC) [1]</w:t>
      </w:r>
      <w:r>
        <w:t xml:space="preserve"> mode is introduced</w:t>
      </w:r>
      <w:r>
        <w:rPr>
          <w:rFonts w:hint="eastAsia" w:eastAsia="宋体"/>
          <w:lang w:val="en-US" w:eastAsia="zh-CN"/>
        </w:rPr>
        <w:t xml:space="preserve"> in ECM-10.0</w:t>
      </w:r>
      <w:r>
        <w:t>, where a filter is applied to IBC predictor, which is derived by minimizing MSE between current and reference template.</w:t>
      </w:r>
    </w:p>
    <w:p>
      <w:r>
        <w:t>Output of the filter is calculated as follows:</w:t>
      </w:r>
    </w:p>
    <w:p>
      <w:pPr>
        <w:jc w:val="center"/>
        <w:rPr>
          <w:szCs w:val="22"/>
          <w:lang w:val="en-CA"/>
        </w:rPr>
      </w:pPr>
      <w:r>
        <w:rPr>
          <w:szCs w:val="22"/>
          <w:lang w:eastAsia="zh-CN"/>
        </w:rPr>
        <w:drawing>
          <wp:inline distT="0" distB="0" distL="0" distR="0">
            <wp:extent cx="781050" cy="723900"/>
            <wp:effectExtent l="0" t="0" r="11430" b="762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81050" cy="723900"/>
                    </a:xfrm>
                    <a:prstGeom prst="rect">
                      <a:avLst/>
                    </a:prstGeom>
                    <a:noFill/>
                    <a:ln>
                      <a:noFill/>
                    </a:ln>
                  </pic:spPr>
                </pic:pic>
              </a:graphicData>
            </a:graphic>
          </wp:inline>
        </w:drawing>
      </w:r>
    </w:p>
    <w:p>
      <w:pPr>
        <w:jc w:val="center"/>
        <w:rPr>
          <w:szCs w:val="22"/>
          <w:lang w:val="en-CA"/>
        </w:rPr>
      </w:pPr>
      <w:r>
        <w:rPr>
          <w:szCs w:val="22"/>
          <w:lang w:val="en-CA"/>
        </w:rPr>
        <w:t>Figure 1: Spatial part of the filter</w:t>
      </w:r>
    </w:p>
    <w:p/>
    <w:p>
      <w:r>
        <w:t>predLumaVal = c0C + c1N + c2S + c3E + c4W + c5P + c6B</w:t>
      </w:r>
    </w:p>
    <w:p>
      <w:r>
        <w:t>The nonlinear term P is represented as power of two of the center sample C and scaled to the sample value range of the content:</w:t>
      </w:r>
    </w:p>
    <w:p>
      <w:r>
        <w:tab/>
      </w:r>
      <w:r>
        <w:t>P = ( C*C + midVal ) &gt;&gt; bitDepth</w:t>
      </w:r>
    </w:p>
    <w:p>
      <w:r>
        <w:t>The bias term B represents a scalar offset between the input and output and is set to middle luma value (512 for 10-bit content).</w:t>
      </w:r>
    </w:p>
    <w:p>
      <w:pPr>
        <w:rPr>
          <w:szCs w:val="22"/>
          <w:lang w:val="en-CA"/>
        </w:rPr>
      </w:pPr>
    </w:p>
    <w:p>
      <w:pPr>
        <w:rPr>
          <w:szCs w:val="22"/>
          <w:lang w:val="en-CA"/>
        </w:rPr>
      </w:pPr>
      <w:r>
        <w:rPr>
          <w:szCs w:val="22"/>
          <w:lang w:val="en-CA"/>
        </w:rPr>
        <w:t xml:space="preserve">The filter coefficients ci are calculated by minimising the MSE between the reference template and current template, very similar to the CCCM process. </w:t>
      </w:r>
    </w:p>
    <w:p>
      <w:pPr>
        <w:rPr>
          <w:szCs w:val="22"/>
          <w:lang w:val="en-CA"/>
        </w:rPr>
      </w:pPr>
    </w:p>
    <w:p>
      <w:pPr>
        <w:keepNext w:val="0"/>
        <w:keepLines w:val="0"/>
        <w:suppressLineNumbers w:val="0"/>
        <w:spacing w:before="0" w:beforeAutospacing="0" w:after="0" w:afterAutospacing="0"/>
        <w:ind w:left="0" w:right="0"/>
        <w:rPr>
          <w:rFonts w:hint="eastAsia" w:eastAsia="宋体"/>
          <w:szCs w:val="22"/>
          <w:lang w:val="en-US" w:eastAsia="zh-CN"/>
        </w:rPr>
      </w:pPr>
      <w:r>
        <w:rPr>
          <w:rFonts w:hint="eastAsia"/>
          <w:szCs w:val="22"/>
          <w:lang w:val="en-CA"/>
        </w:rPr>
        <w:t>One extra indication flag is introduced for the FIBC which is signaled conditioned on the IBC-LIC flag. Specifically, when the IBC-LIC flag is true, the flag is signaled and used to indicate whether the FIBC is applied to the current block or not. For IBC merge modes, this filtering mode is inherited when merge mode list is constructed, so there is no extra signaling.</w:t>
      </w:r>
      <w:r>
        <w:rPr>
          <w:rFonts w:hint="eastAsia" w:eastAsia="宋体"/>
          <w:szCs w:val="22"/>
          <w:lang w:val="en-US" w:eastAsia="zh-CN"/>
        </w:rPr>
        <w:t xml:space="preserve"> FIBC is only enabled in SCC sequences</w:t>
      </w:r>
    </w:p>
    <w:p>
      <w:pPr>
        <w:rPr>
          <w:szCs w:val="22"/>
          <w:lang w:val="en-CA"/>
        </w:rPr>
      </w:pPr>
    </w:p>
    <w:p>
      <w:pPr>
        <w:rPr>
          <w:rFonts w:hint="eastAsia" w:eastAsia="宋体"/>
          <w:szCs w:val="22"/>
          <w:lang w:val="en-US" w:eastAsia="zh-CN"/>
        </w:rPr>
      </w:pPr>
      <w:r>
        <w:rPr>
          <w:rFonts w:hint="eastAsia" w:eastAsia="宋体"/>
          <w:szCs w:val="22"/>
          <w:lang w:val="en-US" w:eastAsia="zh-CN"/>
        </w:rPr>
        <w:t xml:space="preserve">However, in the IBC merge mode of ECM10.0, FIBC will be disabled when the merge candidate is come from the IntraTMP coded block, </w:t>
      </w:r>
    </w:p>
    <w:p>
      <w:pPr>
        <w:rPr>
          <w:rFonts w:hint="eastAsia" w:eastAsia="宋体"/>
          <w:szCs w:val="22"/>
          <w:lang w:val="en-US" w:eastAsia="zh-CN"/>
        </w:rPr>
      </w:pPr>
    </w:p>
    <w:p>
      <w:pPr>
        <w:pStyle w:val="3"/>
        <w:bidi w:val="0"/>
        <w:rPr>
          <w:rFonts w:hint="eastAsia"/>
          <w:lang w:val="en-US" w:eastAsia="zh-CN"/>
        </w:rPr>
      </w:pPr>
      <w:r>
        <w:rPr>
          <w:rFonts w:hint="eastAsia"/>
          <w:lang w:val="en-US" w:eastAsia="zh-CN"/>
        </w:rPr>
        <w:t>IntraTMP-FLM</w:t>
      </w:r>
    </w:p>
    <w:p>
      <w:pPr>
        <w:rPr>
          <w:rFonts w:hint="default" w:eastAsia="宋体"/>
          <w:szCs w:val="22"/>
          <w:lang w:val="en-US" w:eastAsia="zh-CN"/>
        </w:rPr>
      </w:pPr>
      <w:r>
        <w:rPr>
          <w:rFonts w:hint="eastAsia" w:eastAsia="宋体"/>
          <w:szCs w:val="22"/>
          <w:lang w:val="en-US" w:eastAsia="zh-CN"/>
        </w:rPr>
        <w:t xml:space="preserve">In ECM10.0, a linear filter is applied to the prediction of IntraTMP (IntraTMP-FLM) [2]. IntraTMP-FLM </w:t>
      </w:r>
      <w:r>
        <w:rPr>
          <w:szCs w:val="22"/>
          <w:lang w:val="en-CA"/>
        </w:rPr>
        <w:t>consist</w:t>
      </w:r>
      <w:r>
        <w:rPr>
          <w:rFonts w:hint="eastAsia" w:eastAsia="宋体"/>
          <w:szCs w:val="22"/>
          <w:lang w:val="en-US" w:eastAsia="zh-CN"/>
        </w:rPr>
        <w:t>s</w:t>
      </w:r>
      <w:r>
        <w:rPr>
          <w:szCs w:val="22"/>
          <w:lang w:val="en-CA"/>
        </w:rPr>
        <w:t xml:space="preserve"> of a 5-tap plus sign shape spatial component and a bias term. The input to the spatial 5-tap component of the filter consists of a center (C) sample in the reference block which is at corresponding locations with the sample in the current block to be predicted and its above/north (N), below/south (S), left/west (W) and right/east (E) neighbors as</w:t>
      </w:r>
      <w:r>
        <w:rPr>
          <w:rFonts w:hint="eastAsia" w:eastAsia="宋体"/>
          <w:szCs w:val="22"/>
          <w:lang w:val="en-US" w:eastAsia="zh-CN"/>
        </w:rPr>
        <w:t xml:space="preserve"> Fig1.</w:t>
      </w:r>
    </w:p>
    <w:p>
      <w:pPr>
        <w:jc w:val="left"/>
        <w:rPr>
          <w:szCs w:val="22"/>
          <w:lang w:val="en-CA"/>
        </w:rPr>
      </w:pPr>
      <w:r>
        <w:rPr>
          <w:szCs w:val="22"/>
          <w:lang w:val="en-CA"/>
        </w:rPr>
        <w:t>The bias term B represents a scalar offset between the input and output and is set to middle luma value (512 for 10-bit content).</w:t>
      </w:r>
    </w:p>
    <w:p>
      <w:pPr>
        <w:jc w:val="left"/>
        <w:rPr>
          <w:szCs w:val="22"/>
          <w:lang w:val="en-CA"/>
        </w:rPr>
      </w:pPr>
      <w:r>
        <w:rPr>
          <w:szCs w:val="22"/>
          <w:lang w:val="en-CA"/>
        </w:rPr>
        <w:t>Output of the filter is calculated as follows:</w:t>
      </w:r>
    </w:p>
    <w:p>
      <w:pPr>
        <w:jc w:val="center"/>
        <w:rPr>
          <w:szCs w:val="22"/>
          <w:lang w:val="en-CA"/>
        </w:rPr>
      </w:pPr>
      <w:r>
        <w:rPr>
          <w:szCs w:val="22"/>
          <w:lang w:val="en-CA"/>
        </w:rPr>
        <w:tab/>
      </w:r>
      <w:r>
        <w:rPr>
          <w:szCs w:val="22"/>
          <w:lang w:val="en-CA"/>
        </w:rPr>
        <w:t>predLumaVal = c0C + c1N + c2S + c3E + c4W + c5B</w:t>
      </w:r>
    </w:p>
    <w:p>
      <w:pPr>
        <w:jc w:val="left"/>
        <w:rPr>
          <w:szCs w:val="22"/>
          <w:lang w:val="en-CA"/>
        </w:rPr>
      </w:pPr>
      <w:r>
        <w:rPr>
          <w:szCs w:val="22"/>
          <w:lang w:val="en-CA"/>
        </w:rPr>
        <w:t xml:space="preserve">The filter coefficients ci are calculated by minimising the MSE between the reference template and current template, as shown in Fig2. </w:t>
      </w:r>
    </w:p>
    <w:p>
      <w:pPr>
        <w:jc w:val="center"/>
        <w:rPr>
          <w:lang w:val="en-CA"/>
        </w:rPr>
      </w:pPr>
      <w:r>
        <w:object>
          <v:shape id="_x0000_i1025" o:spt="75" type="#_x0000_t75" style="height:175.9pt;width:255.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jc w:val="center"/>
        <w:rPr>
          <w:rFonts w:hint="eastAsia" w:eastAsia="宋体"/>
          <w:szCs w:val="22"/>
          <w:lang w:val="en-US" w:eastAsia="zh-CN"/>
        </w:rPr>
      </w:pPr>
      <w:r>
        <w:rPr>
          <w:szCs w:val="22"/>
          <w:lang w:val="en-CA"/>
        </w:rPr>
        <w:t>Figure 2: Reference area used to derive the filter coefficients</w:t>
      </w:r>
    </w:p>
    <w:p>
      <w:pPr>
        <w:rPr>
          <w:rFonts w:hint="default" w:eastAsia="宋体"/>
          <w:szCs w:val="22"/>
          <w:lang w:val="en-US" w:eastAsia="zh-CN"/>
        </w:rPr>
      </w:pPr>
      <w:r>
        <w:rPr>
          <w:rFonts w:hint="default" w:eastAsia="宋体"/>
          <w:szCs w:val="22"/>
          <w:lang w:val="en-US" w:eastAsia="zh-CN"/>
        </w:rPr>
        <w:t>FIBC and IntraMTP</w:t>
      </w:r>
      <w:r>
        <w:rPr>
          <w:rFonts w:hint="eastAsia" w:eastAsia="宋体"/>
          <w:szCs w:val="22"/>
          <w:lang w:val="en-US" w:eastAsia="zh-CN"/>
        </w:rPr>
        <w:t>-FLM</w:t>
      </w:r>
      <w:r>
        <w:rPr>
          <w:rFonts w:hint="default" w:eastAsia="宋体"/>
          <w:szCs w:val="22"/>
          <w:lang w:val="en-US" w:eastAsia="zh-CN"/>
        </w:rPr>
        <w:t xml:space="preserve"> are basically the same, except for one nonlinear term</w:t>
      </w:r>
      <w:r>
        <w:rPr>
          <w:rFonts w:hint="eastAsia" w:eastAsia="宋体"/>
          <w:szCs w:val="22"/>
          <w:lang w:val="en-US" w:eastAsia="zh-CN"/>
        </w:rPr>
        <w:t>. Therefore, the FIBC flag can inherit the IntraTMP-FLM flag.</w:t>
      </w:r>
    </w:p>
    <w:p>
      <w:pPr>
        <w:rPr>
          <w:szCs w:val="22"/>
          <w:lang w:val="en-CA"/>
        </w:rPr>
      </w:pPr>
    </w:p>
    <w:p>
      <w:pPr>
        <w:pStyle w:val="2"/>
        <w:rPr>
          <w:lang w:val="en-CA"/>
        </w:rPr>
      </w:pPr>
      <w:r>
        <w:rPr>
          <w:rFonts w:hint="eastAsia"/>
          <w:lang w:val="en-CA"/>
        </w:rPr>
        <w:t>Proposed approach</w:t>
      </w:r>
    </w:p>
    <w:p>
      <w:pPr>
        <w:rPr>
          <w:rFonts w:hint="eastAsia" w:eastAsia="宋体"/>
          <w:lang w:val="en-US" w:eastAsia="zh-CN"/>
        </w:rPr>
      </w:pPr>
      <w:r>
        <w:rPr>
          <w:lang w:val="en-CA"/>
        </w:rPr>
        <w:t>In this contribution,</w:t>
      </w:r>
      <w:r>
        <w:t xml:space="preserve"> it is proposed that the </w:t>
      </w:r>
      <w:r>
        <w:rPr>
          <w:rFonts w:hint="eastAsia" w:eastAsia="宋体"/>
          <w:lang w:val="en-US" w:eastAsia="zh-CN"/>
        </w:rPr>
        <w:t>FIBC</w:t>
      </w:r>
      <w:r>
        <w:t xml:space="preserve"> flag can be inherited from </w:t>
      </w:r>
      <w:r>
        <w:rPr>
          <w:rFonts w:hint="eastAsia" w:eastAsia="宋体"/>
          <w:lang w:val="en-US" w:eastAsia="zh-CN"/>
        </w:rPr>
        <w:t>IntraTMP-FLM flag from</w:t>
      </w:r>
      <w:r>
        <w:t xml:space="preserve"> </w:t>
      </w:r>
      <w:r>
        <w:rPr>
          <w:rFonts w:hint="eastAsia" w:eastAsia="宋体"/>
          <w:lang w:val="en-US" w:eastAsia="zh-CN"/>
        </w:rPr>
        <w:t>IntraTMP</w:t>
      </w:r>
      <w:r>
        <w:t xml:space="preserve"> candidate</w:t>
      </w:r>
      <w:r>
        <w:rPr>
          <w:rFonts w:hint="eastAsia" w:eastAsia="宋体"/>
          <w:lang w:val="en-US" w:eastAsia="zh-CN"/>
        </w:rPr>
        <w:t>s.</w:t>
      </w:r>
    </w:p>
    <w:p>
      <w:pPr>
        <w:rPr>
          <w:rFonts w:hint="eastAsia" w:eastAsia="宋体"/>
          <w:lang w:val="en-US" w:eastAsia="zh-CN"/>
        </w:rPr>
      </w:pPr>
      <w:r>
        <w:rPr>
          <w:rFonts w:hint="eastAsia" w:eastAsia="宋体"/>
          <w:lang w:val="en-US" w:eastAsia="zh-CN"/>
        </w:rPr>
        <w:t xml:space="preserve">In the IBC merge mode, the FIBC flag </w:t>
      </w:r>
      <w:r>
        <w:rPr>
          <w:rFonts w:hint="eastAsia"/>
          <w:lang w:val="en-CA"/>
        </w:rPr>
        <w:t>is inferred from the merge candidate</w:t>
      </w:r>
      <w:r>
        <w:rPr>
          <w:rFonts w:hint="eastAsia" w:eastAsia="宋体"/>
          <w:lang w:val="en-US" w:eastAsia="zh-CN"/>
        </w:rPr>
        <w:t>. When the merge candidate is come from the IntraTMP coded block, the FIBC flag can be inferred through IntraTMP-FLM flag.</w:t>
      </w:r>
    </w:p>
    <w:p>
      <w:pPr>
        <w:numPr>
          <w:ilvl w:val="0"/>
          <w:numId w:val="2"/>
        </w:numPr>
        <w:ind w:left="420" w:leftChars="0" w:hanging="420" w:firstLineChars="0"/>
        <w:rPr>
          <w:lang w:val="en-CA"/>
        </w:rPr>
      </w:pPr>
      <w:r>
        <w:rPr>
          <w:rFonts w:hint="eastAsia" w:eastAsia="宋体"/>
          <w:lang w:val="en-US" w:eastAsia="zh-CN"/>
        </w:rPr>
        <w:t>When IntraTMP-FLM flag is true, FIBC flag is true;</w:t>
      </w:r>
    </w:p>
    <w:p>
      <w:pPr>
        <w:numPr>
          <w:ilvl w:val="0"/>
          <w:numId w:val="2"/>
        </w:numPr>
        <w:ind w:left="420" w:leftChars="0" w:hanging="420" w:firstLineChars="0"/>
        <w:rPr>
          <w:lang w:val="en-CA"/>
        </w:rPr>
      </w:pPr>
      <w:r>
        <w:rPr>
          <w:rFonts w:hint="eastAsia" w:eastAsia="宋体"/>
          <w:lang w:val="en-US" w:eastAsia="zh-CN"/>
        </w:rPr>
        <w:t>When IntraTMP-FLM flag is false, FIBC flag is false;</w:t>
      </w:r>
    </w:p>
    <w:p>
      <w:pPr>
        <w:rPr>
          <w:lang w:val="en-CA"/>
        </w:rPr>
      </w:pPr>
    </w:p>
    <w:p>
      <w:pPr>
        <w:pStyle w:val="2"/>
        <w:rPr>
          <w:lang w:val="en-CA"/>
        </w:rPr>
      </w:pPr>
      <w:r>
        <w:rPr>
          <w:rFonts w:hint="eastAsia"/>
          <w:lang w:val="en-CA"/>
        </w:rPr>
        <w:t>Experimental results</w:t>
      </w:r>
    </w:p>
    <w:p>
      <w:r>
        <w:t>The proposed method was implemented based on ECM-</w:t>
      </w:r>
      <w:r>
        <w:rPr>
          <w:rFonts w:hint="eastAsia" w:eastAsia="宋体"/>
          <w:lang w:val="en-US" w:eastAsia="zh-CN"/>
        </w:rPr>
        <w:t>10</w:t>
      </w:r>
      <w:r>
        <w:t>.0 under common test condition [</w:t>
      </w:r>
      <w:r>
        <w:rPr>
          <w:rFonts w:hint="eastAsia" w:eastAsia="宋体"/>
          <w:lang w:val="en-US" w:eastAsia="zh-CN"/>
        </w:rPr>
        <w:t>3</w:t>
      </w:r>
      <w:r>
        <w:t>]. Table 1 presents a summary of the results with all intra configurations.</w:t>
      </w:r>
    </w:p>
    <w:p>
      <w:pPr>
        <w:rPr>
          <w:lang w:val="en-CA"/>
        </w:rPr>
      </w:pPr>
      <w:bookmarkStart w:id="1" w:name="_GoBack"/>
      <w:bookmarkEnd w:id="1"/>
    </w:p>
    <w:p>
      <w:pPr>
        <w:keepNext/>
        <w:keepLines/>
        <w:jc w:val="center"/>
        <w:rPr>
          <w:szCs w:val="22"/>
          <w:lang w:val="en-CA"/>
        </w:rPr>
      </w:pPr>
      <w:r>
        <w:rPr>
          <w:rFonts w:eastAsia="Malgun Gothic"/>
          <w:b/>
          <w:lang w:eastAsia="ko-KR"/>
        </w:rPr>
        <w:t>Table 1. Simulation results of the proposed method</w:t>
      </w:r>
    </w:p>
    <w:tbl>
      <w:tblPr>
        <w:tblStyle w:val="15"/>
        <w:tblW w:w="6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7"/>
        <w:gridCol w:w="1089"/>
        <w:gridCol w:w="1089"/>
        <w:gridCol w:w="1089"/>
        <w:gridCol w:w="1136"/>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5400" w:type="dxa"/>
            <w:gridSpan w:val="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All Intra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Over ECM-</w:t>
            </w:r>
            <w:r>
              <w:rPr>
                <w:rFonts w:hint="eastAsia" w:ascii="Times New Roman" w:hAnsi="Times New Roman" w:eastAsia="宋体" w:cs="Times New Roman"/>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Y</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V</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EncT</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Class F</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0.04%</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100.4%</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Class TGM</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-0.03%</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-0.03%</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100.2%</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100.1%</w:t>
            </w:r>
          </w:p>
        </w:tc>
      </w:tr>
    </w:tbl>
    <w:p>
      <w:pPr>
        <w:rPr>
          <w:szCs w:val="22"/>
          <w:lang w:val="en-CA"/>
        </w:rPr>
      </w:pPr>
    </w:p>
    <w:p>
      <w:pPr>
        <w:pStyle w:val="2"/>
        <w:rPr>
          <w:rFonts w:hint="eastAsia" w:cs="Arial"/>
          <w:lang w:val="en-CA"/>
        </w:rPr>
      </w:pPr>
      <w:r>
        <w:rPr>
          <w:rFonts w:hint="eastAsia" w:cs="Arial"/>
          <w:lang w:val="en-CA"/>
        </w:rPr>
        <w:t>References</w:t>
      </w:r>
    </w:p>
    <w:p>
      <w:pPr>
        <w:pStyle w:val="31"/>
        <w:numPr>
          <w:ilvl w:val="0"/>
          <w:numId w:val="3"/>
        </w:numPr>
        <w:tabs>
          <w:tab w:val="clear" w:pos="360"/>
        </w:tabs>
        <w:overflowPunct/>
        <w:autoSpaceDE/>
        <w:adjustRightInd/>
        <w:spacing w:before="0"/>
        <w:textAlignment w:val="auto"/>
        <w:rPr>
          <w:lang w:val="en-CA"/>
        </w:rPr>
      </w:pPr>
      <w:bookmarkStart w:id="0" w:name="_Ref75879176"/>
      <w:r>
        <w:rPr>
          <w:rFonts w:hint="eastAsia" w:eastAsia="宋体"/>
          <w:lang w:val="en-US" w:eastAsia="zh-CN"/>
        </w:rPr>
        <w:t xml:space="preserve">H.-J. Jhu, et. al., </w:t>
      </w:r>
      <w:r>
        <w:rPr>
          <w:rFonts w:hint="default" w:eastAsia="宋体"/>
          <w:lang w:val="en-US" w:eastAsia="zh-CN"/>
        </w:rPr>
        <w:t>“EE2-2.5: Filtered Intra Block Copy (FIBC)</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JVET-AE-159, July 2023.</w:t>
      </w:r>
    </w:p>
    <w:p>
      <w:pPr>
        <w:pStyle w:val="31"/>
        <w:numPr>
          <w:ilvl w:val="0"/>
          <w:numId w:val="3"/>
        </w:numPr>
        <w:tabs>
          <w:tab w:val="clear" w:pos="360"/>
        </w:tabs>
        <w:overflowPunct/>
        <w:autoSpaceDE/>
        <w:adjustRightInd/>
        <w:spacing w:before="0"/>
        <w:textAlignment w:val="auto"/>
        <w:rPr>
          <w:lang w:val="en-CA"/>
        </w:rPr>
      </w:pPr>
      <w:r>
        <w:rPr>
          <w:rFonts w:hint="eastAsia" w:eastAsia="宋体"/>
          <w:lang w:val="en-US" w:eastAsia="zh-CN"/>
        </w:rPr>
        <w:t xml:space="preserve">J.-Y. Huo, et. al., </w:t>
      </w:r>
      <w:r>
        <w:rPr>
          <w:rFonts w:hint="default" w:eastAsia="宋体"/>
          <w:lang w:val="en-US" w:eastAsia="zh-CN"/>
        </w:rPr>
        <w:t>“EE2-1.15a: Intra template matching (Intra TMP) based on linear filter model</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JVET-AD0112, April 2023.</w:t>
      </w:r>
    </w:p>
    <w:p>
      <w:pPr>
        <w:pStyle w:val="31"/>
        <w:numPr>
          <w:ilvl w:val="0"/>
          <w:numId w:val="3"/>
        </w:numPr>
        <w:tabs>
          <w:tab w:val="clear" w:pos="360"/>
        </w:tabs>
        <w:overflowPunct/>
        <w:autoSpaceDE/>
        <w:adjustRightInd/>
        <w:spacing w:before="0"/>
        <w:textAlignment w:val="auto"/>
        <w:rPr>
          <w:lang w:val="en-CA"/>
        </w:rPr>
      </w:pPr>
      <w:r>
        <w:rPr>
          <w:rFonts w:eastAsia="宋体"/>
          <w:lang w:val="en-CA"/>
        </w:rPr>
        <w:t>M. Karczewicz, et. al., “Common Test Conditions and evaluation procedures for enhanced compression tool testing,” JVET-Y2017, February 2022.</w:t>
      </w:r>
      <w:bookmarkEnd w:id="0"/>
    </w:p>
    <w:p>
      <w:pPr>
        <w:rPr>
          <w:szCs w:val="22"/>
          <w:lang w:val="en-CA"/>
        </w:rPr>
      </w:pPr>
    </w:p>
    <w:p>
      <w:pPr>
        <w:pStyle w:val="2"/>
        <w:rPr>
          <w:lang w:val="en-CA"/>
        </w:rPr>
      </w:pPr>
      <w:r>
        <w:rPr>
          <w:lang w:val="en-CA"/>
        </w:rPr>
        <w:t>Patent rights declaration(s)</w:t>
      </w:r>
    </w:p>
    <w:p>
      <w:pPr>
        <w:rPr>
          <w:szCs w:val="22"/>
          <w:lang w:val="en-CA"/>
        </w:rPr>
      </w:pPr>
      <w:r>
        <w:rPr>
          <w:rFonts w:hint="eastAsia"/>
          <w:b/>
          <w:szCs w:val="22"/>
          <w:lang w:eastAsia="zh-CN"/>
        </w:rPr>
        <w:t>ZTE</w:t>
      </w:r>
      <w:r>
        <w:rPr>
          <w:b/>
          <w:szCs w:val="22"/>
          <w:lang w:val="en-CA"/>
        </w:rPr>
        <w:t xml:space="preserve"> Corporation</w:t>
      </w:r>
      <w:r>
        <w:rPr>
          <w:rFonts w:hint="eastAsia" w:eastAsia="宋体"/>
          <w:b/>
          <w:szCs w:val="22"/>
          <w:lang w:val="en-US" w:eastAsia="zh-CN"/>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r>
      <w:rPr>
        <w:rStyle w:val="17"/>
      </w:rPr>
      <w:t>2023-09-26</w:t>
    </w:r>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4036B"/>
    <w:multiLevelType w:val="singleLevel"/>
    <w:tmpl w:val="A6E4036B"/>
    <w:lvl w:ilvl="0" w:tentative="0">
      <w:start w:val="1"/>
      <w:numFmt w:val="bullet"/>
      <w:lvlText w:val=""/>
      <w:lvlJc w:val="left"/>
      <w:pPr>
        <w:ind w:left="420" w:hanging="42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3B9"/>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9C6055F"/>
    <w:rsid w:val="0A6B0F0F"/>
    <w:rsid w:val="0D1C4972"/>
    <w:rsid w:val="0DDB56E6"/>
    <w:rsid w:val="0DEB0FB1"/>
    <w:rsid w:val="11F30E0B"/>
    <w:rsid w:val="15F200AD"/>
    <w:rsid w:val="1A314705"/>
    <w:rsid w:val="285266B5"/>
    <w:rsid w:val="2BB21A18"/>
    <w:rsid w:val="2C341A92"/>
    <w:rsid w:val="344F6C19"/>
    <w:rsid w:val="3C983932"/>
    <w:rsid w:val="3E952DFC"/>
    <w:rsid w:val="4A693DA2"/>
    <w:rsid w:val="4C8B7218"/>
    <w:rsid w:val="4F14474A"/>
    <w:rsid w:val="5C0A5F69"/>
    <w:rsid w:val="687412A4"/>
    <w:rsid w:val="694806C9"/>
    <w:rsid w:val="72C83E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Überschrift 2 Zchn"/>
    <w:link w:val="3"/>
    <w:qFormat/>
    <w:uiPriority w:val="0"/>
    <w:rPr>
      <w:b/>
      <w:bCs/>
      <w:i/>
      <w:iCs/>
      <w:sz w:val="28"/>
      <w:szCs w:val="28"/>
      <w:lang w:eastAsia="en-US"/>
    </w:rPr>
  </w:style>
  <w:style w:type="character" w:customStyle="1" w:styleId="21">
    <w:name w:val="Überschrift 3 Zchn"/>
    <w:link w:val="4"/>
    <w:qFormat/>
    <w:uiPriority w:val="0"/>
    <w:rPr>
      <w:b/>
      <w:bCs/>
      <w:sz w:val="26"/>
      <w:szCs w:val="26"/>
      <w:lang w:eastAsia="en-US"/>
    </w:rPr>
  </w:style>
  <w:style w:type="character" w:customStyle="1" w:styleId="22">
    <w:name w:val="Überschrift 4 Zchn"/>
    <w:link w:val="5"/>
    <w:qFormat/>
    <w:uiPriority w:val="0"/>
    <w:rPr>
      <w:rFonts w:ascii="Times New Roman Bold" w:hAnsi="Times New Roman Bold"/>
      <w:b/>
      <w:bCs/>
      <w:sz w:val="24"/>
      <w:szCs w:val="28"/>
    </w:rPr>
  </w:style>
  <w:style w:type="character" w:customStyle="1" w:styleId="23">
    <w:name w:val="Überschrift 5 Zchn"/>
    <w:link w:val="6"/>
    <w:qFormat/>
    <w:uiPriority w:val="0"/>
    <w:rPr>
      <w:b/>
      <w:bCs/>
      <w:i/>
      <w:iCs/>
      <w:sz w:val="24"/>
      <w:szCs w:val="26"/>
    </w:rPr>
  </w:style>
  <w:style w:type="character" w:customStyle="1" w:styleId="24">
    <w:name w:val="Überschrift 6 Zchn"/>
    <w:link w:val="7"/>
    <w:qFormat/>
    <w:uiPriority w:val="0"/>
    <w:rPr>
      <w:b/>
      <w:bCs/>
      <w:sz w:val="22"/>
      <w:szCs w:val="22"/>
      <w:lang w:eastAsia="en-US"/>
    </w:rPr>
  </w:style>
  <w:style w:type="character" w:customStyle="1" w:styleId="25">
    <w:name w:val="Überschrift 7 Zchn"/>
    <w:link w:val="8"/>
    <w:qFormat/>
    <w:uiPriority w:val="0"/>
    <w:rPr>
      <w:sz w:val="22"/>
      <w:szCs w:val="24"/>
    </w:rPr>
  </w:style>
  <w:style w:type="character" w:customStyle="1" w:styleId="26">
    <w:name w:val="Überschrift 8 Zchn"/>
    <w:link w:val="9"/>
    <w:qFormat/>
    <w:uiPriority w:val="0"/>
    <w:rPr>
      <w:i/>
      <w:iCs/>
      <w:sz w:val="22"/>
      <w:szCs w:val="24"/>
    </w:rPr>
  </w:style>
  <w:style w:type="character" w:customStyle="1" w:styleId="27">
    <w:name w:val="Überschrift 9 Zchn"/>
    <w:link w:val="10"/>
    <w:qFormat/>
    <w:uiPriority w:val="0"/>
    <w:rPr>
      <w:b/>
      <w:sz w:val="22"/>
      <w:szCs w:val="22"/>
      <w:lang w:eastAsia="en-US"/>
    </w:rPr>
  </w:style>
  <w:style w:type="character" w:customStyle="1" w:styleId="28">
    <w:name w:val="Dokumentstruktur Zchn"/>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 w:type="paragraph" w:styleId="3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1189</Words>
  <Characters>7495</Characters>
  <Lines>62</Lines>
  <Paragraphs>17</Paragraphs>
  <TotalTime>2</TotalTime>
  <ScaleCrop>false</ScaleCrop>
  <LinksUpToDate>false</LinksUpToDate>
  <CharactersWithSpaces>8667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2023-07-23T13:07:00Z</dcterms:created>
  <dc:creator>Gary J. Sullivan &amp; Jens-Rainer Ohm</dc:creator>
  <cp:keywords>JCT-VC, MPEG, VCEG</cp:keywords>
  <cp:lastModifiedBy>贾梦虎10332089</cp:lastModifiedBy>
  <cp:lastPrinted>2411-12-31T08:00:00Z</cp:lastPrinted>
  <dcterms:modified xsi:type="dcterms:W3CDTF">2023-10-06T07:12:06Z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7208A78AD38D4633B3EEA4CEC3B3837D</vt:lpwstr>
  </property>
</Properties>
</file>