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0740AB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E7C57">
              <w:rPr>
                <w:lang w:val="en-CA"/>
              </w:rPr>
              <w:t>0157</w:t>
            </w:r>
            <w:r w:rsidR="006A0E5C" w:rsidRPr="006A0E5C">
              <w:rPr>
                <w:lang w:val="en-CA"/>
              </w:rPr>
              <w:t>-v</w:t>
            </w:r>
            <w:r w:rsidR="001E7C5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83905E" w:rsidR="00E61DAC" w:rsidRPr="005B217D" w:rsidRDefault="00BD78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EE2-3.2-related: IBC </w:t>
            </w:r>
            <w:r w:rsidR="008C4A48">
              <w:rPr>
                <w:b/>
                <w:szCs w:val="22"/>
                <w:lang w:val="en-CA"/>
              </w:rPr>
              <w:t>Adaptation</w:t>
            </w:r>
            <w:r>
              <w:rPr>
                <w:b/>
                <w:szCs w:val="22"/>
                <w:lang w:val="en-CA"/>
              </w:rPr>
              <w:t xml:space="preserve"> for Camera-Captured Contents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F9BC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8D5B7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19F4D8" w:rsidR="0061540A" w:rsidRPr="005B217D" w:rsidRDefault="006154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A53AD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xujizheng@bytedane.com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2685DF" w:rsidR="00E61DAC" w:rsidRPr="005B217D" w:rsidRDefault="006F65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A86BEA" w14:textId="2FAD4FD6" w:rsidR="00BD314F" w:rsidRPr="001152F3" w:rsidRDefault="00861F75" w:rsidP="008C4A48">
      <w:pPr>
        <w:rPr>
          <w:rFonts w:eastAsia="SimSun"/>
          <w:szCs w:val="20"/>
          <w:lang w:val="en-CA"/>
        </w:rPr>
      </w:pPr>
      <w:r>
        <w:rPr>
          <w:szCs w:val="22"/>
          <w:lang w:val="en-CA"/>
        </w:rPr>
        <w:t xml:space="preserve">This contrubution </w:t>
      </w:r>
      <w:r w:rsidR="008C4A48">
        <w:rPr>
          <w:szCs w:val="22"/>
          <w:lang w:val="en-CA"/>
        </w:rPr>
        <w:t>describes an IBC adaption scheme based on EE2-3.2 and presents the IBC-on results.</w:t>
      </w:r>
    </w:p>
    <w:p w14:paraId="1539A21D" w14:textId="3E596C5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9E0214" w14:textId="4508B24E" w:rsidR="001152F3" w:rsidRPr="001152F3" w:rsidRDefault="00C9074F" w:rsidP="00C9074F">
      <w:pPr>
        <w:jc w:val="both"/>
        <w:rPr>
          <w:lang w:val="en-CA"/>
        </w:rPr>
      </w:pPr>
      <w:r>
        <w:rPr>
          <w:lang w:val="en-CA"/>
        </w:rPr>
        <w:t xml:space="preserve">IBC is an effective tool for screen content coding. It also shows </w:t>
      </w:r>
      <w:r w:rsidR="008C4A48">
        <w:rPr>
          <w:lang w:val="en-CA"/>
        </w:rPr>
        <w:t>coding efficiency improvement for some camera-capture contents</w:t>
      </w:r>
      <w:r>
        <w:rPr>
          <w:lang w:val="en-CA"/>
        </w:rPr>
        <w:t xml:space="preserve"> at the cost of significant amount of encoding time increase. This contribution describes an IBC adaption scheme based on EE2-3.2 </w:t>
      </w:r>
      <w:r w:rsidR="003F1A83">
        <w:rPr>
          <w:lang w:val="en-CA"/>
        </w:rPr>
        <w:t xml:space="preserve">[1] </w:t>
      </w:r>
      <w:r>
        <w:rPr>
          <w:lang w:val="en-CA"/>
        </w:rPr>
        <w:t>software and shows that IBC can obtain good coding gains at a controllable increase of encoding time.</w:t>
      </w:r>
    </w:p>
    <w:p w14:paraId="0B674F2D" w14:textId="2B4044F1" w:rsidR="006F655A" w:rsidRDefault="006F655A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8C4A48">
        <w:rPr>
          <w:lang w:val="en-CA"/>
        </w:rPr>
        <w:t>scheme</w:t>
      </w:r>
    </w:p>
    <w:p w14:paraId="7473A85B" w14:textId="2E6B2718" w:rsidR="00E35AF2" w:rsidRDefault="009D3FAF" w:rsidP="00A00CAD">
      <w:pPr>
        <w:jc w:val="both"/>
        <w:rPr>
          <w:lang w:val="en-CA"/>
        </w:rPr>
      </w:pPr>
      <w:r>
        <w:rPr>
          <w:lang w:val="en-CA"/>
        </w:rPr>
        <w:t xml:space="preserve">The proposed scheme is based on EE2-3.2 software. </w:t>
      </w:r>
      <w:r w:rsidR="005056FA">
        <w:rPr>
          <w:lang w:val="en-CA"/>
        </w:rPr>
        <w:t xml:space="preserve">The decoder is exactly the same as EE2-3.2 when CTU size is 128x128. It means that the </w:t>
      </w:r>
      <w:r w:rsidR="00C9074F">
        <w:rPr>
          <w:lang w:val="en-CA"/>
        </w:rPr>
        <w:t>the reference area for IBC is extended to two CTU-rows above the current CTU, as shown in Figure 1</w:t>
      </w:r>
      <w:r w:rsidR="00885B78">
        <w:rPr>
          <w:lang w:val="en-CA"/>
        </w:rPr>
        <w:t>.</w:t>
      </w:r>
      <w:r w:rsidR="00E35AF2" w:rsidRPr="00E35AF2">
        <w:rPr>
          <w:lang w:val="en-CA"/>
        </w:rPr>
        <w:t xml:space="preserve"> </w:t>
      </w:r>
      <w:r w:rsidR="00E35AF2">
        <w:rPr>
          <w:lang w:val="en-CA"/>
        </w:rPr>
        <w:t>Specifically, for CTU (m,n) to be coded, the reference area includes CTUs with index (m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2)…(W,</w:t>
      </w:r>
      <w:r w:rsidR="00E35AF2">
        <w:rPr>
          <w:lang w:val="en-CA"/>
        </w:rPr>
        <w:t>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2),(0,n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1)…(W,n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1),(0,n)…(m,n), where W denotes the maximum horizontal index within the current picture.</w:t>
      </w:r>
    </w:p>
    <w:p w14:paraId="1050D34A" w14:textId="34626C12" w:rsidR="009D3FAF" w:rsidRDefault="009D3FAF" w:rsidP="00A00CAD">
      <w:pPr>
        <w:jc w:val="both"/>
        <w:rPr>
          <w:lang w:val="en-CA"/>
        </w:rPr>
      </w:pPr>
      <w:r>
        <w:rPr>
          <w:lang w:val="en-CA"/>
        </w:rPr>
        <w:t>However, when CTU size is 256x256, which is the default setting in coding of classA sequences, two additional rows of CTU above may require extra memory.</w:t>
      </w:r>
      <w:r w:rsidR="005056FA">
        <w:rPr>
          <w:lang w:val="en-CA"/>
        </w:rPr>
        <w:t xml:space="preserve"> To keep IBC from using extra memory, </w:t>
      </w:r>
      <w:r w:rsidR="00E35AF2">
        <w:rPr>
          <w:lang w:val="en-CA"/>
        </w:rPr>
        <w:t xml:space="preserve">when CTU size is 256x256, the reference area is shown in Figure 2. Specifically, assume that the current CTU index is (m, n), </w:t>
      </w:r>
      <w:r w:rsidR="00A00CAD">
        <w:rPr>
          <w:lang w:val="en-CA"/>
        </w:rPr>
        <w:t xml:space="preserve">the reference area includes </w:t>
      </w:r>
      <w:r w:rsidR="00E35AF2">
        <w:rPr>
          <w:lang w:val="en-CA"/>
        </w:rPr>
        <w:t>CTUs with index (0,n)…(m,n) and (m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1,n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1)…(W,n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1).</w:t>
      </w:r>
    </w:p>
    <w:p w14:paraId="3ED8D14C" w14:textId="3D339F98" w:rsidR="00A00CAD" w:rsidRDefault="00A00CAD" w:rsidP="00A00CAD">
      <w:pPr>
        <w:jc w:val="both"/>
        <w:rPr>
          <w:lang w:val="en-CA"/>
        </w:rPr>
      </w:pPr>
      <w:r>
        <w:rPr>
          <w:lang w:val="en-CA"/>
        </w:rPr>
        <w:t>Besides the change of EE2-3.2 decoder when CTU size is 256x256, the encoder of EE2-3.2 is modified to limit the per-sample block vector search (or called local search) range to be [</w:t>
      </w:r>
      <w:r w:rsidRPr="00144F40">
        <w:rPr>
          <w:rFonts w:eastAsia="SimSun"/>
          <w:lang w:val="en-CA"/>
        </w:rPr>
        <w:t>–</w:t>
      </w:r>
      <w:r>
        <w:rPr>
          <w:lang w:val="en-CA"/>
        </w:rPr>
        <w:t>12,12] horizontally and [</w:t>
      </w:r>
      <w:r w:rsidRPr="00144F40">
        <w:rPr>
          <w:rFonts w:eastAsia="SimSun"/>
          <w:lang w:val="en-CA"/>
        </w:rPr>
        <w:t>–</w:t>
      </w:r>
      <w:r>
        <w:rPr>
          <w:lang w:val="en-CA"/>
        </w:rPr>
        <w:t>12,12]</w:t>
      </w:r>
      <w:r w:rsidR="001E7C57">
        <w:rPr>
          <w:lang w:val="en-CA"/>
        </w:rPr>
        <w:t xml:space="preserve"> vertically</w:t>
      </w:r>
      <w:r>
        <w:rPr>
          <w:lang w:val="en-CA"/>
        </w:rPr>
        <w:t xml:space="preserve"> centered at the first block vector predictor</w:t>
      </w:r>
      <w:r w:rsidR="0098685F">
        <w:rPr>
          <w:lang w:val="en-CA"/>
        </w:rPr>
        <w:t xml:space="preserve"> for each IBC block.</w:t>
      </w:r>
    </w:p>
    <w:p w14:paraId="0E6D4B92" w14:textId="681946F2" w:rsidR="00924ED9" w:rsidRDefault="00924ED9" w:rsidP="00054C0D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CC3B26B" wp14:editId="45F250E4">
            <wp:extent cx="4826442" cy="2654543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5237" cy="265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D5DB3" w14:textId="40681847" w:rsidR="00924ED9" w:rsidRDefault="00774560" w:rsidP="0079682F">
      <w:pPr>
        <w:rPr>
          <w:lang w:val="en-CA"/>
        </w:rPr>
      </w:pPr>
      <w:r>
        <w:rPr>
          <w:lang w:val="en-CA"/>
        </w:rPr>
        <w:t xml:space="preserve">Figure 1. Reference area for IBC when CTU </w:t>
      </w:r>
      <w:r w:rsidR="009D3FAF">
        <w:rPr>
          <w:lang w:val="en-CA"/>
        </w:rPr>
        <w:t>size is 128x128</w:t>
      </w:r>
      <w:r>
        <w:rPr>
          <w:lang w:val="en-CA"/>
        </w:rPr>
        <w:t>. The green and blue blocks denote the reference area while the white blocks denote invalid reference area.</w:t>
      </w:r>
    </w:p>
    <w:p w14:paraId="747843CA" w14:textId="77777777" w:rsidR="005056FA" w:rsidRDefault="005056FA" w:rsidP="0079682F">
      <w:pPr>
        <w:rPr>
          <w:lang w:val="en-CA"/>
        </w:rPr>
      </w:pPr>
    </w:p>
    <w:p w14:paraId="5695FE39" w14:textId="47CCE06A" w:rsidR="005056FA" w:rsidRDefault="005056FA" w:rsidP="005056FA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B8A91B1" wp14:editId="6E040E69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A2C16" w14:textId="247BE760" w:rsidR="005056FA" w:rsidRDefault="005056FA" w:rsidP="005056FA">
      <w:pPr>
        <w:jc w:val="center"/>
        <w:rPr>
          <w:lang w:val="en-CA"/>
        </w:rPr>
      </w:pPr>
      <w:r>
        <w:rPr>
          <w:lang w:val="en-CA"/>
        </w:rPr>
        <w:t>Figure 2. Reference area for IBC when CTU size is 256x256.</w:t>
      </w:r>
    </w:p>
    <w:p w14:paraId="6B25DE42" w14:textId="77777777" w:rsidR="009D3FAF" w:rsidRPr="0079682F" w:rsidRDefault="009D3FAF" w:rsidP="0079682F">
      <w:pPr>
        <w:rPr>
          <w:lang w:val="en-CA"/>
        </w:rPr>
      </w:pPr>
    </w:p>
    <w:p w14:paraId="7C01A12F" w14:textId="47C27066" w:rsidR="00FE6DFD" w:rsidRDefault="00FE6DFD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95ED046" w14:textId="275F55E7" w:rsidR="00F94181" w:rsidRPr="00F94181" w:rsidRDefault="00F94181" w:rsidP="00F94181">
      <w:pPr>
        <w:rPr>
          <w:lang w:val="en-CA" w:eastAsia="en-US"/>
        </w:rPr>
      </w:pPr>
      <w:r>
        <w:rPr>
          <w:lang w:val="en-CA" w:eastAsia="en-US"/>
        </w:rPr>
        <w:t xml:space="preserve">Table 1. The summarized result </w:t>
      </w:r>
      <w:r w:rsidR="00760DCB">
        <w:rPr>
          <w:lang w:val="en-CA" w:eastAsia="en-US"/>
        </w:rPr>
        <w:t xml:space="preserve">of the modified software with IBC on </w:t>
      </w:r>
      <w:r>
        <w:rPr>
          <w:lang w:val="en-CA" w:eastAsia="en-US"/>
        </w:rPr>
        <w:t>compared with ECM-4.0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60DCB" w14:paraId="782FD75D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4149" w14:textId="77777777" w:rsidR="00760DCB" w:rsidRDefault="00760DC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14AD1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60DCB" w14:paraId="69B9D94D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07C4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4CEAF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760DCB" w14:paraId="0A10AE82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54FD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249C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03F14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A3E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CB34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927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60DCB" w14:paraId="69C9ABB9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6B7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D36C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BC5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055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A8DC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E539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1DA2D9CE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C753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A34E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AD64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CF29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3F39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33B1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32BB030C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78C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FB9A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1B3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BF69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DBFC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3F45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61A66BBD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BA0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64A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618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9D15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F4D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972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0DCB" w14:paraId="5433DC9A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10D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15F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729C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B37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ED78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08BB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4721DD29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E4A6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92F0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EAD5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F1E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F761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F564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345DE84E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53F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53E5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17B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7331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19B8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9431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60DCB" w14:paraId="098CB38D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BD4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DE1B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63B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15E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487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A9C4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7651663C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D88C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7921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3D40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3595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95B5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D3A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2C0E0507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115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44A4" w14:textId="77777777" w:rsidR="00760DCB" w:rsidRDefault="0076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16DA" w14:textId="77777777" w:rsidR="00760DCB" w:rsidRDefault="0076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89C7" w14:textId="77777777" w:rsidR="00760DCB" w:rsidRDefault="0076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764D" w14:textId="77777777" w:rsidR="00760DCB" w:rsidRDefault="0076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4E1A" w14:textId="77777777" w:rsidR="00760DCB" w:rsidRDefault="00760DCB">
            <w:pPr>
              <w:jc w:val="center"/>
              <w:rPr>
                <w:sz w:val="20"/>
                <w:szCs w:val="20"/>
              </w:rPr>
            </w:pPr>
          </w:p>
        </w:tc>
      </w:tr>
      <w:tr w:rsidR="00760DCB" w14:paraId="5E8FB206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9F42" w14:textId="77777777" w:rsidR="00760DCB" w:rsidRDefault="0076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165EB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60DCB" w14:paraId="50D48ADB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7F39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68EE4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760DCB" w14:paraId="71B01BA8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DF16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DF535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4BE28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DE71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5940E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B25A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60DCB" w14:paraId="1AB008F2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EAB4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B9C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F971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233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D38A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37D1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5D28AB63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F258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1048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6CCC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DBBA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2DBC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63DB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475CDFEA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E534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FFD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B001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C21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FC1A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26F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57235963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6F138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C9B0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1E5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81F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A77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945B0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0DCB" w14:paraId="2C50690E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0CE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968A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14C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308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711B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C5F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0DCB" w14:paraId="5C466F51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1860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EFF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CA4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BC73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3E6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B8DB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22DC6775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5464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2B4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8640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2815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7781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93D0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0DCB" w14:paraId="1A91FD2C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C59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67F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244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994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1E6E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1463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2B11BD4D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475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FC3F3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181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24B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71C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AB2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1B179A00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0D69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5832" w14:textId="77777777" w:rsidR="00760DCB" w:rsidRDefault="0076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7B51" w14:textId="77777777" w:rsidR="00760DCB" w:rsidRDefault="0076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7D5B" w14:textId="77777777" w:rsidR="00760DCB" w:rsidRDefault="0076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0F56" w14:textId="77777777" w:rsidR="00760DCB" w:rsidRDefault="0076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12B7" w14:textId="77777777" w:rsidR="00760DCB" w:rsidRDefault="00760DCB">
            <w:pPr>
              <w:jc w:val="center"/>
              <w:rPr>
                <w:sz w:val="20"/>
                <w:szCs w:val="20"/>
              </w:rPr>
            </w:pPr>
          </w:p>
        </w:tc>
      </w:tr>
      <w:tr w:rsidR="00760DCB" w14:paraId="5D83C56A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C037" w14:textId="77777777" w:rsidR="00760DCB" w:rsidRDefault="0076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9E0D9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60DCB" w14:paraId="6594F119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5298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257F3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760DCB" w14:paraId="5BB89A27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3489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6272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37DB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70B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B455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5765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60DCB" w14:paraId="29488813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A98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68D3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685B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2EB9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238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03D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0DCB" w14:paraId="071ED53B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133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49A1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74F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DD08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74EA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1C5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0DCB" w14:paraId="2DACC682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6DE9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725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2B4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1B0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E73C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F25D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263DEC32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3235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F1F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B0D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5550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9CA0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99A9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7350A56B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011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DCA0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C23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748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098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25982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51AAB1A4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E7DD" w14:textId="77777777" w:rsidR="00760DCB" w:rsidRDefault="00760DC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FBF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696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B4A6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F84E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A46E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32A5F32E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C014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89BF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2CFE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E67E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1790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B418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0DCB" w14:paraId="5D06011E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0C4C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7841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3BBE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B1AE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28E4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9403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60DCB" w14:paraId="11C05C07" w14:textId="77777777" w:rsidTr="00E3297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C76C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046D0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96577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6024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4415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7AEF9" w14:textId="77777777" w:rsidR="00760DCB" w:rsidRDefault="00760D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6CF0D9B" w14:textId="3B214A5A" w:rsidR="00F94181" w:rsidRDefault="00F94181" w:rsidP="00F94181">
      <w:pPr>
        <w:rPr>
          <w:lang w:val="en-CA"/>
        </w:rPr>
      </w:pPr>
    </w:p>
    <w:p w14:paraId="072E420E" w14:textId="312EC7D2" w:rsidR="00D51F7D" w:rsidRPr="00F94181" w:rsidRDefault="00D51F7D" w:rsidP="009C5B71">
      <w:pPr>
        <w:jc w:val="both"/>
        <w:rPr>
          <w:lang w:val="en-CA"/>
        </w:rPr>
      </w:pPr>
      <w:r>
        <w:rPr>
          <w:lang w:val="en-CA"/>
        </w:rPr>
        <w:t xml:space="preserve">The detailed results can be found in the accompanying excel file. </w:t>
      </w:r>
      <w:r w:rsidR="00944B7F">
        <w:rPr>
          <w:lang w:val="en-CA"/>
        </w:rPr>
        <w:t xml:space="preserve">By adapting the IBC tool, it shows that IBC can achieve good gains </w:t>
      </w:r>
      <w:r w:rsidR="00C859B5">
        <w:rPr>
          <w:lang w:val="en-CA"/>
        </w:rPr>
        <w:t xml:space="preserve">for ECM-4.0 </w:t>
      </w:r>
      <w:r w:rsidR="00944B7F">
        <w:rPr>
          <w:lang w:val="en-CA"/>
        </w:rPr>
        <w:t>considering th</w:t>
      </w:r>
      <w:r w:rsidR="00C859B5">
        <w:rPr>
          <w:lang w:val="en-CA"/>
        </w:rPr>
        <w:t>at for AI coding, every 1% bit-saving needs about 22% encoding time increase compared with VTM-11.0ecm</w:t>
      </w:r>
      <w:r w:rsidR="009C5B71">
        <w:rPr>
          <w:lang w:val="en-CA"/>
        </w:rPr>
        <w:t xml:space="preserve"> [2]</w:t>
      </w:r>
      <w:r w:rsidR="00944B7F">
        <w:rPr>
          <w:lang w:val="en-CA"/>
        </w:rPr>
        <w:t>.</w:t>
      </w:r>
      <w:r w:rsidR="0066341B">
        <w:rPr>
          <w:lang w:val="en-CA"/>
        </w:rPr>
        <w:t xml:space="preserve"> Thus, it is proposed to enable the </w:t>
      </w:r>
      <w:r w:rsidR="001813B9">
        <w:rPr>
          <w:lang w:val="en-CA"/>
        </w:rPr>
        <w:t xml:space="preserve">modified </w:t>
      </w:r>
      <w:r w:rsidR="0066341B">
        <w:rPr>
          <w:lang w:val="en-CA"/>
        </w:rPr>
        <w:t>IBC tool for</w:t>
      </w:r>
      <w:r w:rsidR="004B470E">
        <w:rPr>
          <w:lang w:val="en-CA"/>
        </w:rPr>
        <w:t xml:space="preserve"> the</w:t>
      </w:r>
      <w:r w:rsidR="0066341B">
        <w:rPr>
          <w:lang w:val="en-CA"/>
        </w:rPr>
        <w:t xml:space="preserve"> camera-captured sequences from classA to classE.</w:t>
      </w:r>
    </w:p>
    <w:p w14:paraId="78340684" w14:textId="51FD4309" w:rsidR="00924ED9" w:rsidRDefault="00924ED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1E44C1C" w14:textId="588073BB" w:rsidR="00924ED9" w:rsidRDefault="00924ED9" w:rsidP="009C5B71">
      <w:pPr>
        <w:jc w:val="both"/>
        <w:rPr>
          <w:lang w:val="en-CA"/>
        </w:rPr>
      </w:pPr>
      <w:r>
        <w:rPr>
          <w:lang w:val="en-CA"/>
        </w:rPr>
        <w:t xml:space="preserve">[1] J. Xu,  </w:t>
      </w:r>
      <w:r w:rsidR="00760DCB">
        <w:rPr>
          <w:lang w:val="en-CA"/>
        </w:rPr>
        <w:t xml:space="preserve">N. Zhang, </w:t>
      </w:r>
      <w:r>
        <w:rPr>
          <w:lang w:val="en-CA"/>
        </w:rPr>
        <w:t>“</w:t>
      </w:r>
      <w:r w:rsidR="005E01CC" w:rsidRPr="005E01CC">
        <w:rPr>
          <w:lang w:val="en-CA"/>
        </w:rPr>
        <w:t>EE2-3.2: IBC Reference Area Extension</w:t>
      </w:r>
      <w:r>
        <w:rPr>
          <w:lang w:val="en-CA"/>
        </w:rPr>
        <w:t>,” JVET-</w:t>
      </w:r>
      <w:r w:rsidR="00760DCB">
        <w:rPr>
          <w:lang w:val="en-CA"/>
        </w:rPr>
        <w:t>Z0153</w:t>
      </w:r>
    </w:p>
    <w:p w14:paraId="52E4B54F" w14:textId="366FA051" w:rsidR="009C5B71" w:rsidRPr="00924ED9" w:rsidRDefault="009C5B71" w:rsidP="009C5B71">
      <w:pPr>
        <w:jc w:val="both"/>
        <w:rPr>
          <w:lang w:val="en-CA"/>
        </w:rPr>
      </w:pPr>
      <w:r>
        <w:rPr>
          <w:lang w:val="en-CA"/>
        </w:rPr>
        <w:t xml:space="preserve">[2] </w:t>
      </w:r>
      <w:r w:rsidRPr="009C5B71">
        <w:rPr>
          <w:lang w:val="en-CA"/>
        </w:rPr>
        <w:t>V. Seregin, J. Chen, F. Le Léannec, K. Zhang</w:t>
      </w:r>
      <w:r>
        <w:rPr>
          <w:lang w:val="en-CA"/>
        </w:rPr>
        <w:t>, “</w:t>
      </w:r>
      <w:r w:rsidRPr="009C5B71">
        <w:rPr>
          <w:lang w:val="en-CA"/>
        </w:rPr>
        <w:t>JVET AHG report: ECM software development (AHG6)</w:t>
      </w:r>
      <w:r>
        <w:rPr>
          <w:lang w:val="en-CA"/>
        </w:rPr>
        <w:t>,” JVET-Z0006</w:t>
      </w:r>
    </w:p>
    <w:p w14:paraId="5F0CF8E4" w14:textId="4F93E7E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4E59D0" w:rsidR="00342FF4" w:rsidRPr="005B217D" w:rsidRDefault="006F655A" w:rsidP="008F3D4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DEA86F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6A5C3" w14:textId="77777777" w:rsidR="00CD30F7" w:rsidRDefault="00CD30F7">
      <w:r>
        <w:separator/>
      </w:r>
    </w:p>
  </w:endnote>
  <w:endnote w:type="continuationSeparator" w:id="0">
    <w:p w14:paraId="12882562" w14:textId="77777777" w:rsidR="00CD30F7" w:rsidRDefault="00CD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72E0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6DD2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48D7E" w14:textId="77777777" w:rsidR="00CD30F7" w:rsidRDefault="00CD30F7">
      <w:r>
        <w:separator/>
      </w:r>
    </w:p>
  </w:footnote>
  <w:footnote w:type="continuationSeparator" w:id="0">
    <w:p w14:paraId="4A0DD43E" w14:textId="77777777" w:rsidR="00CD30F7" w:rsidRDefault="00CD3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33327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8099857">
    <w:abstractNumId w:val="9"/>
  </w:num>
  <w:num w:numId="3" w16cid:durableId="1439789548">
    <w:abstractNumId w:val="8"/>
  </w:num>
  <w:num w:numId="4" w16cid:durableId="576983356">
    <w:abstractNumId w:val="6"/>
  </w:num>
  <w:num w:numId="5" w16cid:durableId="724597248">
    <w:abstractNumId w:val="7"/>
  </w:num>
  <w:num w:numId="6" w16cid:durableId="543518663">
    <w:abstractNumId w:val="4"/>
  </w:num>
  <w:num w:numId="7" w16cid:durableId="24714454">
    <w:abstractNumId w:val="5"/>
  </w:num>
  <w:num w:numId="8" w16cid:durableId="1665087101">
    <w:abstractNumId w:val="4"/>
  </w:num>
  <w:num w:numId="9" w16cid:durableId="329022399">
    <w:abstractNumId w:val="1"/>
  </w:num>
  <w:num w:numId="10" w16cid:durableId="127360014">
    <w:abstractNumId w:val="3"/>
  </w:num>
  <w:num w:numId="11" w16cid:durableId="142704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C0D"/>
    <w:rsid w:val="00065039"/>
    <w:rsid w:val="0007614F"/>
    <w:rsid w:val="0007673D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1B00"/>
    <w:rsid w:val="000F158C"/>
    <w:rsid w:val="00102F3D"/>
    <w:rsid w:val="001152F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3B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C5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4A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D4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A83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470E"/>
    <w:rsid w:val="004B6071"/>
    <w:rsid w:val="004B6170"/>
    <w:rsid w:val="004D405F"/>
    <w:rsid w:val="004E4F4F"/>
    <w:rsid w:val="004E6789"/>
    <w:rsid w:val="004F0BA0"/>
    <w:rsid w:val="004F61E3"/>
    <w:rsid w:val="00502E10"/>
    <w:rsid w:val="0050354E"/>
    <w:rsid w:val="005056FA"/>
    <w:rsid w:val="0051015C"/>
    <w:rsid w:val="00516CF1"/>
    <w:rsid w:val="00517BBD"/>
    <w:rsid w:val="00531AE9"/>
    <w:rsid w:val="005354F3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1CC"/>
    <w:rsid w:val="005E1AC6"/>
    <w:rsid w:val="005E3F2B"/>
    <w:rsid w:val="005F6F1B"/>
    <w:rsid w:val="0061540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41B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655A"/>
    <w:rsid w:val="006F7528"/>
    <w:rsid w:val="007023DE"/>
    <w:rsid w:val="00712F60"/>
    <w:rsid w:val="007152A3"/>
    <w:rsid w:val="00720E3B"/>
    <w:rsid w:val="0074393F"/>
    <w:rsid w:val="00745F6B"/>
    <w:rsid w:val="0075175B"/>
    <w:rsid w:val="0075585E"/>
    <w:rsid w:val="00760DCB"/>
    <w:rsid w:val="00770571"/>
    <w:rsid w:val="00774560"/>
    <w:rsid w:val="007768FF"/>
    <w:rsid w:val="007824D3"/>
    <w:rsid w:val="0079682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1F75"/>
    <w:rsid w:val="0086387C"/>
    <w:rsid w:val="00874A6C"/>
    <w:rsid w:val="00876C65"/>
    <w:rsid w:val="00882F72"/>
    <w:rsid w:val="00885B78"/>
    <w:rsid w:val="00893DC4"/>
    <w:rsid w:val="008A147E"/>
    <w:rsid w:val="008A4B4C"/>
    <w:rsid w:val="008C239F"/>
    <w:rsid w:val="008C4A48"/>
    <w:rsid w:val="008E480C"/>
    <w:rsid w:val="008F3D45"/>
    <w:rsid w:val="00907757"/>
    <w:rsid w:val="009212B0"/>
    <w:rsid w:val="00921FA1"/>
    <w:rsid w:val="009234A5"/>
    <w:rsid w:val="00924ED9"/>
    <w:rsid w:val="00933453"/>
    <w:rsid w:val="009336F7"/>
    <w:rsid w:val="0093636C"/>
    <w:rsid w:val="009374A7"/>
    <w:rsid w:val="00937F03"/>
    <w:rsid w:val="00944B7F"/>
    <w:rsid w:val="00955F6D"/>
    <w:rsid w:val="00977C16"/>
    <w:rsid w:val="0098551D"/>
    <w:rsid w:val="00985DCB"/>
    <w:rsid w:val="0098685F"/>
    <w:rsid w:val="0099518F"/>
    <w:rsid w:val="009A4A00"/>
    <w:rsid w:val="009A523D"/>
    <w:rsid w:val="009B02A1"/>
    <w:rsid w:val="009B115A"/>
    <w:rsid w:val="009B3361"/>
    <w:rsid w:val="009B7F3F"/>
    <w:rsid w:val="009C5B71"/>
    <w:rsid w:val="009C686F"/>
    <w:rsid w:val="009D3FAF"/>
    <w:rsid w:val="009D7CE6"/>
    <w:rsid w:val="009E448E"/>
    <w:rsid w:val="009F496B"/>
    <w:rsid w:val="00A00CAD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6DD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14F"/>
    <w:rsid w:val="00BD787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9B5"/>
    <w:rsid w:val="00C90650"/>
    <w:rsid w:val="00C9074F"/>
    <w:rsid w:val="00C97D78"/>
    <w:rsid w:val="00CC2AAE"/>
    <w:rsid w:val="00CC5A42"/>
    <w:rsid w:val="00CD0EAB"/>
    <w:rsid w:val="00CD30F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1F7D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2970"/>
    <w:rsid w:val="00E35AF2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50C"/>
    <w:rsid w:val="00EA5AE0"/>
    <w:rsid w:val="00EB29AA"/>
    <w:rsid w:val="00EB56E1"/>
    <w:rsid w:val="00EB663F"/>
    <w:rsid w:val="00EB7AB1"/>
    <w:rsid w:val="00EC32BD"/>
    <w:rsid w:val="00EE7CD8"/>
    <w:rsid w:val="00EF37F6"/>
    <w:rsid w:val="00EF48CC"/>
    <w:rsid w:val="00F00801"/>
    <w:rsid w:val="00F2488D"/>
    <w:rsid w:val="00F601A0"/>
    <w:rsid w:val="00F63930"/>
    <w:rsid w:val="00F712E9"/>
    <w:rsid w:val="00F73032"/>
    <w:rsid w:val="00F848FC"/>
    <w:rsid w:val="00F906F6"/>
    <w:rsid w:val="00F9282A"/>
    <w:rsid w:val="00F94181"/>
    <w:rsid w:val="00F96BAD"/>
    <w:rsid w:val="00FA139D"/>
    <w:rsid w:val="00FA60F5"/>
    <w:rsid w:val="00FB0E84"/>
    <w:rsid w:val="00FC2405"/>
    <w:rsid w:val="00FD01C2"/>
    <w:rsid w:val="00FE595C"/>
    <w:rsid w:val="00FE6D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181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5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35</cp:revision>
  <cp:lastPrinted>1900-01-01T08:00:00Z</cp:lastPrinted>
  <dcterms:created xsi:type="dcterms:W3CDTF">2022-02-08T08:21:00Z</dcterms:created>
  <dcterms:modified xsi:type="dcterms:W3CDTF">2022-04-14T05:45:00Z</dcterms:modified>
</cp:coreProperties>
</file>