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4F9701F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AD0FF01" w:rsidR="008A4B4C" w:rsidRPr="000E7317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02124">
              <w:rPr>
                <w:lang w:val="en-CA"/>
              </w:rPr>
              <w:t>W0172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A1C66A" w:rsidR="00E61DAC" w:rsidRPr="005B217D" w:rsidRDefault="00A637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On conformance point of high throughput profile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4A597A" w:rsidR="00E61DAC" w:rsidRPr="005B217D" w:rsidRDefault="00C87E77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>
              <w:rPr>
                <w:szCs w:val="22"/>
                <w:lang w:val="en-CA" w:eastAsia="ja-JP"/>
              </w:rPr>
              <w:t>nput document of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6EF939" w:rsidR="00E61DAC" w:rsidRPr="005B217D" w:rsidRDefault="00C87E77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roposal</w:t>
            </w:r>
          </w:p>
        </w:tc>
      </w:tr>
      <w:tr w:rsidR="00CF44AE" w:rsidRPr="005B217D" w14:paraId="714CD808" w14:textId="77777777" w:rsidTr="000962AC">
        <w:tc>
          <w:tcPr>
            <w:tcW w:w="1458" w:type="dxa"/>
          </w:tcPr>
          <w:p w14:paraId="4DB59313" w14:textId="77777777" w:rsidR="00CF44AE" w:rsidRPr="005B217D" w:rsidRDefault="00CF44AE" w:rsidP="00CF44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5B6FBC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ja-JP"/>
              </w:rPr>
              <w:t>Kei Kawamura</w:t>
            </w:r>
            <w:r w:rsidR="00A6372D">
              <w:rPr>
                <w:szCs w:val="22"/>
                <w:lang w:eastAsia="ja-JP"/>
              </w:rPr>
              <w:br/>
              <w:t>Kyohei Unno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3903D4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 w:rsidR="00A6372D">
              <w:rPr>
                <w:rFonts w:hint="eastAsia"/>
                <w:szCs w:val="22"/>
                <w:lang w:val="en-CA" w:eastAsia="ja-JP"/>
              </w:rPr>
              <w:t>80</w:t>
            </w:r>
            <w:r w:rsidR="00A6372D">
              <w:rPr>
                <w:szCs w:val="22"/>
                <w:lang w:val="en-CA" w:eastAsia="ja-JP"/>
              </w:rPr>
              <w:t xml:space="preserve"> </w:t>
            </w:r>
            <w:r w:rsidR="00A6372D">
              <w:rPr>
                <w:rFonts w:hint="eastAsia"/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r w:rsidR="00A6372D">
              <w:rPr>
                <w:szCs w:val="22"/>
                <w:lang w:val="en-CA" w:eastAsia="ja-JP"/>
              </w:rPr>
              <w:t>ki-kawamura</w:t>
            </w:r>
            <w:r w:rsidRPr="00E434DB">
              <w:rPr>
                <w:szCs w:val="22"/>
                <w:lang w:val="en-CA" w:eastAsia="ja-JP"/>
              </w:rPr>
              <w:t>@kddi.com</w:t>
            </w:r>
          </w:p>
        </w:tc>
      </w:tr>
      <w:tr w:rsidR="00CF44AE" w:rsidRPr="005B217D" w14:paraId="49AFAA61" w14:textId="77777777" w:rsidTr="000962AC">
        <w:tc>
          <w:tcPr>
            <w:tcW w:w="1458" w:type="dxa"/>
          </w:tcPr>
          <w:p w14:paraId="2C08AF6B" w14:textId="77777777" w:rsidR="00CF44AE" w:rsidRPr="005B217D" w:rsidRDefault="00CF44AE" w:rsidP="00CF44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3C480E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6C71E4" w14:textId="5964847D" w:rsidR="00A6372D" w:rsidRDefault="00A6372D" w:rsidP="00DD605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 proposes an additional conformance point for high throughput condition</w:t>
      </w:r>
      <w:r w:rsidR="00021634"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 in operation-range extensions profile. The current buffer model with hypothetical reference decoder in VVC is well defined for both theoretical and implementation point-of-view. When the VVC is used for mezzanine compression</w:t>
      </w:r>
      <w:r w:rsidR="00775DA2">
        <w:rPr>
          <w:lang w:val="en-CA" w:eastAsia="ja-JP"/>
        </w:rPr>
        <w:t xml:space="preserve"> and/or video editing</w:t>
      </w:r>
      <w:r>
        <w:rPr>
          <w:lang w:val="en-CA" w:eastAsia="ja-JP"/>
        </w:rPr>
        <w:t>, decoding latency may be unstable due to the CABAC throughput for some implementation. In this contribution, a</w:t>
      </w:r>
      <w:r w:rsidR="00775DA2">
        <w:rPr>
          <w:lang w:val="en-CA" w:eastAsia="ja-JP"/>
        </w:rPr>
        <w:t>n additional</w:t>
      </w:r>
      <w:r>
        <w:rPr>
          <w:lang w:val="en-CA" w:eastAsia="ja-JP"/>
        </w:rPr>
        <w:t xml:space="preserve"> conformance point for </w:t>
      </w:r>
      <w:r w:rsidR="00021634">
        <w:rPr>
          <w:lang w:val="en-CA" w:eastAsia="ja-JP"/>
        </w:rPr>
        <w:t xml:space="preserve">the </w:t>
      </w:r>
      <w:r>
        <w:rPr>
          <w:lang w:val="en-CA" w:eastAsia="ja-JP"/>
        </w:rPr>
        <w:t>high throughput case</w:t>
      </w:r>
      <w:r w:rsidR="00021634">
        <w:rPr>
          <w:lang w:val="en-CA" w:eastAsia="ja-JP"/>
        </w:rPr>
        <w:t>s</w:t>
      </w:r>
      <w:r>
        <w:rPr>
          <w:lang w:val="en-CA" w:eastAsia="ja-JP"/>
        </w:rPr>
        <w:t xml:space="preserve"> is proposed based on </w:t>
      </w:r>
      <w:r w:rsidR="00021634">
        <w:rPr>
          <w:lang w:val="en-CA" w:eastAsia="ja-JP"/>
        </w:rPr>
        <w:t xml:space="preserve">a </w:t>
      </w:r>
      <w:r>
        <w:rPr>
          <w:lang w:val="en-CA" w:eastAsia="ja-JP"/>
        </w:rPr>
        <w:t>bit allocation of each frame</w:t>
      </w:r>
      <w:r w:rsidR="002536AD">
        <w:rPr>
          <w:lang w:val="en-CA" w:eastAsia="ja-JP"/>
        </w:rPr>
        <w:t>.</w:t>
      </w:r>
    </w:p>
    <w:p w14:paraId="7D2AC1F0" w14:textId="700C182E" w:rsidR="00745F6B" w:rsidRPr="005B217D" w:rsidRDefault="00FD3184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73EE9B9C" w14:textId="08BC5A87" w:rsidR="00FD3184" w:rsidRDefault="00FD3184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the current VVC specification, conformance check is realized by the buffer model with hypothetical reference decoder (HRD)</w:t>
      </w:r>
      <w:r w:rsidR="00CD65BE">
        <w:rPr>
          <w:lang w:val="en-CA" w:eastAsia="ja-JP"/>
        </w:rPr>
        <w:t xml:space="preserve"> </w:t>
      </w:r>
      <w:bookmarkStart w:id="0" w:name="_Hlk74824667"/>
      <w:r w:rsidR="00CD65BE">
        <w:rPr>
          <w:szCs w:val="22"/>
          <w:lang w:val="en-CA"/>
        </w:rPr>
        <w:fldChar w:fldCharType="begin"/>
      </w:r>
      <w:r w:rsidR="00CD65BE">
        <w:rPr>
          <w:szCs w:val="22"/>
          <w:lang w:val="en-CA"/>
        </w:rPr>
        <w:instrText xml:space="preserve"> REF _Ref74757334 \r \h </w:instrText>
      </w:r>
      <w:r w:rsidR="00CD65BE">
        <w:rPr>
          <w:szCs w:val="22"/>
          <w:lang w:val="en-CA"/>
        </w:rPr>
      </w:r>
      <w:r w:rsidR="00CD65BE">
        <w:rPr>
          <w:szCs w:val="22"/>
          <w:lang w:val="en-CA"/>
        </w:rPr>
        <w:fldChar w:fldCharType="separate"/>
      </w:r>
      <w:r w:rsidR="00CD65BE">
        <w:rPr>
          <w:szCs w:val="22"/>
          <w:lang w:val="en-CA"/>
        </w:rPr>
        <w:t>[1]</w:t>
      </w:r>
      <w:r w:rsidR="00CD65BE">
        <w:rPr>
          <w:szCs w:val="22"/>
          <w:lang w:val="en-CA"/>
        </w:rPr>
        <w:fldChar w:fldCharType="end"/>
      </w:r>
      <w:bookmarkEnd w:id="0"/>
      <w:r>
        <w:rPr>
          <w:lang w:val="en-CA" w:eastAsia="ja-JP"/>
        </w:rPr>
        <w:t>. This model is well defined for a typical bitrate range such as secondary distribution and consumer usage. Various picture structures</w:t>
      </w:r>
      <w:r w:rsidR="00775DA2">
        <w:rPr>
          <w:lang w:val="en-CA" w:eastAsia="ja-JP"/>
        </w:rPr>
        <w:t xml:space="preserve"> are also well handled such as</w:t>
      </w:r>
      <w:r>
        <w:rPr>
          <w:lang w:val="en-CA" w:eastAsia="ja-JP"/>
        </w:rPr>
        <w:t xml:space="preserve"> IBBP, hierarchical B, low-delay, and so on. Required CABAC throughput is also reasonable for hardware implementation. </w:t>
      </w:r>
      <w:r w:rsidR="00021634">
        <w:rPr>
          <w:lang w:val="en-CA" w:eastAsia="ja-JP"/>
        </w:rPr>
        <w:t>The b</w:t>
      </w:r>
      <w:r w:rsidR="00775DA2">
        <w:rPr>
          <w:lang w:val="en-CA" w:eastAsia="ja-JP"/>
        </w:rPr>
        <w:t xml:space="preserve">in-to-bit ratio is well controlled </w:t>
      </w:r>
      <w:r w:rsidR="00021634">
        <w:rPr>
          <w:lang w:val="en-CA" w:eastAsia="ja-JP"/>
        </w:rPr>
        <w:t>at</w:t>
      </w:r>
      <w:r w:rsidR="00775DA2">
        <w:rPr>
          <w:lang w:val="en-CA" w:eastAsia="ja-JP"/>
        </w:rPr>
        <w:t xml:space="preserve"> the design level. </w:t>
      </w:r>
      <w:r>
        <w:rPr>
          <w:lang w:val="en-CA" w:eastAsia="ja-JP"/>
        </w:rPr>
        <w:t xml:space="preserve">For the ultra-low delay case, </w:t>
      </w:r>
      <w:r w:rsidR="00021634">
        <w:rPr>
          <w:lang w:val="en-CA" w:eastAsia="ja-JP"/>
        </w:rPr>
        <w:t xml:space="preserve">the </w:t>
      </w:r>
      <w:r>
        <w:rPr>
          <w:lang w:val="en-CA" w:eastAsia="ja-JP"/>
        </w:rPr>
        <w:t>decoding unit is also defined to reduce the codec delay without a large bit bucket.</w:t>
      </w:r>
      <w:r w:rsidR="005A6E95">
        <w:rPr>
          <w:lang w:val="en-CA" w:eastAsia="ja-JP"/>
        </w:rPr>
        <w:t xml:space="preserve"> </w:t>
      </w:r>
      <w:r w:rsidR="00021634">
        <w:rPr>
          <w:lang w:val="en-CA" w:eastAsia="ja-JP"/>
        </w:rPr>
        <w:t>T</w:t>
      </w:r>
      <w:r w:rsidR="005A6E95">
        <w:rPr>
          <w:lang w:val="en-CA" w:eastAsia="ja-JP"/>
        </w:rPr>
        <w:t>heoretically speaking, HRD can work independent</w:t>
      </w:r>
      <w:r w:rsidR="00021634">
        <w:rPr>
          <w:lang w:val="en-CA" w:eastAsia="ja-JP"/>
        </w:rPr>
        <w:t>ly</w:t>
      </w:r>
      <w:r w:rsidR="005A6E95">
        <w:rPr>
          <w:lang w:val="en-CA" w:eastAsia="ja-JP"/>
        </w:rPr>
        <w:t xml:space="preserve"> to the bitrate.</w:t>
      </w:r>
    </w:p>
    <w:p w14:paraId="32AF833E" w14:textId="3FED4FF9" w:rsidR="00FD3184" w:rsidRDefault="00FD3184" w:rsidP="009234A5">
      <w:pPr>
        <w:rPr>
          <w:lang w:val="en-CA" w:eastAsia="ja-JP"/>
        </w:rPr>
      </w:pPr>
      <w:r>
        <w:rPr>
          <w:lang w:val="en-CA" w:eastAsia="ja-JP"/>
        </w:rPr>
        <w:t xml:space="preserve">For the professional user, </w:t>
      </w:r>
      <w:r w:rsidR="00021634">
        <w:rPr>
          <w:lang w:val="en-CA" w:eastAsia="ja-JP"/>
        </w:rPr>
        <w:t xml:space="preserve">a required </w:t>
      </w:r>
      <w:r>
        <w:rPr>
          <w:lang w:val="en-CA" w:eastAsia="ja-JP"/>
        </w:rPr>
        <w:t xml:space="preserve">bitrate </w:t>
      </w:r>
      <w:r w:rsidR="00021634">
        <w:rPr>
          <w:lang w:val="en-CA" w:eastAsia="ja-JP"/>
        </w:rPr>
        <w:t xml:space="preserve">level </w:t>
      </w:r>
      <w:r>
        <w:rPr>
          <w:lang w:val="en-CA" w:eastAsia="ja-JP"/>
        </w:rPr>
        <w:t xml:space="preserve">may increase </w:t>
      </w:r>
      <w:r w:rsidR="00CD65BE">
        <w:rPr>
          <w:lang w:val="en-CA" w:eastAsia="ja-JP"/>
        </w:rPr>
        <w:t xml:space="preserve">because users </w:t>
      </w:r>
      <w:r w:rsidR="00775DA2">
        <w:rPr>
          <w:lang w:val="en-CA" w:eastAsia="ja-JP"/>
        </w:rPr>
        <w:t>desire</w:t>
      </w:r>
      <w:r>
        <w:rPr>
          <w:lang w:val="en-CA" w:eastAsia="ja-JP"/>
        </w:rPr>
        <w:t xml:space="preserve"> </w:t>
      </w:r>
      <w:r w:rsidR="00775DA2">
        <w:rPr>
          <w:lang w:val="en-CA" w:eastAsia="ja-JP"/>
        </w:rPr>
        <w:t xml:space="preserve">to </w:t>
      </w:r>
      <w:r>
        <w:rPr>
          <w:lang w:val="en-CA" w:eastAsia="ja-JP"/>
        </w:rPr>
        <w:t>maintain the content quality as primary distribution or mezzanine compression</w:t>
      </w:r>
      <w:r w:rsidR="00CD65BE">
        <w:rPr>
          <w:lang w:val="en-CA" w:eastAsia="ja-JP"/>
        </w:rPr>
        <w:t xml:space="preserve"> level</w:t>
      </w:r>
      <w:r>
        <w:rPr>
          <w:lang w:val="en-CA" w:eastAsia="ja-JP"/>
        </w:rPr>
        <w:t>.</w:t>
      </w:r>
      <w:r w:rsidR="005A6E95">
        <w:rPr>
          <w:lang w:val="en-CA" w:eastAsia="ja-JP"/>
        </w:rPr>
        <w:t xml:space="preserve"> </w:t>
      </w:r>
      <w:r w:rsidR="00775DA2">
        <w:rPr>
          <w:lang w:val="en-CA" w:eastAsia="ja-JP"/>
        </w:rPr>
        <w:t>For video editing use-cases, frame</w:t>
      </w:r>
      <w:r w:rsidR="00021634">
        <w:rPr>
          <w:lang w:val="en-CA" w:eastAsia="ja-JP"/>
        </w:rPr>
        <w:t>-</w:t>
      </w:r>
      <w:r w:rsidR="00775DA2">
        <w:rPr>
          <w:lang w:val="en-CA" w:eastAsia="ja-JP"/>
        </w:rPr>
        <w:t xml:space="preserve">level access is also required. </w:t>
      </w:r>
      <w:r w:rsidR="005A6E95">
        <w:rPr>
          <w:lang w:val="en-CA" w:eastAsia="ja-JP"/>
        </w:rPr>
        <w:t xml:space="preserve">Decoding delay is dominated by CABAC throughput because the following decoding process is independent </w:t>
      </w:r>
      <w:r w:rsidR="00021634">
        <w:rPr>
          <w:lang w:val="en-CA" w:eastAsia="ja-JP"/>
        </w:rPr>
        <w:t xml:space="preserve">of </w:t>
      </w:r>
      <w:r w:rsidR="005A6E95">
        <w:rPr>
          <w:lang w:val="en-CA" w:eastAsia="ja-JP"/>
        </w:rPr>
        <w:t xml:space="preserve">the bitrate. </w:t>
      </w:r>
      <w:r w:rsidR="00775DA2">
        <w:rPr>
          <w:lang w:val="en-CA" w:eastAsia="ja-JP"/>
        </w:rPr>
        <w:t xml:space="preserve">A bypass bin mechanism is included in the throughput. </w:t>
      </w:r>
      <w:r w:rsidR="005A6E95">
        <w:rPr>
          <w:lang w:val="en-CA" w:eastAsia="ja-JP"/>
        </w:rPr>
        <w:t>When the bit amounts are equally allocated to each frame, a decoding delay is also stable. On the other hand, the unequal bit amounts cause unstable decoding delay</w:t>
      </w:r>
      <w:r w:rsidR="00721503">
        <w:rPr>
          <w:lang w:val="en-CA" w:eastAsia="ja-JP"/>
        </w:rPr>
        <w:t xml:space="preserve">. Such </w:t>
      </w:r>
      <w:r w:rsidR="00021634">
        <w:rPr>
          <w:lang w:val="en-CA" w:eastAsia="ja-JP"/>
        </w:rPr>
        <w:t xml:space="preserve">a </w:t>
      </w:r>
      <w:r w:rsidR="00721503">
        <w:rPr>
          <w:lang w:val="en-CA" w:eastAsia="ja-JP"/>
        </w:rPr>
        <w:t xml:space="preserve">situation is undesirable for </w:t>
      </w:r>
      <w:r w:rsidR="00021634">
        <w:rPr>
          <w:lang w:val="en-CA" w:eastAsia="ja-JP"/>
        </w:rPr>
        <w:t xml:space="preserve">professional </w:t>
      </w:r>
      <w:r w:rsidR="00721503">
        <w:rPr>
          <w:lang w:val="en-CA" w:eastAsia="ja-JP"/>
        </w:rPr>
        <w:t>use cases.</w:t>
      </w:r>
    </w:p>
    <w:p w14:paraId="75BD4533" w14:textId="6EE33D20" w:rsidR="00721503" w:rsidRDefault="00721503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o solve the above situation, an additional conformance point is useful for high throughput cases.</w:t>
      </w:r>
      <w:r w:rsidR="00D517D2">
        <w:rPr>
          <w:lang w:val="en-CA" w:eastAsia="ja-JP"/>
        </w:rPr>
        <w:t xml:space="preserve"> Furthermore, required CABAC throughput in </w:t>
      </w:r>
      <w:r w:rsidR="00021634">
        <w:rPr>
          <w:lang w:val="en-CA" w:eastAsia="ja-JP"/>
        </w:rPr>
        <w:t xml:space="preserve">the </w:t>
      </w:r>
      <w:r w:rsidR="00D517D2">
        <w:rPr>
          <w:lang w:val="en-CA" w:eastAsia="ja-JP"/>
        </w:rPr>
        <w:t>worst case can be reduced than the existing HRD model.</w:t>
      </w:r>
    </w:p>
    <w:p w14:paraId="79B0DA0E" w14:textId="1EA882DD" w:rsidR="00951AE7" w:rsidRDefault="00951AE7" w:rsidP="00951AE7">
      <w:pPr>
        <w:pStyle w:val="1"/>
        <w:rPr>
          <w:lang w:val="en-CA"/>
        </w:rPr>
      </w:pPr>
      <w:bookmarkStart w:id="1" w:name="_Hlk74824639"/>
      <w:r>
        <w:rPr>
          <w:lang w:val="en-CA"/>
        </w:rPr>
        <w:t>Proposal</w:t>
      </w:r>
    </w:p>
    <w:p w14:paraId="41B12A08" w14:textId="0565B972" w:rsidR="00951AE7" w:rsidRDefault="00721503" w:rsidP="00951AE7">
      <w:pPr>
        <w:rPr>
          <w:lang w:val="en-CA" w:eastAsia="ja-JP"/>
        </w:rPr>
      </w:pPr>
      <w:r>
        <w:rPr>
          <w:lang w:val="en-CA" w:eastAsia="ja-JP"/>
        </w:rPr>
        <w:t xml:space="preserve">In this contribution, we propose an additional conformance point for </w:t>
      </w:r>
      <w:r w:rsidR="00021634">
        <w:rPr>
          <w:lang w:val="en-CA" w:eastAsia="ja-JP"/>
        </w:rPr>
        <w:t xml:space="preserve">the </w:t>
      </w:r>
      <w:r>
        <w:rPr>
          <w:lang w:val="en-CA" w:eastAsia="ja-JP"/>
        </w:rPr>
        <w:t xml:space="preserve">bit allocation of each frame. To harmonize the existing HRD model, </w:t>
      </w:r>
      <w:r w:rsidR="00021634">
        <w:rPr>
          <w:lang w:val="en-CA" w:eastAsia="ja-JP"/>
        </w:rPr>
        <w:t xml:space="preserve">a </w:t>
      </w:r>
      <w:r>
        <w:rPr>
          <w:lang w:val="en-CA" w:eastAsia="ja-JP"/>
        </w:rPr>
        <w:t>difference of buffer amount among several pictures is introduced. The difference is sufficiently small, such pictures can be decoded under a certain latency caused by the CABAC latency.</w:t>
      </w:r>
    </w:p>
    <w:p w14:paraId="5438D29A" w14:textId="50180B35" w:rsidR="00721503" w:rsidRDefault="00721503" w:rsidP="00951AE7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I</w:t>
      </w:r>
      <w:r>
        <w:rPr>
          <w:lang w:val="en-CA" w:eastAsia="ja-JP"/>
        </w:rPr>
        <w:t xml:space="preserve">n detail, </w:t>
      </w:r>
      <w:r w:rsidR="00021634">
        <w:rPr>
          <w:lang w:val="en-CA" w:eastAsia="ja-JP"/>
        </w:rPr>
        <w:t xml:space="preserve">the </w:t>
      </w:r>
      <w:r>
        <w:rPr>
          <w:lang w:val="en-CA" w:eastAsia="ja-JP"/>
        </w:rPr>
        <w:t>difference is defined as B_tn – B_t0</w:t>
      </w:r>
      <w:r w:rsidR="00C32DF7">
        <w:rPr>
          <w:lang w:val="en-CA" w:eastAsia="ja-JP"/>
        </w:rPr>
        <w:t xml:space="preserve"> where B, t0, tn are buffer amount</w:t>
      </w:r>
      <w:r w:rsidR="00021634">
        <w:rPr>
          <w:lang w:val="en-CA" w:eastAsia="ja-JP"/>
        </w:rPr>
        <w:t>s</w:t>
      </w:r>
      <w:r w:rsidR="00C32DF7">
        <w:rPr>
          <w:lang w:val="en-CA" w:eastAsia="ja-JP"/>
        </w:rPr>
        <w:t xml:space="preserve"> at the timing t </w:t>
      </w:r>
      <w:r w:rsidR="00E823E2">
        <w:rPr>
          <w:lang w:val="en-CA" w:eastAsia="ja-JP"/>
        </w:rPr>
        <w:t xml:space="preserve">before </w:t>
      </w:r>
      <w:r w:rsidR="00C32DF7">
        <w:rPr>
          <w:lang w:val="en-CA" w:eastAsia="ja-JP"/>
        </w:rPr>
        <w:t>withdraw</w:t>
      </w:r>
      <w:r w:rsidR="00021634">
        <w:rPr>
          <w:lang w:val="en-CA" w:eastAsia="ja-JP"/>
        </w:rPr>
        <w:t>ing</w:t>
      </w:r>
      <w:r w:rsidR="00C32DF7">
        <w:rPr>
          <w:lang w:val="en-CA" w:eastAsia="ja-JP"/>
        </w:rPr>
        <w:t xml:space="preserve"> a bit of picture, the current timing, and n-previous picture timing. When the difference is zero o</w:t>
      </w:r>
      <w:r w:rsidR="00021634">
        <w:rPr>
          <w:lang w:val="en-CA" w:eastAsia="ja-JP"/>
        </w:rPr>
        <w:t>r</w:t>
      </w:r>
      <w:r w:rsidR="00C32DF7">
        <w:rPr>
          <w:lang w:val="en-CA" w:eastAsia="ja-JP"/>
        </w:rPr>
        <w:t xml:space="preserve"> negative value, </w:t>
      </w:r>
      <w:r w:rsidR="00021634">
        <w:rPr>
          <w:lang w:val="en-CA" w:eastAsia="ja-JP"/>
        </w:rPr>
        <w:t xml:space="preserve">the </w:t>
      </w:r>
      <w:r w:rsidR="00C32DF7">
        <w:rPr>
          <w:lang w:val="en-CA" w:eastAsia="ja-JP"/>
        </w:rPr>
        <w:t xml:space="preserve">average bits of each picture </w:t>
      </w:r>
      <w:r w:rsidR="00021634">
        <w:rPr>
          <w:lang w:val="en-CA" w:eastAsia="ja-JP"/>
        </w:rPr>
        <w:t xml:space="preserve">are </w:t>
      </w:r>
      <w:r w:rsidR="00C32DF7">
        <w:rPr>
          <w:lang w:val="en-CA" w:eastAsia="ja-JP"/>
        </w:rPr>
        <w:t xml:space="preserve">smaller than that of other periods. Therefore, the difference should be equal </w:t>
      </w:r>
      <w:r w:rsidR="00021634">
        <w:rPr>
          <w:lang w:val="en-CA" w:eastAsia="ja-JP"/>
        </w:rPr>
        <w:t xml:space="preserve">to </w:t>
      </w:r>
      <w:r w:rsidR="00C32DF7">
        <w:rPr>
          <w:lang w:val="en-CA" w:eastAsia="ja-JP"/>
        </w:rPr>
        <w:t>or smaller tha</w:t>
      </w:r>
      <w:r w:rsidR="00021634">
        <w:rPr>
          <w:lang w:val="en-CA" w:eastAsia="ja-JP"/>
        </w:rPr>
        <w:t>n a</w:t>
      </w:r>
      <w:r w:rsidR="00C32DF7">
        <w:rPr>
          <w:lang w:val="en-CA" w:eastAsia="ja-JP"/>
        </w:rPr>
        <w:t xml:space="preserve"> predefined positive threshold.</w:t>
      </w:r>
    </w:p>
    <w:p w14:paraId="5A3632C3" w14:textId="280842EE" w:rsidR="00775DA2" w:rsidRDefault="00775DA2" w:rsidP="00775DA2">
      <w:pPr>
        <w:jc w:val="center"/>
        <w:rPr>
          <w:lang w:val="en-CA" w:eastAsia="ja-JP"/>
        </w:rPr>
      </w:pPr>
      <w:r w:rsidRPr="00775DA2">
        <w:rPr>
          <w:noProof/>
        </w:rPr>
        <w:drawing>
          <wp:inline distT="0" distB="0" distL="0" distR="0" wp14:anchorId="56E8297B" wp14:editId="29179F56">
            <wp:extent cx="1836000" cy="1768413"/>
            <wp:effectExtent l="0" t="0" r="0" b="0"/>
            <wp:docPr id="42" name="図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000" cy="1768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C67AC" w14:textId="486A7384" w:rsidR="00E823E2" w:rsidRDefault="00E823E2" w:rsidP="00197C6B">
      <w:pPr>
        <w:pStyle w:val="ac"/>
        <w:jc w:val="center"/>
        <w:rPr>
          <w:lang w:val="en-CA" w:eastAsia="ja-JP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</w:t>
      </w:r>
      <w:r>
        <w:rPr>
          <w:lang w:val="en-CA" w:eastAsia="ja-JP"/>
        </w:rPr>
        <w:t xml:space="preserve">An example of buffer model with difference </w:t>
      </w:r>
      <w:r w:rsidRPr="00197C6B">
        <w:rPr>
          <w:i/>
          <w:iCs/>
          <w:lang w:val="en-CA" w:eastAsia="ja-JP"/>
        </w:rPr>
        <w:t>d</w:t>
      </w:r>
      <w:r>
        <w:rPr>
          <w:lang w:val="en-CA" w:eastAsia="ja-JP"/>
        </w:rPr>
        <w:t>.</w:t>
      </w:r>
    </w:p>
    <w:p w14:paraId="7E701A70" w14:textId="48D1518E" w:rsidR="00C32DF7" w:rsidRDefault="00C32DF7" w:rsidP="00951AE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mechanism can be applied not only for </w:t>
      </w:r>
      <w:r w:rsidR="00021634">
        <w:rPr>
          <w:lang w:val="en-CA" w:eastAsia="ja-JP"/>
        </w:rPr>
        <w:t xml:space="preserve">the </w:t>
      </w:r>
      <w:r>
        <w:rPr>
          <w:lang w:val="en-CA" w:eastAsia="ja-JP"/>
        </w:rPr>
        <w:t xml:space="preserve">access unit model but also decoding unit. In this case, </w:t>
      </w:r>
      <w:r w:rsidR="00021634">
        <w:rPr>
          <w:lang w:val="en-CA" w:eastAsia="ja-JP"/>
        </w:rPr>
        <w:t xml:space="preserve">a </w:t>
      </w:r>
      <w:r>
        <w:rPr>
          <w:lang w:val="en-CA" w:eastAsia="ja-JP"/>
        </w:rPr>
        <w:t>buffer model with the predefined threshold is considered as each decoding unit. A proposed specification text will be attached.</w:t>
      </w:r>
    </w:p>
    <w:bookmarkEnd w:id="1"/>
    <w:p w14:paraId="351D528A" w14:textId="0EE2CC8C" w:rsidR="00951AE7" w:rsidRDefault="00951AE7" w:rsidP="00951AE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A5FDFE5" w14:textId="6E08EE05" w:rsidR="00060E7C" w:rsidRDefault="00C32DF7" w:rsidP="00060E7C">
      <w:pPr>
        <w:rPr>
          <w:lang w:val="en-CA" w:eastAsia="ja-JP"/>
        </w:rPr>
      </w:pPr>
      <w:r>
        <w:rPr>
          <w:lang w:val="en-CA" w:eastAsia="ja-JP"/>
        </w:rPr>
        <w:t>In this contribution, the additional conformance point was proposed for high throughput cases. Regarding the conformance check point-of-view, the difference of buffer amount among several pictures was introduced.</w:t>
      </w:r>
    </w:p>
    <w:p w14:paraId="2B1D4616" w14:textId="77777777" w:rsidR="00060E7C" w:rsidRPr="002351F5" w:rsidRDefault="00060E7C" w:rsidP="00060E7C">
      <w:pPr>
        <w:rPr>
          <w:lang w:val="en-CA" w:eastAsia="ja-JP"/>
        </w:rPr>
      </w:pPr>
      <w:r w:rsidRPr="0093404B">
        <w:rPr>
          <w:lang w:val="en-CA" w:eastAsia="ja-JP"/>
        </w:rPr>
        <w:t>This work was supported by Ministry of Internal Affairs and Communications (MIC) of Japan (Grant no. JPJ000595).</w:t>
      </w:r>
    </w:p>
    <w:p w14:paraId="42368E49" w14:textId="303DDB54" w:rsidR="00951AE7" w:rsidRDefault="00951AE7" w:rsidP="00951AE7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6301036C" w14:textId="450BA7A8" w:rsidR="00DD75C0" w:rsidRPr="001D47E5" w:rsidRDefault="00C15AC7" w:rsidP="00DD75C0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2" w:name="_Ref74757334"/>
      <w:bookmarkStart w:id="3" w:name="_Ref27482156"/>
      <w:bookmarkStart w:id="4" w:name="_Ref534931560"/>
      <w:r w:rsidRPr="00C15AC7">
        <w:rPr>
          <w:szCs w:val="22"/>
          <w:lang w:val="en-CA" w:eastAsia="ja-JP"/>
        </w:rPr>
        <w:t>Recommendation ITU-T H.266, "Versatile video coding," in Edition 1.0, August 2020.</w:t>
      </w:r>
      <w:bookmarkEnd w:id="2"/>
    </w:p>
    <w:bookmarkEnd w:id="3"/>
    <w:bookmarkEnd w:id="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82D4B8" w:rsidR="00342FF4" w:rsidRPr="005B217D" w:rsidRDefault="00951AE7" w:rsidP="009234A5">
      <w:pPr>
        <w:rPr>
          <w:szCs w:val="22"/>
          <w:lang w:val="en-CA"/>
        </w:rPr>
      </w:pPr>
      <w:r w:rsidRPr="00C14EA9">
        <w:rPr>
          <w:b/>
          <w:szCs w:val="22"/>
          <w:lang w:val="en-CA"/>
        </w:rPr>
        <w:t>KDDI</w:t>
      </w:r>
      <w:r w:rsidR="009234A5" w:rsidRPr="00C14EA9">
        <w:rPr>
          <w:b/>
          <w:szCs w:val="22"/>
          <w:lang w:val="en-CA"/>
        </w:rPr>
        <w:t> </w:t>
      </w:r>
      <w:r w:rsidR="001F2594" w:rsidRPr="00C14EA9">
        <w:rPr>
          <w:b/>
          <w:szCs w:val="22"/>
          <w:lang w:val="en-CA"/>
        </w:rPr>
        <w:t xml:space="preserve">Corporation may have </w:t>
      </w:r>
      <w:r w:rsidR="0098551D" w:rsidRPr="00C14EA9">
        <w:rPr>
          <w:b/>
          <w:szCs w:val="22"/>
          <w:lang w:val="en-CA"/>
        </w:rPr>
        <w:t>current or pending</w:t>
      </w:r>
      <w:r w:rsidR="001F2594" w:rsidRPr="00C14EA9">
        <w:rPr>
          <w:b/>
          <w:szCs w:val="22"/>
          <w:lang w:val="en-CA"/>
        </w:rPr>
        <w:t xml:space="preserve"> </w:t>
      </w:r>
      <w:r w:rsidR="0098551D" w:rsidRPr="00C14EA9">
        <w:rPr>
          <w:b/>
          <w:szCs w:val="22"/>
          <w:lang w:val="en-CA"/>
        </w:rPr>
        <w:t xml:space="preserve">patent rights </w:t>
      </w:r>
      <w:r w:rsidR="001F2594" w:rsidRPr="00C14EA9">
        <w:rPr>
          <w:b/>
          <w:szCs w:val="22"/>
          <w:lang w:val="en-CA"/>
        </w:rPr>
        <w:t xml:space="preserve">relating to the technology described </w:t>
      </w:r>
      <w:r w:rsidR="002F164D" w:rsidRPr="00C14EA9">
        <w:rPr>
          <w:b/>
          <w:szCs w:val="22"/>
          <w:lang w:val="en-CA"/>
        </w:rPr>
        <w:t xml:space="preserve">in </w:t>
      </w:r>
      <w:r w:rsidR="001F2594" w:rsidRPr="00C14EA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C14EA9">
        <w:rPr>
          <w:b/>
          <w:szCs w:val="22"/>
          <w:lang w:val="en-CA"/>
        </w:rPr>
        <w:t> </w:t>
      </w:r>
      <w:r w:rsidR="002F164D" w:rsidRPr="00C14EA9">
        <w:rPr>
          <w:b/>
          <w:szCs w:val="22"/>
          <w:lang w:val="en-CA"/>
        </w:rPr>
        <w:t xml:space="preserve">| ISO/IEC </w:t>
      </w:r>
      <w:r w:rsidR="00A83253" w:rsidRPr="00C14EA9">
        <w:rPr>
          <w:b/>
          <w:szCs w:val="22"/>
          <w:lang w:val="en-CA"/>
        </w:rPr>
        <w:t xml:space="preserve">International </w:t>
      </w:r>
      <w:r w:rsidR="002F164D" w:rsidRPr="00C14EA9">
        <w:rPr>
          <w:b/>
          <w:szCs w:val="22"/>
          <w:lang w:val="en-CA"/>
        </w:rPr>
        <w:t>Standard</w:t>
      </w:r>
      <w:r w:rsidR="001F2594" w:rsidRPr="00C14EA9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81BB1" w14:textId="77777777" w:rsidR="001654AD" w:rsidRDefault="001654AD">
      <w:r>
        <w:separator/>
      </w:r>
    </w:p>
  </w:endnote>
  <w:endnote w:type="continuationSeparator" w:id="0">
    <w:p w14:paraId="278565BE" w14:textId="77777777" w:rsidR="001654AD" w:rsidRDefault="0016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572DA4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97C6B"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E00DF" w14:textId="77777777" w:rsidR="001654AD" w:rsidRDefault="001654AD">
      <w:r>
        <w:separator/>
      </w:r>
    </w:p>
  </w:footnote>
  <w:footnote w:type="continuationSeparator" w:id="0">
    <w:p w14:paraId="75D5F4B0" w14:textId="77777777" w:rsidR="001654AD" w:rsidRDefault="00165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40"/>
        </w:tabs>
        <w:ind w:left="-32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880"/>
        </w:tabs>
        <w:ind w:left="88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80"/>
        </w:tabs>
        <w:ind w:left="128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080"/>
        </w:tabs>
        <w:ind w:left="208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480"/>
        </w:tabs>
        <w:ind w:left="248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280"/>
        </w:tabs>
        <w:ind w:left="328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680"/>
        </w:tabs>
        <w:ind w:left="368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8F0051"/>
    <w:multiLevelType w:val="hybridMultilevel"/>
    <w:tmpl w:val="85C8F0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7"/>
  </w:num>
  <w:num w:numId="13">
    <w:abstractNumId w:val="1"/>
  </w:num>
  <w:num w:numId="14">
    <w:abstractNumId w:val="14"/>
  </w:num>
  <w:num w:numId="15">
    <w:abstractNumId w:val="4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634"/>
    <w:rsid w:val="000308A3"/>
    <w:rsid w:val="00037993"/>
    <w:rsid w:val="0004543A"/>
    <w:rsid w:val="000458BC"/>
    <w:rsid w:val="00045C41"/>
    <w:rsid w:val="00046C03"/>
    <w:rsid w:val="00060E7C"/>
    <w:rsid w:val="00060FDB"/>
    <w:rsid w:val="0006399E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7B6"/>
    <w:rsid w:val="000B4FF9"/>
    <w:rsid w:val="000C0882"/>
    <w:rsid w:val="000C09AC"/>
    <w:rsid w:val="000C2BAA"/>
    <w:rsid w:val="000E00F3"/>
    <w:rsid w:val="000E731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5F"/>
    <w:rsid w:val="001654AD"/>
    <w:rsid w:val="00171371"/>
    <w:rsid w:val="00175A24"/>
    <w:rsid w:val="00187E58"/>
    <w:rsid w:val="00197C6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6A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C31"/>
    <w:rsid w:val="002C599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805"/>
    <w:rsid w:val="003669EA"/>
    <w:rsid w:val="003706CC"/>
    <w:rsid w:val="00377710"/>
    <w:rsid w:val="00383BD6"/>
    <w:rsid w:val="003A2D8E"/>
    <w:rsid w:val="003A7CE6"/>
    <w:rsid w:val="003C20E4"/>
    <w:rsid w:val="003D6342"/>
    <w:rsid w:val="003E6F90"/>
    <w:rsid w:val="003E73ED"/>
    <w:rsid w:val="003F5D0F"/>
    <w:rsid w:val="004016B9"/>
    <w:rsid w:val="00414101"/>
    <w:rsid w:val="004219CF"/>
    <w:rsid w:val="004234F0"/>
    <w:rsid w:val="00424EE3"/>
    <w:rsid w:val="00427EEC"/>
    <w:rsid w:val="00433DDB"/>
    <w:rsid w:val="00435A29"/>
    <w:rsid w:val="00437619"/>
    <w:rsid w:val="00463C26"/>
    <w:rsid w:val="00465A1E"/>
    <w:rsid w:val="0049445A"/>
    <w:rsid w:val="004A2A63"/>
    <w:rsid w:val="004B210C"/>
    <w:rsid w:val="004B6170"/>
    <w:rsid w:val="004C4069"/>
    <w:rsid w:val="004D405F"/>
    <w:rsid w:val="004E4F4F"/>
    <w:rsid w:val="004E6789"/>
    <w:rsid w:val="004F1418"/>
    <w:rsid w:val="004F5EDB"/>
    <w:rsid w:val="004F61E3"/>
    <w:rsid w:val="00502E10"/>
    <w:rsid w:val="0050354E"/>
    <w:rsid w:val="0051015C"/>
    <w:rsid w:val="00516CF1"/>
    <w:rsid w:val="00524D99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E95"/>
    <w:rsid w:val="005B217D"/>
    <w:rsid w:val="005C385F"/>
    <w:rsid w:val="005C7C26"/>
    <w:rsid w:val="005E1AC6"/>
    <w:rsid w:val="005E3F2B"/>
    <w:rsid w:val="005F479D"/>
    <w:rsid w:val="005F6F1B"/>
    <w:rsid w:val="00601397"/>
    <w:rsid w:val="00613B93"/>
    <w:rsid w:val="00615995"/>
    <w:rsid w:val="00616155"/>
    <w:rsid w:val="00624B33"/>
    <w:rsid w:val="0063041A"/>
    <w:rsid w:val="00630AA2"/>
    <w:rsid w:val="00631D8B"/>
    <w:rsid w:val="006376A5"/>
    <w:rsid w:val="00646707"/>
    <w:rsid w:val="00656C13"/>
    <w:rsid w:val="00657F7E"/>
    <w:rsid w:val="00662E58"/>
    <w:rsid w:val="006637F2"/>
    <w:rsid w:val="006642A5"/>
    <w:rsid w:val="00664DCF"/>
    <w:rsid w:val="0067527C"/>
    <w:rsid w:val="006A0E5C"/>
    <w:rsid w:val="006A48E6"/>
    <w:rsid w:val="006A6484"/>
    <w:rsid w:val="006C5D39"/>
    <w:rsid w:val="006D1BA8"/>
    <w:rsid w:val="006D6D9B"/>
    <w:rsid w:val="006E2810"/>
    <w:rsid w:val="006E5417"/>
    <w:rsid w:val="006F0794"/>
    <w:rsid w:val="006F7528"/>
    <w:rsid w:val="007023DE"/>
    <w:rsid w:val="00712F60"/>
    <w:rsid w:val="00720E3B"/>
    <w:rsid w:val="00721503"/>
    <w:rsid w:val="0074393F"/>
    <w:rsid w:val="00745F6B"/>
    <w:rsid w:val="007464CA"/>
    <w:rsid w:val="0075175B"/>
    <w:rsid w:val="0075585E"/>
    <w:rsid w:val="00757A91"/>
    <w:rsid w:val="0076470B"/>
    <w:rsid w:val="00770571"/>
    <w:rsid w:val="00775DA2"/>
    <w:rsid w:val="007768FF"/>
    <w:rsid w:val="007824D3"/>
    <w:rsid w:val="00796EE3"/>
    <w:rsid w:val="007A7D29"/>
    <w:rsid w:val="007B4AB8"/>
    <w:rsid w:val="007C081C"/>
    <w:rsid w:val="007D1181"/>
    <w:rsid w:val="007E01A3"/>
    <w:rsid w:val="007E2EF6"/>
    <w:rsid w:val="007F1F8B"/>
    <w:rsid w:val="007F6205"/>
    <w:rsid w:val="007F67A1"/>
    <w:rsid w:val="00801A7B"/>
    <w:rsid w:val="00811C05"/>
    <w:rsid w:val="008206C8"/>
    <w:rsid w:val="00834468"/>
    <w:rsid w:val="00855340"/>
    <w:rsid w:val="0086387C"/>
    <w:rsid w:val="00874A6C"/>
    <w:rsid w:val="00876C65"/>
    <w:rsid w:val="00882F72"/>
    <w:rsid w:val="00893DC4"/>
    <w:rsid w:val="00894F92"/>
    <w:rsid w:val="008A4B4C"/>
    <w:rsid w:val="008B7B6F"/>
    <w:rsid w:val="008C239F"/>
    <w:rsid w:val="008E3A2C"/>
    <w:rsid w:val="008E480C"/>
    <w:rsid w:val="0090597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1AE7"/>
    <w:rsid w:val="00955F6D"/>
    <w:rsid w:val="00977C16"/>
    <w:rsid w:val="0098551D"/>
    <w:rsid w:val="00985DCB"/>
    <w:rsid w:val="0099518F"/>
    <w:rsid w:val="009974EC"/>
    <w:rsid w:val="009A523D"/>
    <w:rsid w:val="009B02A1"/>
    <w:rsid w:val="009B3361"/>
    <w:rsid w:val="009B7F3F"/>
    <w:rsid w:val="009D6897"/>
    <w:rsid w:val="009D7CE6"/>
    <w:rsid w:val="009E448E"/>
    <w:rsid w:val="009E5BA5"/>
    <w:rsid w:val="009F496B"/>
    <w:rsid w:val="00A00EDC"/>
    <w:rsid w:val="00A01439"/>
    <w:rsid w:val="00A02E61"/>
    <w:rsid w:val="00A05CFF"/>
    <w:rsid w:val="00A13048"/>
    <w:rsid w:val="00A46843"/>
    <w:rsid w:val="00A50FC1"/>
    <w:rsid w:val="00A56B97"/>
    <w:rsid w:val="00A6093D"/>
    <w:rsid w:val="00A6372D"/>
    <w:rsid w:val="00A72017"/>
    <w:rsid w:val="00A73930"/>
    <w:rsid w:val="00A767DC"/>
    <w:rsid w:val="00A76A6D"/>
    <w:rsid w:val="00A83253"/>
    <w:rsid w:val="00A90A48"/>
    <w:rsid w:val="00AA6E84"/>
    <w:rsid w:val="00AB1A1C"/>
    <w:rsid w:val="00AD05A8"/>
    <w:rsid w:val="00AE341B"/>
    <w:rsid w:val="00B01905"/>
    <w:rsid w:val="00B02124"/>
    <w:rsid w:val="00B07CA7"/>
    <w:rsid w:val="00B1279A"/>
    <w:rsid w:val="00B26C3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83"/>
    <w:rsid w:val="00B827C6"/>
    <w:rsid w:val="00B94B06"/>
    <w:rsid w:val="00B94C28"/>
    <w:rsid w:val="00BC10BA"/>
    <w:rsid w:val="00BC5AFD"/>
    <w:rsid w:val="00BF2B7C"/>
    <w:rsid w:val="00C00DDE"/>
    <w:rsid w:val="00C04F43"/>
    <w:rsid w:val="00C05271"/>
    <w:rsid w:val="00C0609D"/>
    <w:rsid w:val="00C115AB"/>
    <w:rsid w:val="00C14EA9"/>
    <w:rsid w:val="00C15AC7"/>
    <w:rsid w:val="00C255F5"/>
    <w:rsid w:val="00C26CCB"/>
    <w:rsid w:val="00C30249"/>
    <w:rsid w:val="00C32DF7"/>
    <w:rsid w:val="00C3723B"/>
    <w:rsid w:val="00C42466"/>
    <w:rsid w:val="00C606C9"/>
    <w:rsid w:val="00C80288"/>
    <w:rsid w:val="00C836F0"/>
    <w:rsid w:val="00C84003"/>
    <w:rsid w:val="00C87E77"/>
    <w:rsid w:val="00C90650"/>
    <w:rsid w:val="00C94BBE"/>
    <w:rsid w:val="00C97D78"/>
    <w:rsid w:val="00CC2AAE"/>
    <w:rsid w:val="00CC5A42"/>
    <w:rsid w:val="00CD0EAB"/>
    <w:rsid w:val="00CD65BE"/>
    <w:rsid w:val="00CE0120"/>
    <w:rsid w:val="00CE5E02"/>
    <w:rsid w:val="00CF34DB"/>
    <w:rsid w:val="00CF3917"/>
    <w:rsid w:val="00CF44AE"/>
    <w:rsid w:val="00CF558F"/>
    <w:rsid w:val="00D010C0"/>
    <w:rsid w:val="00D073E2"/>
    <w:rsid w:val="00D1555A"/>
    <w:rsid w:val="00D446EC"/>
    <w:rsid w:val="00D517D2"/>
    <w:rsid w:val="00D51BF0"/>
    <w:rsid w:val="00D531DB"/>
    <w:rsid w:val="00D55942"/>
    <w:rsid w:val="00D807BF"/>
    <w:rsid w:val="00D8241D"/>
    <w:rsid w:val="00D82FCC"/>
    <w:rsid w:val="00DA17FC"/>
    <w:rsid w:val="00DA7887"/>
    <w:rsid w:val="00DB2C26"/>
    <w:rsid w:val="00DB4C2E"/>
    <w:rsid w:val="00DC6706"/>
    <w:rsid w:val="00DD02F4"/>
    <w:rsid w:val="00DD6056"/>
    <w:rsid w:val="00DD6622"/>
    <w:rsid w:val="00DD75C0"/>
    <w:rsid w:val="00DE1C7C"/>
    <w:rsid w:val="00DE4983"/>
    <w:rsid w:val="00DE6B43"/>
    <w:rsid w:val="00E010FB"/>
    <w:rsid w:val="00E11923"/>
    <w:rsid w:val="00E262D4"/>
    <w:rsid w:val="00E36250"/>
    <w:rsid w:val="00E434DB"/>
    <w:rsid w:val="00E47F2D"/>
    <w:rsid w:val="00E54511"/>
    <w:rsid w:val="00E60EDC"/>
    <w:rsid w:val="00E61DAC"/>
    <w:rsid w:val="00E67495"/>
    <w:rsid w:val="00E72B80"/>
    <w:rsid w:val="00E75FE3"/>
    <w:rsid w:val="00E76355"/>
    <w:rsid w:val="00E823E2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1AF"/>
    <w:rsid w:val="00F2488D"/>
    <w:rsid w:val="00F3287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EC1"/>
    <w:rsid w:val="00FB0E84"/>
    <w:rsid w:val="00FB11CF"/>
    <w:rsid w:val="00FC2405"/>
    <w:rsid w:val="00FD01C2"/>
    <w:rsid w:val="00FD318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01397"/>
    <w:pPr>
      <w:ind w:leftChars="400" w:left="840"/>
    </w:pPr>
  </w:style>
  <w:style w:type="paragraph" w:styleId="ac">
    <w:name w:val="caption"/>
    <w:basedOn w:val="a"/>
    <w:next w:val="a"/>
    <w:unhideWhenUsed/>
    <w:qFormat/>
    <w:rsid w:val="00D8241D"/>
    <w:rPr>
      <w:rFonts w:eastAsia="SimSun"/>
      <w:b/>
      <w:bCs/>
      <w:sz w:val="20"/>
    </w:rPr>
  </w:style>
  <w:style w:type="paragraph" w:customStyle="1" w:styleId="SPIEreferencelisting">
    <w:name w:val="SPIE reference listing"/>
    <w:basedOn w:val="a"/>
    <w:rsid w:val="00DD75C0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d">
    <w:name w:val="Unresolved Mention"/>
    <w:basedOn w:val="a0"/>
    <w:uiPriority w:val="99"/>
    <w:semiHidden/>
    <w:unhideWhenUsed/>
    <w:rsid w:val="000C0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C36C5-05F4-409F-9AF3-233776C32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18</cp:revision>
  <cp:lastPrinted>1900-01-01T08:00:00Z</cp:lastPrinted>
  <dcterms:created xsi:type="dcterms:W3CDTF">2021-06-17T02:08:00Z</dcterms:created>
  <dcterms:modified xsi:type="dcterms:W3CDTF">2021-07-07T20:14:00Z</dcterms:modified>
</cp:coreProperties>
</file>