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16F70" w:rsidRPr="005B217D" w14:paraId="54B1B448" w14:textId="77777777" w:rsidTr="00BF5459">
        <w:tc>
          <w:tcPr>
            <w:tcW w:w="6300" w:type="dxa"/>
          </w:tcPr>
          <w:p w14:paraId="5BD8C6D3" w14:textId="77777777" w:rsidR="00316F70" w:rsidRPr="005B217D" w:rsidRDefault="00316F70" w:rsidP="00BF545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43F95619" wp14:editId="078DE56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0F2950"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0288" behindDoc="0" locked="0" layoutInCell="1" allowOverlap="1" wp14:anchorId="0520C0DE" wp14:editId="69A656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9264" behindDoc="0" locked="0" layoutInCell="1" allowOverlap="1" wp14:anchorId="3F9031E1" wp14:editId="2D51E5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6507554" w14:textId="77777777" w:rsidR="00316F70" w:rsidRPr="005B217D" w:rsidRDefault="00316F70" w:rsidP="00BF545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B1E7D6" w14:textId="0B5E0945" w:rsidR="00316F70" w:rsidRPr="005B217D" w:rsidRDefault="004C1192" w:rsidP="00BF5459">
            <w:pPr>
              <w:tabs>
                <w:tab w:val="left" w:pos="7200"/>
              </w:tabs>
              <w:spacing w:before="0"/>
              <w:rPr>
                <w:b/>
                <w:szCs w:val="22"/>
                <w:lang w:val="en-CA"/>
              </w:rPr>
            </w:pPr>
            <w:r>
              <w:t>1</w:t>
            </w:r>
            <w:r w:rsidR="007A1709">
              <w:t>6</w:t>
            </w:r>
            <w:r>
              <w:t>th</w:t>
            </w:r>
            <w:r w:rsidRPr="00B648F1">
              <w:t xml:space="preserve"> Meeting: </w:t>
            </w:r>
            <w:r w:rsidR="007A1709">
              <w:rPr>
                <w:lang w:val="en-CA"/>
              </w:rPr>
              <w:t>Geneva</w:t>
            </w:r>
            <w:r w:rsidRPr="00B57A23">
              <w:rPr>
                <w:lang w:val="en-CA"/>
              </w:rPr>
              <w:t xml:space="preserve">, </w:t>
            </w:r>
            <w:r w:rsidR="007A1709">
              <w:rPr>
                <w:lang w:val="en-CA"/>
              </w:rPr>
              <w:t>CH</w:t>
            </w:r>
            <w:r w:rsidRPr="00B57A23">
              <w:rPr>
                <w:lang w:val="en-CA"/>
              </w:rPr>
              <w:t xml:space="preserve">, </w:t>
            </w:r>
            <w:r w:rsidR="007A1709">
              <w:rPr>
                <w:lang w:val="en-CA"/>
              </w:rPr>
              <w:t>1</w:t>
            </w:r>
            <w:r w:rsidRPr="00B57A23">
              <w:rPr>
                <w:lang w:val="en-CA"/>
              </w:rPr>
              <w:t>–</w:t>
            </w:r>
            <w:r>
              <w:rPr>
                <w:lang w:val="en-CA"/>
              </w:rPr>
              <w:t>1</w:t>
            </w:r>
            <w:r w:rsidR="007A1709">
              <w:rPr>
                <w:lang w:val="en-CA"/>
              </w:rPr>
              <w:t>1</w:t>
            </w:r>
            <w:r w:rsidRPr="00B57A23">
              <w:rPr>
                <w:lang w:val="en-CA"/>
              </w:rPr>
              <w:t xml:space="preserve"> </w:t>
            </w:r>
            <w:r w:rsidR="007A1709">
              <w:rPr>
                <w:lang w:val="en-CA"/>
              </w:rPr>
              <w:t>October</w:t>
            </w:r>
            <w:r w:rsidR="007A1709" w:rsidRPr="00B57A23">
              <w:rPr>
                <w:lang w:val="en-CA"/>
              </w:rPr>
              <w:t xml:space="preserve"> </w:t>
            </w:r>
            <w:r w:rsidRPr="00B57A23">
              <w:rPr>
                <w:lang w:val="en-CA"/>
              </w:rPr>
              <w:t>201</w:t>
            </w:r>
            <w:r>
              <w:rPr>
                <w:lang w:val="en-CA"/>
              </w:rPr>
              <w:t>9</w:t>
            </w:r>
          </w:p>
        </w:tc>
        <w:tc>
          <w:tcPr>
            <w:tcW w:w="3060" w:type="dxa"/>
          </w:tcPr>
          <w:p w14:paraId="7F17F227" w14:textId="44D519CD" w:rsidR="00316F70" w:rsidRPr="005B217D" w:rsidRDefault="00316F70" w:rsidP="00BF5459">
            <w:pPr>
              <w:tabs>
                <w:tab w:val="left" w:pos="7200"/>
              </w:tabs>
              <w:rPr>
                <w:u w:val="single"/>
                <w:lang w:val="en-CA"/>
              </w:rPr>
            </w:pPr>
            <w:r w:rsidRPr="00933343">
              <w:rPr>
                <w:lang w:val="en-CA"/>
              </w:rPr>
              <w:t>Document: JVET-</w:t>
            </w:r>
            <w:r w:rsidR="007A1709" w:rsidRPr="00933343">
              <w:rPr>
                <w:lang w:val="en-CA"/>
              </w:rPr>
              <w:t>P</w:t>
            </w:r>
            <w:r w:rsidR="00250411" w:rsidRPr="00933343">
              <w:rPr>
                <w:lang w:val="en-CA"/>
              </w:rPr>
              <w:t>0443</w:t>
            </w:r>
          </w:p>
        </w:tc>
      </w:tr>
    </w:tbl>
    <w:p w14:paraId="405E2092" w14:textId="77777777" w:rsidR="00316F70" w:rsidRPr="005B217D" w:rsidRDefault="00316F70" w:rsidP="00316F70">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16F70" w:rsidRPr="005B217D" w14:paraId="53365E29" w14:textId="77777777" w:rsidTr="00BF5459">
        <w:tc>
          <w:tcPr>
            <w:tcW w:w="1458" w:type="dxa"/>
          </w:tcPr>
          <w:p w14:paraId="761468E3" w14:textId="77777777" w:rsidR="00316F70" w:rsidRPr="005B217D" w:rsidRDefault="00316F70" w:rsidP="00BF5459">
            <w:pPr>
              <w:spacing w:before="60" w:after="60"/>
              <w:rPr>
                <w:i/>
                <w:szCs w:val="22"/>
                <w:lang w:val="en-CA"/>
              </w:rPr>
            </w:pPr>
            <w:r w:rsidRPr="005B217D">
              <w:rPr>
                <w:i/>
                <w:szCs w:val="22"/>
                <w:lang w:val="en-CA"/>
              </w:rPr>
              <w:t>Title:</w:t>
            </w:r>
          </w:p>
        </w:tc>
        <w:tc>
          <w:tcPr>
            <w:tcW w:w="7902" w:type="dxa"/>
            <w:gridSpan w:val="3"/>
          </w:tcPr>
          <w:p w14:paraId="0808C33B" w14:textId="2BF01F08" w:rsidR="00316F70" w:rsidRPr="005B217D" w:rsidRDefault="00763764" w:rsidP="00BF5459">
            <w:pPr>
              <w:spacing w:before="60" w:after="60"/>
              <w:rPr>
                <w:b/>
                <w:szCs w:val="22"/>
                <w:lang w:val="en-CA"/>
              </w:rPr>
            </w:pPr>
            <w:r>
              <w:rPr>
                <w:b/>
                <w:szCs w:val="22"/>
                <w:lang w:val="en-CA"/>
              </w:rPr>
              <w:t>Non-CE</w:t>
            </w:r>
            <w:r w:rsidR="001D4897">
              <w:rPr>
                <w:b/>
                <w:szCs w:val="22"/>
                <w:lang w:val="en-CA"/>
              </w:rPr>
              <w:t>4</w:t>
            </w:r>
            <w:r>
              <w:rPr>
                <w:b/>
                <w:szCs w:val="22"/>
                <w:lang w:val="en-CA"/>
              </w:rPr>
              <w:t xml:space="preserve">: </w:t>
            </w:r>
            <w:r w:rsidR="001D4897">
              <w:rPr>
                <w:b/>
                <w:szCs w:val="22"/>
                <w:lang w:val="en-CA"/>
              </w:rPr>
              <w:t>On DMVR early termination</w:t>
            </w:r>
          </w:p>
        </w:tc>
      </w:tr>
      <w:tr w:rsidR="00316F70" w:rsidRPr="005B217D" w14:paraId="6CDE8303" w14:textId="77777777" w:rsidTr="00BF5459">
        <w:tc>
          <w:tcPr>
            <w:tcW w:w="1458" w:type="dxa"/>
          </w:tcPr>
          <w:p w14:paraId="67C73FC8" w14:textId="77777777" w:rsidR="00316F70" w:rsidRPr="005B217D" w:rsidRDefault="00316F70" w:rsidP="00BF5459">
            <w:pPr>
              <w:spacing w:before="60" w:after="60"/>
              <w:rPr>
                <w:i/>
                <w:szCs w:val="22"/>
                <w:lang w:val="en-CA"/>
              </w:rPr>
            </w:pPr>
            <w:r w:rsidRPr="005B217D">
              <w:rPr>
                <w:i/>
                <w:szCs w:val="22"/>
                <w:lang w:val="en-CA"/>
              </w:rPr>
              <w:t>Status:</w:t>
            </w:r>
          </w:p>
        </w:tc>
        <w:tc>
          <w:tcPr>
            <w:tcW w:w="7902" w:type="dxa"/>
            <w:gridSpan w:val="3"/>
          </w:tcPr>
          <w:p w14:paraId="61E6C348" w14:textId="77777777" w:rsidR="00316F70" w:rsidRPr="005B217D" w:rsidRDefault="00316F70" w:rsidP="00BF54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16F70" w:rsidRPr="005B217D" w14:paraId="7BB24025" w14:textId="77777777" w:rsidTr="00BF5459">
        <w:tc>
          <w:tcPr>
            <w:tcW w:w="1458" w:type="dxa"/>
          </w:tcPr>
          <w:p w14:paraId="2F54EC79" w14:textId="77777777" w:rsidR="00316F70" w:rsidRPr="005B217D" w:rsidRDefault="00316F70" w:rsidP="00BF5459">
            <w:pPr>
              <w:spacing w:before="60" w:after="60"/>
              <w:rPr>
                <w:i/>
                <w:szCs w:val="22"/>
                <w:lang w:val="en-CA"/>
              </w:rPr>
            </w:pPr>
            <w:r w:rsidRPr="005B217D">
              <w:rPr>
                <w:i/>
                <w:szCs w:val="22"/>
                <w:lang w:val="en-CA"/>
              </w:rPr>
              <w:t>Purpose:</w:t>
            </w:r>
          </w:p>
        </w:tc>
        <w:tc>
          <w:tcPr>
            <w:tcW w:w="7902" w:type="dxa"/>
            <w:gridSpan w:val="3"/>
          </w:tcPr>
          <w:p w14:paraId="6800A476" w14:textId="77777777" w:rsidR="00316F70" w:rsidRPr="005B217D" w:rsidRDefault="00316F70" w:rsidP="00BF5459">
            <w:pPr>
              <w:spacing w:before="60" w:after="60"/>
              <w:rPr>
                <w:szCs w:val="22"/>
                <w:lang w:val="en-CA"/>
              </w:rPr>
            </w:pPr>
            <w:r w:rsidRPr="005B217D">
              <w:rPr>
                <w:szCs w:val="22"/>
                <w:lang w:val="en-CA"/>
              </w:rPr>
              <w:t>Proposal</w:t>
            </w:r>
          </w:p>
        </w:tc>
      </w:tr>
      <w:tr w:rsidR="00316F70" w:rsidRPr="005B217D" w14:paraId="25624AB1" w14:textId="77777777" w:rsidTr="00BF5459">
        <w:tc>
          <w:tcPr>
            <w:tcW w:w="1458" w:type="dxa"/>
          </w:tcPr>
          <w:p w14:paraId="0053C042" w14:textId="77777777" w:rsidR="00316F70" w:rsidRPr="005B217D" w:rsidRDefault="00316F70" w:rsidP="00BF54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38E9A" w14:textId="2D9640D3" w:rsidR="00151987" w:rsidRDefault="00316F70" w:rsidP="00BF5459">
            <w:pPr>
              <w:spacing w:before="60" w:after="60"/>
              <w:rPr>
                <w:sz w:val="24"/>
                <w:szCs w:val="24"/>
                <w:lang w:val="en-CA"/>
              </w:rPr>
            </w:pPr>
            <w:proofErr w:type="spellStart"/>
            <w:r>
              <w:rPr>
                <w:sz w:val="24"/>
                <w:szCs w:val="24"/>
                <w:lang w:val="en-CA"/>
              </w:rPr>
              <w:t>Guichun</w:t>
            </w:r>
            <w:proofErr w:type="spellEnd"/>
            <w:r>
              <w:rPr>
                <w:sz w:val="24"/>
                <w:szCs w:val="24"/>
                <w:lang w:val="en-CA"/>
              </w:rPr>
              <w:t xml:space="preserve"> Li, </w:t>
            </w:r>
            <w:r w:rsidR="002660DA">
              <w:rPr>
                <w:sz w:val="24"/>
                <w:szCs w:val="24"/>
                <w:lang w:val="en-CA"/>
              </w:rPr>
              <w:t xml:space="preserve">XiangLi, </w:t>
            </w:r>
            <w:r w:rsidR="00FE14CB">
              <w:rPr>
                <w:sz w:val="24"/>
                <w:szCs w:val="24"/>
                <w:lang w:val="en-CA"/>
              </w:rPr>
              <w:t xml:space="preserve">Xiaozhong Xu, </w:t>
            </w:r>
            <w:r>
              <w:rPr>
                <w:sz w:val="24"/>
                <w:szCs w:val="24"/>
                <w:lang w:val="en-CA"/>
              </w:rPr>
              <w:t>Shan Liu</w:t>
            </w:r>
          </w:p>
          <w:p w14:paraId="70C14AB0" w14:textId="0709941B" w:rsidR="00316F70" w:rsidRDefault="00316F70" w:rsidP="00151987">
            <w:pPr>
              <w:spacing w:before="60" w:after="60"/>
              <w:jc w:val="left"/>
              <w:rPr>
                <w:szCs w:val="22"/>
                <w:lang w:val="en-CA" w:eastAsia="zh-CN"/>
              </w:rPr>
            </w:pPr>
            <w:r w:rsidRPr="00875EF8">
              <w:rPr>
                <w:sz w:val="24"/>
                <w:szCs w:val="24"/>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p w14:paraId="3F814DCB" w14:textId="77777777" w:rsidR="00316F70" w:rsidRPr="005B217D" w:rsidRDefault="00316F70" w:rsidP="00BF5459">
            <w:pPr>
              <w:spacing w:before="60" w:after="60"/>
              <w:rPr>
                <w:szCs w:val="22"/>
                <w:lang w:val="en-CA" w:eastAsia="zh-CN"/>
              </w:rPr>
            </w:pPr>
          </w:p>
        </w:tc>
        <w:tc>
          <w:tcPr>
            <w:tcW w:w="900" w:type="dxa"/>
          </w:tcPr>
          <w:p w14:paraId="1836079D" w14:textId="5432298A" w:rsidR="00316F70" w:rsidRPr="00136AD5" w:rsidRDefault="00136AD5" w:rsidP="00BF5459">
            <w:pPr>
              <w:spacing w:before="60" w:after="60"/>
              <w:rPr>
                <w:sz w:val="24"/>
                <w:szCs w:val="24"/>
                <w:lang w:val="en-CA"/>
              </w:rPr>
            </w:pPr>
            <w:r>
              <w:rPr>
                <w:sz w:val="24"/>
                <w:szCs w:val="24"/>
                <w:lang w:val="en-CA"/>
              </w:rPr>
              <w:br/>
              <w:t>Tel:</w:t>
            </w:r>
            <w:r>
              <w:rPr>
                <w:sz w:val="24"/>
                <w:szCs w:val="24"/>
                <w:lang w:val="en-CA"/>
              </w:rPr>
              <w:br/>
              <w:t>Email:</w:t>
            </w:r>
          </w:p>
        </w:tc>
        <w:tc>
          <w:tcPr>
            <w:tcW w:w="3060" w:type="dxa"/>
          </w:tcPr>
          <w:p w14:paraId="78DBDAB5" w14:textId="36A73217" w:rsidR="00316F70" w:rsidRPr="00136AD5" w:rsidRDefault="00316F70" w:rsidP="00BF5459">
            <w:pPr>
              <w:spacing w:before="60" w:after="60"/>
              <w:rPr>
                <w:color w:val="0000FF"/>
                <w:szCs w:val="24"/>
                <w:u w:val="single"/>
                <w:lang w:val="en-CA"/>
              </w:rPr>
            </w:pPr>
            <w:r>
              <w:rPr>
                <w:sz w:val="24"/>
                <w:szCs w:val="24"/>
                <w:lang w:val="en-CA"/>
              </w:rPr>
              <w:br/>
            </w:r>
            <w:r w:rsidR="00136AD5">
              <w:rPr>
                <w:sz w:val="24"/>
                <w:szCs w:val="24"/>
                <w:lang w:val="en-CA"/>
              </w:rPr>
              <w:t>+1-650-</w:t>
            </w:r>
            <w:r w:rsidR="00136AD5" w:rsidRPr="0001759F">
              <w:rPr>
                <w:sz w:val="24"/>
                <w:szCs w:val="24"/>
                <w:lang w:val="en-CA"/>
              </w:rPr>
              <w:t>798-3300</w:t>
            </w:r>
            <w:r w:rsidRPr="00875EF8">
              <w:rPr>
                <w:sz w:val="24"/>
                <w:szCs w:val="24"/>
                <w:lang w:val="en-CA"/>
              </w:rPr>
              <w:br/>
            </w:r>
            <w:hyperlink r:id="rId9" w:history="1">
              <w:r w:rsidR="00136AD5" w:rsidRPr="004F452A">
                <w:rPr>
                  <w:rStyle w:val="Hyperlink"/>
                  <w:szCs w:val="24"/>
                  <w:lang w:val="en-CA"/>
                </w:rPr>
                <w:t>guichunli@tencent.com</w:t>
              </w:r>
            </w:hyperlink>
          </w:p>
        </w:tc>
      </w:tr>
      <w:tr w:rsidR="00316F70" w:rsidRPr="005B217D" w14:paraId="06B1AD81" w14:textId="77777777" w:rsidTr="00BF5459">
        <w:tc>
          <w:tcPr>
            <w:tcW w:w="1458" w:type="dxa"/>
          </w:tcPr>
          <w:p w14:paraId="46D8225F" w14:textId="77777777" w:rsidR="00316F70" w:rsidRPr="005B217D" w:rsidRDefault="00316F70" w:rsidP="00BF5459">
            <w:pPr>
              <w:spacing w:before="60" w:after="60"/>
              <w:rPr>
                <w:i/>
                <w:szCs w:val="22"/>
                <w:lang w:val="en-CA"/>
              </w:rPr>
            </w:pPr>
            <w:r w:rsidRPr="005B217D">
              <w:rPr>
                <w:i/>
                <w:szCs w:val="22"/>
                <w:lang w:val="en-CA"/>
              </w:rPr>
              <w:t>Source:</w:t>
            </w:r>
          </w:p>
        </w:tc>
        <w:tc>
          <w:tcPr>
            <w:tcW w:w="7902" w:type="dxa"/>
            <w:gridSpan w:val="3"/>
          </w:tcPr>
          <w:p w14:paraId="6CAB6795" w14:textId="4739602A" w:rsidR="00316F70" w:rsidRPr="005B217D" w:rsidRDefault="00316F70" w:rsidP="00BF5459">
            <w:pPr>
              <w:spacing w:before="60" w:after="60"/>
              <w:rPr>
                <w:szCs w:val="22"/>
                <w:lang w:val="en-CA"/>
              </w:rPr>
            </w:pPr>
            <w:r>
              <w:rPr>
                <w:szCs w:val="22"/>
                <w:lang w:val="en-CA"/>
              </w:rPr>
              <w:t>Tencent</w:t>
            </w:r>
          </w:p>
        </w:tc>
      </w:tr>
    </w:tbl>
    <w:p w14:paraId="6959D067" w14:textId="77777777" w:rsidR="00316F70" w:rsidRPr="005B217D" w:rsidRDefault="00316F70" w:rsidP="00316F70">
      <w:pPr>
        <w:tabs>
          <w:tab w:val="right" w:pos="9360"/>
        </w:tabs>
        <w:spacing w:before="120" w:after="240"/>
        <w:jc w:val="center"/>
        <w:rPr>
          <w:szCs w:val="22"/>
          <w:lang w:val="en-CA"/>
        </w:rPr>
      </w:pPr>
      <w:r w:rsidRPr="005B217D">
        <w:rPr>
          <w:szCs w:val="22"/>
          <w:u w:val="single"/>
          <w:lang w:val="en-CA"/>
        </w:rPr>
        <w:t>_____________________________</w:t>
      </w:r>
    </w:p>
    <w:p w14:paraId="359CF582" w14:textId="77777777" w:rsidR="00316F70" w:rsidRPr="005B217D" w:rsidRDefault="00316F70" w:rsidP="00316F70">
      <w:pPr>
        <w:pStyle w:val="Heading1"/>
        <w:numPr>
          <w:ilvl w:val="0"/>
          <w:numId w:val="0"/>
        </w:numPr>
        <w:ind w:left="432" w:hanging="432"/>
        <w:rPr>
          <w:lang w:val="en-CA"/>
        </w:rPr>
      </w:pPr>
      <w:r w:rsidRPr="005B217D">
        <w:rPr>
          <w:lang w:val="en-CA"/>
        </w:rPr>
        <w:t>Abstract</w:t>
      </w:r>
    </w:p>
    <w:p w14:paraId="722644B1" w14:textId="2DAB9F05" w:rsidR="00E84E6A" w:rsidRPr="00CF225C" w:rsidRDefault="00F6624F" w:rsidP="00CF225C">
      <w:pPr>
        <w:rPr>
          <w:lang w:val="en-CA" w:eastAsia="zh-CN"/>
        </w:rPr>
      </w:pPr>
      <w:r>
        <w:rPr>
          <w:lang w:val="en-CA" w:eastAsia="zh-CN"/>
        </w:rPr>
        <w:t>In this contribution,</w:t>
      </w:r>
      <w:r w:rsidR="001A5DF6">
        <w:rPr>
          <w:lang w:val="en-CA" w:eastAsia="zh-CN"/>
        </w:rPr>
        <w:t xml:space="preserve"> </w:t>
      </w:r>
      <w:r w:rsidR="00FC0295">
        <w:rPr>
          <w:lang w:val="en-CA" w:eastAsia="zh-CN"/>
        </w:rPr>
        <w:t>it is proposed to use an alternative DMVR early termination method which utilizes the neighbouring DMVR processing unit’s MV offset information</w:t>
      </w:r>
      <w:r w:rsidR="00AF4D67">
        <w:rPr>
          <w:lang w:val="en-CA" w:eastAsia="zh-CN"/>
        </w:rPr>
        <w:t xml:space="preserve">. </w:t>
      </w:r>
      <w:r w:rsidR="00EF68F2">
        <w:rPr>
          <w:lang w:val="en-CA" w:eastAsia="zh-CN"/>
        </w:rPr>
        <w:t xml:space="preserve">The proposed methods were implemented </w:t>
      </w:r>
      <w:r w:rsidR="002660DA">
        <w:rPr>
          <w:lang w:val="en-CA" w:eastAsia="zh-CN"/>
        </w:rPr>
        <w:t>on</w:t>
      </w:r>
      <w:r w:rsidR="00EF68F2">
        <w:rPr>
          <w:lang w:val="en-CA" w:eastAsia="zh-CN"/>
        </w:rPr>
        <w:t xml:space="preserve"> top of</w:t>
      </w:r>
      <w:r w:rsidR="002660DA">
        <w:rPr>
          <w:lang w:val="en-CA" w:eastAsia="zh-CN"/>
        </w:rPr>
        <w:t xml:space="preserve"> VTM-</w:t>
      </w:r>
      <w:r w:rsidR="007A1709">
        <w:rPr>
          <w:lang w:val="en-CA" w:eastAsia="zh-CN"/>
        </w:rPr>
        <w:t>6</w:t>
      </w:r>
      <w:r w:rsidR="002660DA">
        <w:rPr>
          <w:lang w:val="en-CA" w:eastAsia="zh-CN"/>
        </w:rPr>
        <w:t>.0, and simulations were conducted with common test conditions. It</w:t>
      </w:r>
      <w:r>
        <w:rPr>
          <w:lang w:val="en-CA" w:eastAsia="zh-CN"/>
        </w:rPr>
        <w:t xml:space="preserve"> </w:t>
      </w:r>
      <w:r w:rsidR="00763764">
        <w:rPr>
          <w:lang w:val="en-CA" w:eastAsia="zh-CN"/>
        </w:rPr>
        <w:t xml:space="preserve">is reported </w:t>
      </w:r>
      <w:r>
        <w:rPr>
          <w:lang w:val="en-CA" w:eastAsia="zh-CN"/>
        </w:rPr>
        <w:t xml:space="preserve">that </w:t>
      </w:r>
      <w:r w:rsidR="001A5DF6">
        <w:rPr>
          <w:lang w:val="en-CA" w:eastAsia="zh-CN"/>
        </w:rPr>
        <w:t xml:space="preserve">compared with </w:t>
      </w:r>
      <w:r w:rsidR="00725DCF">
        <w:rPr>
          <w:lang w:val="en-CA" w:eastAsia="zh-CN"/>
        </w:rPr>
        <w:t xml:space="preserve">VTM-6.0 </w:t>
      </w:r>
      <w:r w:rsidR="003255C0">
        <w:rPr>
          <w:lang w:val="en-CA" w:eastAsia="zh-CN"/>
        </w:rPr>
        <w:t>the proposed method</w:t>
      </w:r>
      <w:r w:rsidR="00EF68F2">
        <w:rPr>
          <w:lang w:val="en-CA" w:eastAsia="zh-CN"/>
        </w:rPr>
        <w:t>s</w:t>
      </w:r>
      <w:r w:rsidR="003255C0">
        <w:rPr>
          <w:lang w:val="en-CA" w:eastAsia="zh-CN"/>
        </w:rPr>
        <w:t xml:space="preserve"> </w:t>
      </w:r>
      <w:r w:rsidR="00EF68F2">
        <w:rPr>
          <w:lang w:val="en-CA" w:eastAsia="zh-CN"/>
        </w:rPr>
        <w:t>have overall</w:t>
      </w:r>
      <w:r w:rsidR="003255C0">
        <w:rPr>
          <w:lang w:val="en-CA" w:eastAsia="zh-CN"/>
        </w:rPr>
        <w:t xml:space="preserve"> </w:t>
      </w:r>
      <w:r w:rsidR="001A5DF6">
        <w:rPr>
          <w:lang w:val="en-CA" w:eastAsia="zh-CN"/>
        </w:rPr>
        <w:t xml:space="preserve">performance </w:t>
      </w:r>
      <w:r w:rsidR="008654DB">
        <w:rPr>
          <w:lang w:val="en-CA" w:eastAsia="zh-CN"/>
        </w:rPr>
        <w:t xml:space="preserve">on </w:t>
      </w:r>
      <w:r w:rsidR="00E84E6A" w:rsidRPr="00CF225C">
        <w:rPr>
          <w:lang w:val="en-CA" w:eastAsia="zh-CN"/>
        </w:rPr>
        <w:t xml:space="preserve">RA: </w:t>
      </w:r>
      <w:r w:rsidR="003255C0" w:rsidRPr="00CF225C">
        <w:rPr>
          <w:lang w:val="en-CA" w:eastAsia="zh-CN"/>
        </w:rPr>
        <w:t>0.0</w:t>
      </w:r>
      <w:r w:rsidR="00EB7718">
        <w:rPr>
          <w:lang w:val="en-CA" w:eastAsia="zh-CN"/>
        </w:rPr>
        <w:t>3</w:t>
      </w:r>
      <w:r w:rsidR="003255C0" w:rsidRPr="00CF225C">
        <w:rPr>
          <w:lang w:val="en-CA" w:eastAsia="zh-CN"/>
        </w:rPr>
        <w:t>%</w:t>
      </w:r>
      <w:r w:rsidR="00E84E6A" w:rsidRPr="00CF225C">
        <w:rPr>
          <w:lang w:val="en-CA" w:eastAsia="zh-CN"/>
        </w:rPr>
        <w:t xml:space="preserve">, Enc 100%, Dec </w:t>
      </w:r>
      <w:r w:rsidR="00742496">
        <w:rPr>
          <w:lang w:val="en-CA" w:eastAsia="zh-CN"/>
        </w:rPr>
        <w:t>100</w:t>
      </w:r>
      <w:r w:rsidR="00E84E6A" w:rsidRPr="00CF225C">
        <w:rPr>
          <w:lang w:val="en-CA" w:eastAsia="zh-CN"/>
        </w:rPr>
        <w:t>%</w:t>
      </w:r>
      <w:r w:rsidR="00742496">
        <w:rPr>
          <w:lang w:val="en-CA" w:eastAsia="zh-CN"/>
        </w:rPr>
        <w:t>, DMVR processing time 96%.</w:t>
      </w:r>
    </w:p>
    <w:p w14:paraId="4DA9DE80" w14:textId="77777777" w:rsidR="00316F70" w:rsidRPr="005B217D" w:rsidRDefault="00316F70" w:rsidP="00316F70">
      <w:pPr>
        <w:pStyle w:val="Heading1"/>
        <w:rPr>
          <w:lang w:val="en-CA"/>
        </w:rPr>
      </w:pPr>
      <w:r w:rsidRPr="005B217D">
        <w:rPr>
          <w:lang w:val="en-CA"/>
        </w:rPr>
        <w:t>Introduction</w:t>
      </w:r>
    </w:p>
    <w:p w14:paraId="0E5FEDEF" w14:textId="115D006D" w:rsidR="00244209" w:rsidRPr="00042EB0" w:rsidRDefault="00C94301" w:rsidP="0093010C">
      <w:pPr>
        <w:rPr>
          <w:szCs w:val="22"/>
          <w:lang w:val="x-none" w:eastAsia="zh-CN"/>
        </w:rPr>
      </w:pPr>
      <w:r>
        <w:rPr>
          <w:szCs w:val="22"/>
          <w:lang w:val="en-CA" w:eastAsia="zh-CN"/>
        </w:rPr>
        <w:t>Early termination is used for DMVR in</w:t>
      </w:r>
      <w:r w:rsidR="0094605B">
        <w:rPr>
          <w:szCs w:val="22"/>
          <w:lang w:val="en-CA" w:eastAsia="zh-CN"/>
        </w:rPr>
        <w:t xml:space="preserve"> current </w:t>
      </w:r>
      <w:r w:rsidR="007369A3">
        <w:rPr>
          <w:szCs w:val="22"/>
          <w:lang w:val="en-CA" w:eastAsia="zh-CN"/>
        </w:rPr>
        <w:t>VTM-6.0</w:t>
      </w:r>
      <w:r>
        <w:rPr>
          <w:szCs w:val="22"/>
          <w:lang w:val="en-CA" w:eastAsia="zh-CN"/>
        </w:rPr>
        <w:t>.</w:t>
      </w:r>
      <w:r w:rsidR="007369A3">
        <w:rPr>
          <w:szCs w:val="22"/>
          <w:lang w:val="en-CA" w:eastAsia="zh-CN"/>
        </w:rPr>
        <w:t xml:space="preserve"> </w:t>
      </w:r>
      <w:r>
        <w:t>I</w:t>
      </w:r>
      <w:r w:rsidR="004A2587" w:rsidRPr="004A2587">
        <w:rPr>
          <w:lang w:eastAsia="ko-KR"/>
        </w:rPr>
        <w:t>n the integer sample offset searching stage of DMVR, the SAD of the initial MV pair is first calculated and reduced by 1/4 of its original value. If the SAD of the initial MV pair is smaller than a threshold, the integer sample stage of DMVR is terminated, otherwise, SADs of the remaining 24 points are calculated and checked in raster scanning order. As it only considers the initial MV, this early termination process may not be always efficient.</w:t>
      </w:r>
    </w:p>
    <w:p w14:paraId="38171006" w14:textId="0D534276" w:rsidR="002B13DD" w:rsidRDefault="002B13DD" w:rsidP="0093010C">
      <w:pPr>
        <w:rPr>
          <w:szCs w:val="22"/>
          <w:lang w:val="en-CA" w:eastAsia="zh-CN"/>
        </w:rPr>
      </w:pPr>
    </w:p>
    <w:p w14:paraId="466497C4" w14:textId="131C71A5" w:rsidR="00316F70" w:rsidRDefault="00316F70" w:rsidP="00316F70">
      <w:pPr>
        <w:pStyle w:val="Heading1"/>
        <w:rPr>
          <w:lang w:val="en-CA" w:eastAsia="zh-CN"/>
        </w:rPr>
      </w:pPr>
      <w:r>
        <w:rPr>
          <w:rFonts w:hint="eastAsia"/>
          <w:lang w:val="en-CA" w:eastAsia="zh-CN"/>
        </w:rPr>
        <w:t>Proposed</w:t>
      </w:r>
      <w:r w:rsidR="00E92447">
        <w:rPr>
          <w:lang w:val="en-CA" w:eastAsia="zh-CN"/>
        </w:rPr>
        <w:t xml:space="preserve"> Method</w:t>
      </w:r>
    </w:p>
    <w:p w14:paraId="72325479" w14:textId="77777777" w:rsidR="00EA380A" w:rsidRDefault="00EB6F58" w:rsidP="00EB6F58">
      <w:pPr>
        <w:rPr>
          <w:lang w:eastAsia="ko-KR"/>
        </w:rPr>
      </w:pPr>
      <w:r w:rsidRPr="00237361">
        <w:rPr>
          <w:lang w:eastAsia="ko-KR"/>
        </w:rPr>
        <w:t>It is proposed to apply the early termination utilizing the MV offset of the above neighboring sub-PU and/or the MV offset of the left neighboring sub-PU in DMVR searching process.</w:t>
      </w:r>
      <w:r>
        <w:rPr>
          <w:lang w:eastAsia="ko-KR"/>
        </w:rPr>
        <w:t xml:space="preserve"> </w:t>
      </w:r>
    </w:p>
    <w:p w14:paraId="40931AB4" w14:textId="77777777" w:rsidR="0073394A" w:rsidRDefault="00EB6F58" w:rsidP="00EB6F58">
      <w:pPr>
        <w:rPr>
          <w:lang w:eastAsia="ko-KR"/>
        </w:rPr>
      </w:pPr>
      <w:r>
        <w:rPr>
          <w:lang w:eastAsia="ko-KR"/>
        </w:rPr>
        <w:t>For each sub-PU for DMVR processing, t</w:t>
      </w:r>
      <w:r w:rsidRPr="00237361">
        <w:rPr>
          <w:lang w:eastAsia="ko-KR"/>
        </w:rPr>
        <w:t>he zero MV offset</w:t>
      </w:r>
      <w:r>
        <w:rPr>
          <w:lang w:eastAsia="ko-KR"/>
        </w:rPr>
        <w:t xml:space="preserve"> (initial MV)</w:t>
      </w:r>
      <w:r w:rsidRPr="00237361">
        <w:rPr>
          <w:lang w:eastAsia="ko-KR"/>
        </w:rPr>
        <w:t xml:space="preserve">, the MV offset of the above neighboring sub-PU, and the MV offset of the left sub-PU </w:t>
      </w:r>
      <w:r>
        <w:rPr>
          <w:lang w:eastAsia="ko-KR"/>
        </w:rPr>
        <w:t>(when the above and</w:t>
      </w:r>
      <w:r w:rsidR="00EA380A">
        <w:rPr>
          <w:lang w:eastAsia="ko-KR"/>
        </w:rPr>
        <w:t>/or</w:t>
      </w:r>
      <w:r>
        <w:rPr>
          <w:lang w:eastAsia="ko-KR"/>
        </w:rPr>
        <w:t xml:space="preserve"> left neighbor sub-PUs are available) </w:t>
      </w:r>
      <w:r w:rsidRPr="00237361">
        <w:rPr>
          <w:lang w:eastAsia="ko-KR"/>
        </w:rPr>
        <w:t>are first checked. The minimum matching cost (</w:t>
      </w:r>
      <w:proofErr w:type="spellStart"/>
      <w:r w:rsidRPr="00237361">
        <w:rPr>
          <w:lang w:eastAsia="ko-KR"/>
        </w:rPr>
        <w:t>minCost</w:t>
      </w:r>
      <w:proofErr w:type="spellEnd"/>
      <w:r w:rsidRPr="00237361">
        <w:rPr>
          <w:lang w:eastAsia="ko-KR"/>
        </w:rPr>
        <w:t>) is scaled by a scaling factor</w:t>
      </w:r>
      <w:r>
        <w:rPr>
          <w:lang w:eastAsia="ko-KR"/>
        </w:rPr>
        <w:t xml:space="preserve"> (5/8)</w:t>
      </w:r>
      <w:r w:rsidRPr="00237361">
        <w:rPr>
          <w:lang w:eastAsia="ko-KR"/>
        </w:rPr>
        <w:t xml:space="preserve"> to calculate </w:t>
      </w:r>
      <w:proofErr w:type="spellStart"/>
      <w:r w:rsidRPr="00237361">
        <w:rPr>
          <w:lang w:eastAsia="ko-KR"/>
        </w:rPr>
        <w:t>minCost</w:t>
      </w:r>
      <w:proofErr w:type="spellEnd"/>
      <w:r w:rsidRPr="00237361">
        <w:rPr>
          <w:lang w:eastAsia="ko-KR"/>
        </w:rPr>
        <w:t>’</w:t>
      </w:r>
      <w:r>
        <w:rPr>
          <w:lang w:eastAsia="ko-KR"/>
        </w:rPr>
        <w:t> </w:t>
      </w:r>
      <w:r w:rsidRPr="00237361">
        <w:rPr>
          <w:lang w:eastAsia="ko-KR"/>
        </w:rPr>
        <w:t>=</w:t>
      </w:r>
      <w:r>
        <w:rPr>
          <w:lang w:eastAsia="ko-KR"/>
        </w:rPr>
        <w:t> </w:t>
      </w:r>
      <w:proofErr w:type="spellStart"/>
      <w:r w:rsidRPr="00237361">
        <w:rPr>
          <w:lang w:eastAsia="ko-KR"/>
        </w:rPr>
        <w:t>minCost</w:t>
      </w:r>
      <w:proofErr w:type="spellEnd"/>
      <w:r>
        <w:rPr>
          <w:lang w:eastAsia="ko-KR"/>
        </w:rPr>
        <w:t> </w:t>
      </w:r>
      <w:r w:rsidRPr="00237361">
        <w:rPr>
          <w:lang w:eastAsia="ko-KR"/>
        </w:rPr>
        <w:t>*</w:t>
      </w:r>
      <w:r>
        <w:rPr>
          <w:lang w:eastAsia="ko-KR"/>
        </w:rPr>
        <w:t> 5/8</w:t>
      </w:r>
      <w:r w:rsidRPr="00237361">
        <w:rPr>
          <w:lang w:eastAsia="ko-KR"/>
        </w:rPr>
        <w:t xml:space="preserve">. </w:t>
      </w:r>
    </w:p>
    <w:p w14:paraId="45936062" w14:textId="7BF4336B" w:rsidR="00EB6F58" w:rsidRDefault="00EB6F58" w:rsidP="00EB6F58">
      <w:pPr>
        <w:rPr>
          <w:lang w:eastAsia="ko-KR"/>
        </w:rPr>
      </w:pPr>
      <w:r w:rsidRPr="00237361">
        <w:rPr>
          <w:lang w:eastAsia="ko-KR"/>
        </w:rPr>
        <w:t>If the scaled</w:t>
      </w:r>
      <w:r w:rsidR="0073394A">
        <w:rPr>
          <w:lang w:eastAsia="ko-KR"/>
        </w:rPr>
        <w:t xml:space="preserve"> matching</w:t>
      </w:r>
      <w:r w:rsidRPr="00237361">
        <w:rPr>
          <w:lang w:eastAsia="ko-KR"/>
        </w:rPr>
        <w:t xml:space="preserve"> cost value </w:t>
      </w:r>
      <w:proofErr w:type="spellStart"/>
      <w:r w:rsidRPr="00237361">
        <w:rPr>
          <w:lang w:eastAsia="ko-KR"/>
        </w:rPr>
        <w:t>minCost</w:t>
      </w:r>
      <w:proofErr w:type="spellEnd"/>
      <w:r w:rsidRPr="00237361">
        <w:rPr>
          <w:lang w:eastAsia="ko-KR"/>
        </w:rPr>
        <w:t>’ is below a threshold</w:t>
      </w:r>
      <w:r w:rsidR="00D32A70">
        <w:rPr>
          <w:lang w:eastAsia="ko-KR"/>
        </w:rPr>
        <w:t xml:space="preserve"> (</w:t>
      </w:r>
      <w:proofErr w:type="spellStart"/>
      <w:r w:rsidR="00C60BDD">
        <w:rPr>
          <w:lang w:eastAsia="ko-KR"/>
        </w:rPr>
        <w:t>sbWidth</w:t>
      </w:r>
      <w:proofErr w:type="spellEnd"/>
      <w:r w:rsidR="00C60BDD">
        <w:rPr>
          <w:lang w:eastAsia="ko-KR"/>
        </w:rPr>
        <w:t xml:space="preserve"> * </w:t>
      </w:r>
      <w:proofErr w:type="spellStart"/>
      <w:r w:rsidR="00C60BDD">
        <w:rPr>
          <w:lang w:eastAsia="ko-KR"/>
        </w:rPr>
        <w:t>sbHeight</w:t>
      </w:r>
      <w:proofErr w:type="spellEnd"/>
      <w:r w:rsidR="00D32A70">
        <w:rPr>
          <w:lang w:eastAsia="ko-KR"/>
        </w:rPr>
        <w:t>)</w:t>
      </w:r>
      <w:r w:rsidRPr="00237361">
        <w:rPr>
          <w:lang w:eastAsia="ko-KR"/>
        </w:rPr>
        <w:t>,</w:t>
      </w:r>
      <w:r w:rsidR="00B17A9B">
        <w:rPr>
          <w:lang w:eastAsia="ko-KR"/>
        </w:rPr>
        <w:t xml:space="preserve"> where </w:t>
      </w:r>
      <w:proofErr w:type="spellStart"/>
      <w:r w:rsidR="00B17A9B">
        <w:rPr>
          <w:lang w:eastAsia="ko-KR"/>
        </w:rPr>
        <w:t>sbWidth</w:t>
      </w:r>
      <w:proofErr w:type="spellEnd"/>
      <w:r w:rsidR="00B17A9B">
        <w:rPr>
          <w:lang w:eastAsia="ko-KR"/>
        </w:rPr>
        <w:t xml:space="preserve"> and </w:t>
      </w:r>
      <w:proofErr w:type="spellStart"/>
      <w:r w:rsidR="00B17A9B">
        <w:rPr>
          <w:lang w:eastAsia="ko-KR"/>
        </w:rPr>
        <w:t>sbHeight</w:t>
      </w:r>
      <w:proofErr w:type="spellEnd"/>
      <w:r w:rsidR="00B17A9B">
        <w:rPr>
          <w:lang w:eastAsia="ko-KR"/>
        </w:rPr>
        <w:t xml:space="preserve"> are the width and height of the current DMVR processing sub-PU,</w:t>
      </w:r>
      <w:r w:rsidRPr="00237361">
        <w:rPr>
          <w:lang w:eastAsia="ko-KR"/>
        </w:rPr>
        <w:t xml:space="preserve"> the integer sample stage of DMVR is terminated</w:t>
      </w:r>
      <w:r w:rsidR="00EA380A">
        <w:rPr>
          <w:lang w:eastAsia="ko-KR"/>
        </w:rPr>
        <w:t>, and the</w:t>
      </w:r>
      <w:r w:rsidR="007A46E9">
        <w:rPr>
          <w:lang w:eastAsia="ko-KR"/>
        </w:rPr>
        <w:t xml:space="preserve"> corresponding</w:t>
      </w:r>
      <w:r w:rsidR="00EA380A">
        <w:rPr>
          <w:lang w:eastAsia="ko-KR"/>
        </w:rPr>
        <w:t xml:space="preserve"> MV offset</w:t>
      </w:r>
      <w:r w:rsidR="007A46E9">
        <w:rPr>
          <w:lang w:eastAsia="ko-KR"/>
        </w:rPr>
        <w:t xml:space="preserve"> is used as final MV offset.</w:t>
      </w:r>
    </w:p>
    <w:p w14:paraId="3548456B" w14:textId="77777777" w:rsidR="00EB6F58" w:rsidRDefault="00EB6F58" w:rsidP="00042EB0">
      <w:pPr>
        <w:keepNext/>
        <w:jc w:val="center"/>
      </w:pPr>
      <w:r w:rsidRPr="00237361">
        <w:rPr>
          <w:noProof/>
        </w:rPr>
        <w:lastRenderedPageBreak/>
        <w:drawing>
          <wp:inline distT="0" distB="0" distL="0" distR="0" wp14:anchorId="59C9EC38" wp14:editId="32780905">
            <wp:extent cx="3511296" cy="35204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1296" cy="3520440"/>
                    </a:xfrm>
                    <a:prstGeom prst="rect">
                      <a:avLst/>
                    </a:prstGeom>
                    <a:noFill/>
                    <a:ln>
                      <a:noFill/>
                    </a:ln>
                  </pic:spPr>
                </pic:pic>
              </a:graphicData>
            </a:graphic>
          </wp:inline>
        </w:drawing>
      </w:r>
    </w:p>
    <w:p w14:paraId="682B36B0" w14:textId="2C7C7FFE" w:rsidR="00EB6F58" w:rsidRDefault="00EB6F58" w:rsidP="00042EB0">
      <w:pPr>
        <w:pStyle w:val="Caption"/>
        <w:jc w:val="center"/>
        <w:rPr>
          <w:lang w:eastAsia="ko-KR"/>
        </w:rPr>
      </w:pPr>
      <w:r>
        <w:t xml:space="preserve">Figure </w:t>
      </w:r>
      <w:r w:rsidR="00DD371E">
        <w:fldChar w:fldCharType="begin"/>
      </w:r>
      <w:r w:rsidR="00DD371E">
        <w:instrText xml:space="preserve"> SEQ Figure \* ARABIC </w:instrText>
      </w:r>
      <w:r w:rsidR="00DD371E">
        <w:fldChar w:fldCharType="separate"/>
      </w:r>
      <w:r>
        <w:rPr>
          <w:noProof/>
        </w:rPr>
        <w:t>2</w:t>
      </w:r>
      <w:r w:rsidR="00DD371E">
        <w:rPr>
          <w:noProof/>
        </w:rPr>
        <w:fldChar w:fldCharType="end"/>
      </w:r>
      <w:r>
        <w:t xml:space="preserve"> - DMVR processing sub-PUs</w:t>
      </w:r>
    </w:p>
    <w:p w14:paraId="4B1540A1" w14:textId="77777777" w:rsidR="00EB6F58" w:rsidRPr="00237361" w:rsidRDefault="00EB6F58" w:rsidP="00EB6F58">
      <w:pPr>
        <w:rPr>
          <w:lang w:eastAsia="ko-KR"/>
        </w:rPr>
      </w:pPr>
    </w:p>
    <w:p w14:paraId="7043492A" w14:textId="77777777" w:rsidR="00316F70" w:rsidRDefault="00316F70" w:rsidP="00316F70">
      <w:pPr>
        <w:pStyle w:val="Heading1"/>
        <w:rPr>
          <w:lang w:val="en-CA" w:eastAsia="zh-CN"/>
        </w:rPr>
      </w:pPr>
      <w:r>
        <w:rPr>
          <w:rFonts w:hint="eastAsia"/>
          <w:lang w:val="en-CA" w:eastAsia="zh-CN"/>
        </w:rPr>
        <w:t>Experimental Results</w:t>
      </w:r>
    </w:p>
    <w:p w14:paraId="5AE90821" w14:textId="76B4E15D" w:rsidR="00603BC9" w:rsidRDefault="001160AD" w:rsidP="00536D06">
      <w:pPr>
        <w:rPr>
          <w:szCs w:val="22"/>
          <w:lang w:val="en-CA" w:eastAsia="zh-CN"/>
        </w:rPr>
      </w:pPr>
      <w:r>
        <w:rPr>
          <w:szCs w:val="22"/>
          <w:lang w:val="en-CA" w:eastAsia="zh-CN"/>
        </w:rPr>
        <w:t>The p</w:t>
      </w:r>
      <w:r w:rsidR="00316F70">
        <w:rPr>
          <w:szCs w:val="22"/>
          <w:lang w:val="en-CA" w:eastAsia="zh-CN"/>
        </w:rPr>
        <w:t>roposed</w:t>
      </w:r>
      <w:r w:rsidR="00316F70">
        <w:rPr>
          <w:rFonts w:hint="eastAsia"/>
          <w:szCs w:val="22"/>
          <w:lang w:val="en-CA" w:eastAsia="zh-CN"/>
        </w:rPr>
        <w:t xml:space="preserve"> method</w:t>
      </w:r>
      <w:r w:rsidR="00C64242">
        <w:rPr>
          <w:szCs w:val="22"/>
          <w:lang w:val="en-CA" w:eastAsia="zh-CN"/>
        </w:rPr>
        <w:t xml:space="preserve"> </w:t>
      </w:r>
      <w:r w:rsidR="0030775B">
        <w:rPr>
          <w:szCs w:val="22"/>
          <w:lang w:val="en-CA" w:eastAsia="zh-CN"/>
        </w:rPr>
        <w:t>w</w:t>
      </w:r>
      <w:r w:rsidR="00042EB0">
        <w:rPr>
          <w:szCs w:val="22"/>
          <w:lang w:val="en-CA" w:eastAsia="zh-CN"/>
        </w:rPr>
        <w:t>as</w:t>
      </w:r>
      <w:r w:rsidR="00C64242">
        <w:rPr>
          <w:szCs w:val="22"/>
          <w:lang w:val="en-CA" w:eastAsia="zh-CN"/>
        </w:rPr>
        <w:t xml:space="preserve"> </w:t>
      </w:r>
      <w:r w:rsidR="00316F70">
        <w:rPr>
          <w:rFonts w:hint="eastAsia"/>
          <w:szCs w:val="22"/>
          <w:lang w:val="en-CA" w:eastAsia="zh-CN"/>
        </w:rPr>
        <w:t xml:space="preserve">implemented </w:t>
      </w:r>
      <w:r w:rsidR="00C42953">
        <w:rPr>
          <w:szCs w:val="22"/>
          <w:lang w:val="en-CA" w:eastAsia="zh-CN"/>
        </w:rPr>
        <w:t>based on</w:t>
      </w:r>
      <w:r w:rsidR="00316F70">
        <w:rPr>
          <w:rFonts w:hint="eastAsia"/>
          <w:szCs w:val="22"/>
          <w:lang w:val="en-CA" w:eastAsia="zh-CN"/>
        </w:rPr>
        <w:t xml:space="preserve"> VTM</w:t>
      </w:r>
      <w:r w:rsidR="00C42953">
        <w:rPr>
          <w:szCs w:val="22"/>
          <w:lang w:val="en-CA" w:eastAsia="zh-CN"/>
        </w:rPr>
        <w:t>-</w:t>
      </w:r>
      <w:r w:rsidR="00CC168B">
        <w:rPr>
          <w:szCs w:val="22"/>
          <w:lang w:val="en-CA" w:eastAsia="zh-CN"/>
        </w:rPr>
        <w:t>6</w:t>
      </w:r>
      <w:r w:rsidR="00C42953">
        <w:rPr>
          <w:szCs w:val="22"/>
          <w:lang w:val="en-CA" w:eastAsia="zh-CN"/>
        </w:rPr>
        <w:t>.0</w:t>
      </w:r>
      <w:r w:rsidR="001669A1">
        <w:rPr>
          <w:rFonts w:hint="eastAsia"/>
          <w:szCs w:val="22"/>
          <w:lang w:val="en-CA" w:eastAsia="zh-CN"/>
        </w:rPr>
        <w:t>.</w:t>
      </w:r>
      <w:r w:rsidR="00CB1219">
        <w:rPr>
          <w:szCs w:val="22"/>
          <w:lang w:val="en-CA" w:eastAsia="zh-CN"/>
        </w:rPr>
        <w:t xml:space="preserve"> Since DMVR is only available in Random Access</w:t>
      </w:r>
      <w:r w:rsidR="001669A1">
        <w:rPr>
          <w:rFonts w:hint="eastAsia"/>
          <w:szCs w:val="22"/>
          <w:lang w:val="en-CA" w:eastAsia="zh-CN"/>
        </w:rPr>
        <w:t xml:space="preserve"> </w:t>
      </w:r>
      <w:r w:rsidR="00CB1219">
        <w:rPr>
          <w:szCs w:val="22"/>
          <w:lang w:val="en-CA" w:eastAsia="zh-CN"/>
        </w:rPr>
        <w:t>configuration, s</w:t>
      </w:r>
      <w:r w:rsidR="00536D06">
        <w:rPr>
          <w:szCs w:val="22"/>
          <w:lang w:val="en-CA" w:eastAsia="zh-CN"/>
        </w:rPr>
        <w:t>imulations</w:t>
      </w:r>
      <w:r w:rsidR="00C64242">
        <w:rPr>
          <w:szCs w:val="22"/>
          <w:lang w:val="en-CA" w:eastAsia="zh-CN"/>
        </w:rPr>
        <w:t xml:space="preserve"> w</w:t>
      </w:r>
      <w:r w:rsidR="00536D06">
        <w:rPr>
          <w:szCs w:val="22"/>
          <w:lang w:val="en-CA" w:eastAsia="zh-CN"/>
        </w:rPr>
        <w:t>ere</w:t>
      </w:r>
      <w:r w:rsidR="00C64242">
        <w:rPr>
          <w:szCs w:val="22"/>
          <w:lang w:val="en-CA" w:eastAsia="zh-CN"/>
        </w:rPr>
        <w:t xml:space="preserve"> conducted</w:t>
      </w:r>
      <w:r w:rsidR="00CB1219">
        <w:rPr>
          <w:szCs w:val="22"/>
          <w:lang w:val="en-CA" w:eastAsia="zh-CN"/>
        </w:rPr>
        <w:t xml:space="preserve"> on RA</w:t>
      </w:r>
      <w:r w:rsidR="004D471F">
        <w:rPr>
          <w:rFonts w:hint="eastAsia"/>
          <w:szCs w:val="22"/>
          <w:lang w:val="en-CA" w:eastAsia="zh-CN"/>
        </w:rPr>
        <w:t xml:space="preserve"> following JVET common test condition</w:t>
      </w:r>
      <w:r w:rsidR="00DA3217">
        <w:rPr>
          <w:szCs w:val="22"/>
          <w:lang w:val="en-CA" w:eastAsia="zh-CN"/>
        </w:rPr>
        <w:t>s</w:t>
      </w:r>
      <w:r w:rsidR="00CB5578">
        <w:rPr>
          <w:szCs w:val="22"/>
          <w:lang w:val="en-CA" w:eastAsia="zh-CN"/>
        </w:rPr>
        <w:t>. VTM-</w:t>
      </w:r>
      <w:r w:rsidR="00CC168B">
        <w:rPr>
          <w:szCs w:val="22"/>
          <w:lang w:val="en-CA" w:eastAsia="zh-CN"/>
        </w:rPr>
        <w:t>6</w:t>
      </w:r>
      <w:r w:rsidR="00CB5578">
        <w:rPr>
          <w:szCs w:val="22"/>
          <w:lang w:val="en-CA" w:eastAsia="zh-CN"/>
        </w:rPr>
        <w:t xml:space="preserve">.0 </w:t>
      </w:r>
      <w:r w:rsidR="0030775B">
        <w:rPr>
          <w:szCs w:val="22"/>
          <w:lang w:val="en-CA" w:eastAsia="zh-CN"/>
        </w:rPr>
        <w:t>was</w:t>
      </w:r>
      <w:r w:rsidR="00CB5578">
        <w:rPr>
          <w:szCs w:val="22"/>
          <w:lang w:val="en-CA" w:eastAsia="zh-CN"/>
        </w:rPr>
        <w:t xml:space="preserve"> used as anchor.</w:t>
      </w:r>
    </w:p>
    <w:p w14:paraId="3D32B38E" w14:textId="49DC9A0C" w:rsidR="008957A9" w:rsidRDefault="008957A9" w:rsidP="00154857">
      <w:pPr>
        <w:rPr>
          <w:lang w:val="en-CA" w:eastAsia="zh-CN"/>
        </w:rPr>
      </w:pPr>
      <w:r>
        <w:rPr>
          <w:lang w:val="en-CA" w:eastAsia="zh-CN"/>
        </w:rPr>
        <w:t>As shown in Table 3.1, it was observed that the BD-rate change of proposed method is 0.0</w:t>
      </w:r>
      <w:r w:rsidR="00CB1219">
        <w:rPr>
          <w:lang w:val="en-CA" w:eastAsia="zh-CN"/>
        </w:rPr>
        <w:t>3</w:t>
      </w:r>
      <w:r>
        <w:rPr>
          <w:lang w:val="en-CA" w:eastAsia="zh-CN"/>
        </w:rPr>
        <w:t>% on RA</w:t>
      </w:r>
      <w:r w:rsidR="00322492">
        <w:rPr>
          <w:lang w:val="en-CA" w:eastAsia="zh-CN"/>
        </w:rPr>
        <w:t>, compared with VTM-6.0 anchor.</w:t>
      </w:r>
    </w:p>
    <w:p w14:paraId="105F72AE" w14:textId="414A55D5" w:rsidR="00B520A6" w:rsidRPr="00154857" w:rsidRDefault="00B520A6" w:rsidP="00154857">
      <w:pPr>
        <w:rPr>
          <w:lang w:val="en-CA" w:eastAsia="zh-CN"/>
        </w:rPr>
      </w:pPr>
      <w:r>
        <w:rPr>
          <w:lang w:val="en-CA" w:eastAsia="zh-CN"/>
        </w:rPr>
        <w:t>DMVR processing time is also measured for both VTM-6.0 anchor and the proposed method. It was observed that the proposed method reduced DMVR processing time by 4% compared with VTM-6.0.</w:t>
      </w:r>
    </w:p>
    <w:p w14:paraId="02C79DD4" w14:textId="0B938DD7" w:rsidR="00316F70" w:rsidRDefault="00316F70" w:rsidP="00316F70">
      <w:pPr>
        <w:pStyle w:val="Caption"/>
        <w:keepNext/>
        <w:jc w:val="center"/>
      </w:pPr>
      <w:r w:rsidRPr="007955FC">
        <w:t xml:space="preserve">Table 3.1 </w:t>
      </w:r>
      <w:r w:rsidR="00651C8E">
        <w:t xml:space="preserve">Simulation </w:t>
      </w:r>
      <w:r w:rsidRPr="007955FC">
        <w:t>Result</w:t>
      </w:r>
      <w:r w:rsidR="00651C8E">
        <w:t>s</w:t>
      </w:r>
      <w:r w:rsidR="009B6595">
        <w:t xml:space="preserve"> of Method 1</w:t>
      </w:r>
    </w:p>
    <w:tbl>
      <w:tblPr>
        <w:tblW w:w="5000" w:type="pct"/>
        <w:jc w:val="center"/>
        <w:tblLook w:val="04A0" w:firstRow="1" w:lastRow="0" w:firstColumn="1" w:lastColumn="0" w:noHBand="0" w:noVBand="1"/>
      </w:tblPr>
      <w:tblGrid>
        <w:gridCol w:w="1389"/>
        <w:gridCol w:w="1401"/>
        <w:gridCol w:w="754"/>
        <w:gridCol w:w="2027"/>
        <w:gridCol w:w="1004"/>
        <w:gridCol w:w="1004"/>
        <w:gridCol w:w="1771"/>
      </w:tblGrid>
      <w:tr w:rsidR="001D4897" w:rsidRPr="001D4897" w14:paraId="5D7A2877" w14:textId="77777777" w:rsidTr="00933343">
        <w:trPr>
          <w:trHeight w:val="255"/>
          <w:jc w:val="center"/>
        </w:trPr>
        <w:tc>
          <w:tcPr>
            <w:tcW w:w="743" w:type="pct"/>
            <w:tcBorders>
              <w:top w:val="nil"/>
              <w:left w:val="nil"/>
              <w:bottom w:val="nil"/>
              <w:right w:val="nil"/>
            </w:tcBorders>
            <w:shd w:val="clear" w:color="auto" w:fill="auto"/>
            <w:noWrap/>
            <w:vAlign w:val="center"/>
            <w:hideMark/>
          </w:tcPr>
          <w:p w14:paraId="2201093F"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749" w:type="pct"/>
            <w:tcBorders>
              <w:top w:val="single" w:sz="8" w:space="0" w:color="auto"/>
              <w:left w:val="single" w:sz="8" w:space="0" w:color="auto"/>
              <w:bottom w:val="single" w:sz="8" w:space="0" w:color="auto"/>
              <w:right w:val="nil"/>
            </w:tcBorders>
            <w:shd w:val="clear" w:color="auto" w:fill="auto"/>
            <w:noWrap/>
            <w:vAlign w:val="center"/>
            <w:hideMark/>
          </w:tcPr>
          <w:p w14:paraId="1CCC7ECB"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897">
              <w:rPr>
                <w:rFonts w:ascii="Arial" w:eastAsia="Times New Roman" w:hAnsi="Arial" w:cs="Arial"/>
                <w:b/>
                <w:bCs/>
                <w:color w:val="000000"/>
                <w:sz w:val="18"/>
                <w:szCs w:val="18"/>
                <w:lang w:eastAsia="zh-CN"/>
              </w:rPr>
              <w:t> </w:t>
            </w:r>
          </w:p>
        </w:tc>
        <w:tc>
          <w:tcPr>
            <w:tcW w:w="403" w:type="pct"/>
            <w:tcBorders>
              <w:top w:val="single" w:sz="8" w:space="0" w:color="auto"/>
              <w:left w:val="nil"/>
              <w:bottom w:val="single" w:sz="8" w:space="0" w:color="auto"/>
              <w:right w:val="nil"/>
            </w:tcBorders>
            <w:shd w:val="clear" w:color="auto" w:fill="auto"/>
            <w:noWrap/>
            <w:vAlign w:val="center"/>
            <w:hideMark/>
          </w:tcPr>
          <w:p w14:paraId="6C290178"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1D4897">
              <w:rPr>
                <w:rFonts w:ascii="Calibri" w:eastAsia="Times New Roman" w:hAnsi="Calibri" w:cs="Calibri"/>
                <w:color w:val="000000"/>
                <w:sz w:val="24"/>
                <w:szCs w:val="24"/>
                <w:lang w:eastAsia="zh-CN"/>
              </w:rPr>
              <w:t> </w:t>
            </w:r>
          </w:p>
        </w:tc>
        <w:tc>
          <w:tcPr>
            <w:tcW w:w="1084" w:type="pct"/>
            <w:tcBorders>
              <w:top w:val="single" w:sz="8" w:space="0" w:color="auto"/>
              <w:left w:val="nil"/>
              <w:bottom w:val="single" w:sz="8" w:space="0" w:color="auto"/>
              <w:right w:val="nil"/>
            </w:tcBorders>
            <w:shd w:val="clear" w:color="auto" w:fill="auto"/>
            <w:noWrap/>
            <w:vAlign w:val="center"/>
            <w:hideMark/>
          </w:tcPr>
          <w:p w14:paraId="7C2A3C9F" w14:textId="25F7633A"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w:t>
            </w:r>
            <w:r w:rsidRPr="001D4897">
              <w:rPr>
                <w:rFonts w:ascii="Arial" w:eastAsia="Times New Roman" w:hAnsi="Arial" w:cs="Arial"/>
                <w:b/>
                <w:bCs/>
                <w:color w:val="000000"/>
                <w:sz w:val="18"/>
                <w:szCs w:val="18"/>
                <w:lang w:eastAsia="zh-CN"/>
              </w:rPr>
              <w:t xml:space="preserve"> </w:t>
            </w:r>
          </w:p>
        </w:tc>
        <w:tc>
          <w:tcPr>
            <w:tcW w:w="537" w:type="pct"/>
            <w:tcBorders>
              <w:top w:val="single" w:sz="8" w:space="0" w:color="auto"/>
              <w:left w:val="nil"/>
              <w:bottom w:val="single" w:sz="8" w:space="0" w:color="auto"/>
              <w:right w:val="nil"/>
            </w:tcBorders>
            <w:shd w:val="clear" w:color="auto" w:fill="auto"/>
            <w:noWrap/>
            <w:vAlign w:val="center"/>
            <w:hideMark/>
          </w:tcPr>
          <w:p w14:paraId="7B648C7B"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1D4897">
              <w:rPr>
                <w:rFonts w:ascii="Calibri" w:eastAsia="Times New Roman" w:hAnsi="Calibri" w:cs="Calibri"/>
                <w:color w:val="000000"/>
                <w:sz w:val="24"/>
                <w:szCs w:val="24"/>
                <w:lang w:eastAsia="zh-CN"/>
              </w:rPr>
              <w:t> </w:t>
            </w:r>
          </w:p>
        </w:tc>
        <w:tc>
          <w:tcPr>
            <w:tcW w:w="537" w:type="pct"/>
            <w:tcBorders>
              <w:top w:val="single" w:sz="8" w:space="0" w:color="auto"/>
              <w:left w:val="nil"/>
              <w:bottom w:val="single" w:sz="8" w:space="0" w:color="auto"/>
              <w:right w:val="single" w:sz="8" w:space="0" w:color="auto"/>
            </w:tcBorders>
            <w:shd w:val="clear" w:color="auto" w:fill="auto"/>
            <w:noWrap/>
            <w:vAlign w:val="center"/>
            <w:hideMark/>
          </w:tcPr>
          <w:p w14:paraId="5B6E3A1A"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1D4897">
              <w:rPr>
                <w:rFonts w:ascii="Calibri" w:eastAsia="Times New Roman" w:hAnsi="Calibri" w:cs="Calibri"/>
                <w:color w:val="000000"/>
                <w:sz w:val="24"/>
                <w:szCs w:val="24"/>
                <w:lang w:eastAsia="zh-CN"/>
              </w:rPr>
              <w:t> </w:t>
            </w:r>
          </w:p>
        </w:tc>
        <w:tc>
          <w:tcPr>
            <w:tcW w:w="94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B7D52F"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1D4897">
              <w:rPr>
                <w:rFonts w:ascii="Calibri" w:eastAsia="Times New Roman" w:hAnsi="Calibri" w:cs="Calibri"/>
                <w:color w:val="000000"/>
                <w:sz w:val="24"/>
                <w:szCs w:val="24"/>
                <w:lang w:eastAsia="zh-CN"/>
              </w:rPr>
              <w:t> </w:t>
            </w:r>
          </w:p>
        </w:tc>
      </w:tr>
      <w:tr w:rsidR="001D4897" w:rsidRPr="001D4897" w14:paraId="274F1D5C" w14:textId="77777777" w:rsidTr="00933343">
        <w:trPr>
          <w:trHeight w:val="255"/>
          <w:jc w:val="center"/>
        </w:trPr>
        <w:tc>
          <w:tcPr>
            <w:tcW w:w="743" w:type="pct"/>
            <w:tcBorders>
              <w:top w:val="nil"/>
              <w:left w:val="nil"/>
              <w:bottom w:val="nil"/>
              <w:right w:val="nil"/>
            </w:tcBorders>
            <w:shd w:val="clear" w:color="auto" w:fill="auto"/>
            <w:noWrap/>
            <w:vAlign w:val="center"/>
            <w:hideMark/>
          </w:tcPr>
          <w:p w14:paraId="326F4682"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749" w:type="pct"/>
            <w:tcBorders>
              <w:top w:val="nil"/>
              <w:left w:val="single" w:sz="8" w:space="0" w:color="auto"/>
              <w:bottom w:val="nil"/>
              <w:right w:val="nil"/>
            </w:tcBorders>
            <w:shd w:val="clear" w:color="auto" w:fill="auto"/>
            <w:noWrap/>
            <w:vAlign w:val="center"/>
            <w:hideMark/>
          </w:tcPr>
          <w:p w14:paraId="71F0A491"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897">
              <w:rPr>
                <w:rFonts w:ascii="Arial" w:eastAsia="Times New Roman" w:hAnsi="Arial" w:cs="Arial"/>
                <w:b/>
                <w:bCs/>
                <w:color w:val="000000"/>
                <w:sz w:val="18"/>
                <w:szCs w:val="18"/>
                <w:lang w:eastAsia="zh-CN"/>
              </w:rPr>
              <w:t> </w:t>
            </w:r>
          </w:p>
        </w:tc>
        <w:tc>
          <w:tcPr>
            <w:tcW w:w="403" w:type="pct"/>
            <w:tcBorders>
              <w:top w:val="nil"/>
              <w:left w:val="nil"/>
              <w:bottom w:val="nil"/>
              <w:right w:val="nil"/>
            </w:tcBorders>
            <w:shd w:val="clear" w:color="auto" w:fill="auto"/>
            <w:noWrap/>
            <w:vAlign w:val="center"/>
            <w:hideMark/>
          </w:tcPr>
          <w:p w14:paraId="37E6497C"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897">
              <w:rPr>
                <w:rFonts w:ascii="Arial" w:eastAsia="Times New Roman" w:hAnsi="Arial" w:cs="Arial"/>
                <w:b/>
                <w:bCs/>
                <w:color w:val="000000"/>
                <w:sz w:val="18"/>
                <w:szCs w:val="18"/>
                <w:lang w:eastAsia="zh-CN"/>
              </w:rPr>
              <w:t> </w:t>
            </w:r>
          </w:p>
        </w:tc>
        <w:tc>
          <w:tcPr>
            <w:tcW w:w="1084" w:type="pct"/>
            <w:tcBorders>
              <w:top w:val="nil"/>
              <w:left w:val="nil"/>
              <w:bottom w:val="nil"/>
              <w:right w:val="nil"/>
            </w:tcBorders>
            <w:shd w:val="clear" w:color="auto" w:fill="auto"/>
            <w:noWrap/>
            <w:vAlign w:val="center"/>
            <w:hideMark/>
          </w:tcPr>
          <w:p w14:paraId="189DE8CD"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897">
              <w:rPr>
                <w:rFonts w:ascii="Arial" w:eastAsia="Times New Roman" w:hAnsi="Arial" w:cs="Arial"/>
                <w:b/>
                <w:bCs/>
                <w:color w:val="000000"/>
                <w:sz w:val="18"/>
                <w:szCs w:val="18"/>
                <w:lang w:eastAsia="zh-CN"/>
              </w:rPr>
              <w:t>Over VTM-6.0</w:t>
            </w:r>
          </w:p>
        </w:tc>
        <w:tc>
          <w:tcPr>
            <w:tcW w:w="537" w:type="pct"/>
            <w:tcBorders>
              <w:top w:val="nil"/>
              <w:left w:val="nil"/>
              <w:bottom w:val="nil"/>
              <w:right w:val="nil"/>
            </w:tcBorders>
            <w:shd w:val="clear" w:color="auto" w:fill="auto"/>
            <w:noWrap/>
            <w:vAlign w:val="center"/>
            <w:hideMark/>
          </w:tcPr>
          <w:p w14:paraId="7CF8B046"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897">
              <w:rPr>
                <w:rFonts w:ascii="Arial" w:eastAsia="Times New Roman" w:hAnsi="Arial" w:cs="Arial"/>
                <w:b/>
                <w:bCs/>
                <w:color w:val="000000"/>
                <w:sz w:val="18"/>
                <w:szCs w:val="18"/>
                <w:lang w:eastAsia="zh-CN"/>
              </w:rPr>
              <w:t> </w:t>
            </w:r>
          </w:p>
        </w:tc>
        <w:tc>
          <w:tcPr>
            <w:tcW w:w="537" w:type="pct"/>
            <w:tcBorders>
              <w:top w:val="nil"/>
              <w:left w:val="nil"/>
              <w:bottom w:val="nil"/>
              <w:right w:val="single" w:sz="8" w:space="0" w:color="auto"/>
            </w:tcBorders>
            <w:shd w:val="clear" w:color="auto" w:fill="auto"/>
            <w:noWrap/>
            <w:vAlign w:val="center"/>
            <w:hideMark/>
          </w:tcPr>
          <w:p w14:paraId="6B8F6949"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897">
              <w:rPr>
                <w:rFonts w:ascii="Arial" w:eastAsia="Times New Roman" w:hAnsi="Arial" w:cs="Arial"/>
                <w:b/>
                <w:bCs/>
                <w:color w:val="000000"/>
                <w:sz w:val="18"/>
                <w:szCs w:val="18"/>
                <w:lang w:eastAsia="zh-CN"/>
              </w:rPr>
              <w:t> </w:t>
            </w:r>
          </w:p>
        </w:tc>
        <w:tc>
          <w:tcPr>
            <w:tcW w:w="947" w:type="pct"/>
            <w:tcBorders>
              <w:top w:val="nil"/>
              <w:left w:val="nil"/>
              <w:bottom w:val="nil"/>
              <w:right w:val="single" w:sz="8" w:space="0" w:color="auto"/>
            </w:tcBorders>
            <w:shd w:val="clear" w:color="auto" w:fill="auto"/>
            <w:noWrap/>
            <w:vAlign w:val="center"/>
            <w:hideMark/>
          </w:tcPr>
          <w:p w14:paraId="77C6F919"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897">
              <w:rPr>
                <w:rFonts w:ascii="Arial" w:eastAsia="Times New Roman" w:hAnsi="Arial" w:cs="Arial"/>
                <w:b/>
                <w:bCs/>
                <w:color w:val="000000"/>
                <w:sz w:val="18"/>
                <w:szCs w:val="18"/>
                <w:lang w:eastAsia="zh-CN"/>
              </w:rPr>
              <w:t> </w:t>
            </w:r>
          </w:p>
        </w:tc>
      </w:tr>
      <w:tr w:rsidR="001D4897" w:rsidRPr="001D4897" w14:paraId="31FC9D45" w14:textId="77777777" w:rsidTr="00933343">
        <w:trPr>
          <w:trHeight w:val="255"/>
          <w:jc w:val="center"/>
        </w:trPr>
        <w:tc>
          <w:tcPr>
            <w:tcW w:w="743" w:type="pct"/>
            <w:tcBorders>
              <w:top w:val="nil"/>
              <w:left w:val="nil"/>
              <w:bottom w:val="nil"/>
              <w:right w:val="nil"/>
            </w:tcBorders>
            <w:shd w:val="clear" w:color="auto" w:fill="auto"/>
            <w:noWrap/>
            <w:vAlign w:val="center"/>
            <w:hideMark/>
          </w:tcPr>
          <w:p w14:paraId="21260DD8"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749" w:type="pct"/>
            <w:tcBorders>
              <w:top w:val="nil"/>
              <w:left w:val="single" w:sz="8" w:space="0" w:color="auto"/>
              <w:bottom w:val="single" w:sz="8" w:space="0" w:color="auto"/>
              <w:right w:val="nil"/>
            </w:tcBorders>
            <w:shd w:val="clear" w:color="auto" w:fill="auto"/>
            <w:noWrap/>
            <w:vAlign w:val="center"/>
            <w:hideMark/>
          </w:tcPr>
          <w:p w14:paraId="4BEDCC85"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Y</w:t>
            </w:r>
          </w:p>
        </w:tc>
        <w:tc>
          <w:tcPr>
            <w:tcW w:w="403" w:type="pct"/>
            <w:tcBorders>
              <w:top w:val="nil"/>
              <w:left w:val="nil"/>
              <w:bottom w:val="single" w:sz="8" w:space="0" w:color="auto"/>
              <w:right w:val="nil"/>
            </w:tcBorders>
            <w:shd w:val="clear" w:color="auto" w:fill="auto"/>
            <w:noWrap/>
            <w:vAlign w:val="center"/>
            <w:hideMark/>
          </w:tcPr>
          <w:p w14:paraId="7CCBD4DE"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U</w:t>
            </w:r>
          </w:p>
        </w:tc>
        <w:tc>
          <w:tcPr>
            <w:tcW w:w="1084" w:type="pct"/>
            <w:tcBorders>
              <w:top w:val="nil"/>
              <w:left w:val="nil"/>
              <w:bottom w:val="single" w:sz="8" w:space="0" w:color="auto"/>
              <w:right w:val="single" w:sz="4" w:space="0" w:color="auto"/>
            </w:tcBorders>
            <w:shd w:val="clear" w:color="auto" w:fill="auto"/>
            <w:noWrap/>
            <w:vAlign w:val="center"/>
            <w:hideMark/>
          </w:tcPr>
          <w:p w14:paraId="32B23E96"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V</w:t>
            </w:r>
          </w:p>
        </w:tc>
        <w:tc>
          <w:tcPr>
            <w:tcW w:w="537" w:type="pct"/>
            <w:tcBorders>
              <w:top w:val="nil"/>
              <w:left w:val="nil"/>
              <w:bottom w:val="single" w:sz="8" w:space="0" w:color="auto"/>
              <w:right w:val="nil"/>
            </w:tcBorders>
            <w:shd w:val="clear" w:color="auto" w:fill="auto"/>
            <w:noWrap/>
            <w:vAlign w:val="center"/>
            <w:hideMark/>
          </w:tcPr>
          <w:p w14:paraId="7B17D6BB"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897">
              <w:rPr>
                <w:rFonts w:ascii="Arial" w:eastAsia="Times New Roman" w:hAnsi="Arial" w:cs="Arial"/>
                <w:color w:val="000000"/>
                <w:sz w:val="18"/>
                <w:szCs w:val="18"/>
                <w:lang w:eastAsia="zh-CN"/>
              </w:rPr>
              <w:t>EncT</w:t>
            </w:r>
            <w:proofErr w:type="spellEnd"/>
          </w:p>
        </w:tc>
        <w:tc>
          <w:tcPr>
            <w:tcW w:w="537" w:type="pct"/>
            <w:tcBorders>
              <w:top w:val="nil"/>
              <w:left w:val="nil"/>
              <w:bottom w:val="single" w:sz="8" w:space="0" w:color="auto"/>
              <w:right w:val="single" w:sz="8" w:space="0" w:color="auto"/>
            </w:tcBorders>
            <w:shd w:val="clear" w:color="auto" w:fill="auto"/>
            <w:noWrap/>
            <w:vAlign w:val="center"/>
            <w:hideMark/>
          </w:tcPr>
          <w:p w14:paraId="5C95C6C2"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897">
              <w:rPr>
                <w:rFonts w:ascii="Arial" w:eastAsia="Times New Roman" w:hAnsi="Arial" w:cs="Arial"/>
                <w:color w:val="000000"/>
                <w:sz w:val="18"/>
                <w:szCs w:val="18"/>
                <w:lang w:eastAsia="zh-CN"/>
              </w:rPr>
              <w:t>DecT</w:t>
            </w:r>
            <w:proofErr w:type="spellEnd"/>
          </w:p>
        </w:tc>
        <w:tc>
          <w:tcPr>
            <w:tcW w:w="947" w:type="pct"/>
            <w:tcBorders>
              <w:top w:val="nil"/>
              <w:left w:val="nil"/>
              <w:bottom w:val="nil"/>
              <w:right w:val="single" w:sz="8" w:space="0" w:color="auto"/>
            </w:tcBorders>
            <w:shd w:val="clear" w:color="auto" w:fill="auto"/>
            <w:noWrap/>
            <w:vAlign w:val="bottom"/>
            <w:hideMark/>
          </w:tcPr>
          <w:p w14:paraId="78F6E002" w14:textId="108B21B1" w:rsidR="001D4897" w:rsidRPr="001D4897" w:rsidRDefault="001D4897" w:rsidP="008D4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DMVR T</w:t>
            </w:r>
            <w:r w:rsidR="000A1266">
              <w:rPr>
                <w:rFonts w:ascii="Arial" w:eastAsia="Times New Roman" w:hAnsi="Arial" w:cs="Arial"/>
                <w:color w:val="000000"/>
                <w:sz w:val="18"/>
                <w:szCs w:val="18"/>
                <w:lang w:eastAsia="zh-CN"/>
              </w:rPr>
              <w:t>ime</w:t>
            </w:r>
          </w:p>
        </w:tc>
      </w:tr>
      <w:tr w:rsidR="001D4897" w:rsidRPr="001D4897" w14:paraId="32E21448" w14:textId="77777777" w:rsidTr="00933343">
        <w:trPr>
          <w:trHeight w:val="255"/>
          <w:jc w:val="center"/>
        </w:trPr>
        <w:tc>
          <w:tcPr>
            <w:tcW w:w="743" w:type="pct"/>
            <w:tcBorders>
              <w:top w:val="single" w:sz="8" w:space="0" w:color="auto"/>
              <w:left w:val="single" w:sz="8" w:space="0" w:color="auto"/>
              <w:bottom w:val="nil"/>
              <w:right w:val="single" w:sz="8" w:space="0" w:color="auto"/>
            </w:tcBorders>
            <w:shd w:val="clear" w:color="auto" w:fill="auto"/>
            <w:noWrap/>
            <w:vAlign w:val="center"/>
            <w:hideMark/>
          </w:tcPr>
          <w:p w14:paraId="432A3350"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Class A1</w:t>
            </w:r>
          </w:p>
        </w:tc>
        <w:tc>
          <w:tcPr>
            <w:tcW w:w="749" w:type="pct"/>
            <w:tcBorders>
              <w:top w:val="nil"/>
              <w:left w:val="nil"/>
              <w:bottom w:val="nil"/>
              <w:right w:val="nil"/>
            </w:tcBorders>
            <w:shd w:val="clear" w:color="auto" w:fill="auto"/>
            <w:noWrap/>
            <w:vAlign w:val="center"/>
            <w:hideMark/>
          </w:tcPr>
          <w:p w14:paraId="44FF5655"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0.04%</w:t>
            </w:r>
          </w:p>
        </w:tc>
        <w:tc>
          <w:tcPr>
            <w:tcW w:w="403" w:type="pct"/>
            <w:tcBorders>
              <w:top w:val="nil"/>
              <w:left w:val="nil"/>
              <w:bottom w:val="nil"/>
              <w:right w:val="nil"/>
            </w:tcBorders>
            <w:shd w:val="clear" w:color="auto" w:fill="auto"/>
            <w:noWrap/>
            <w:vAlign w:val="center"/>
            <w:hideMark/>
          </w:tcPr>
          <w:p w14:paraId="129FE5A8"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0.03%</w:t>
            </w:r>
          </w:p>
        </w:tc>
        <w:tc>
          <w:tcPr>
            <w:tcW w:w="1084" w:type="pct"/>
            <w:tcBorders>
              <w:top w:val="nil"/>
              <w:left w:val="nil"/>
              <w:bottom w:val="nil"/>
              <w:right w:val="single" w:sz="4" w:space="0" w:color="auto"/>
            </w:tcBorders>
            <w:shd w:val="clear" w:color="auto" w:fill="auto"/>
            <w:noWrap/>
            <w:vAlign w:val="center"/>
            <w:hideMark/>
          </w:tcPr>
          <w:p w14:paraId="1B3A0B4A"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0.02%</w:t>
            </w:r>
          </w:p>
        </w:tc>
        <w:tc>
          <w:tcPr>
            <w:tcW w:w="537" w:type="pct"/>
            <w:tcBorders>
              <w:top w:val="nil"/>
              <w:left w:val="nil"/>
              <w:bottom w:val="nil"/>
              <w:right w:val="nil"/>
            </w:tcBorders>
            <w:shd w:val="clear" w:color="auto" w:fill="auto"/>
            <w:noWrap/>
            <w:vAlign w:val="center"/>
            <w:hideMark/>
          </w:tcPr>
          <w:p w14:paraId="1CCFE4A3"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100%</w:t>
            </w:r>
          </w:p>
        </w:tc>
        <w:tc>
          <w:tcPr>
            <w:tcW w:w="537" w:type="pct"/>
            <w:tcBorders>
              <w:top w:val="nil"/>
              <w:left w:val="nil"/>
              <w:bottom w:val="nil"/>
              <w:right w:val="single" w:sz="8" w:space="0" w:color="auto"/>
            </w:tcBorders>
            <w:shd w:val="clear" w:color="auto" w:fill="auto"/>
            <w:noWrap/>
            <w:vAlign w:val="center"/>
            <w:hideMark/>
          </w:tcPr>
          <w:p w14:paraId="6E82F104"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99%</w:t>
            </w:r>
          </w:p>
        </w:tc>
        <w:tc>
          <w:tcPr>
            <w:tcW w:w="947" w:type="pct"/>
            <w:tcBorders>
              <w:top w:val="single" w:sz="8" w:space="0" w:color="auto"/>
              <w:left w:val="nil"/>
              <w:bottom w:val="nil"/>
              <w:right w:val="single" w:sz="8" w:space="0" w:color="auto"/>
            </w:tcBorders>
            <w:shd w:val="clear" w:color="auto" w:fill="auto"/>
            <w:noWrap/>
            <w:vAlign w:val="center"/>
            <w:hideMark/>
          </w:tcPr>
          <w:p w14:paraId="30652250"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98%</w:t>
            </w:r>
          </w:p>
        </w:tc>
      </w:tr>
      <w:tr w:rsidR="001D4897" w:rsidRPr="001D4897" w14:paraId="67FC12E2" w14:textId="77777777" w:rsidTr="00933343">
        <w:trPr>
          <w:trHeight w:val="255"/>
          <w:jc w:val="center"/>
        </w:trPr>
        <w:tc>
          <w:tcPr>
            <w:tcW w:w="743" w:type="pct"/>
            <w:tcBorders>
              <w:top w:val="nil"/>
              <w:left w:val="single" w:sz="8" w:space="0" w:color="auto"/>
              <w:bottom w:val="nil"/>
              <w:right w:val="single" w:sz="8" w:space="0" w:color="auto"/>
            </w:tcBorders>
            <w:shd w:val="clear" w:color="auto" w:fill="auto"/>
            <w:noWrap/>
            <w:vAlign w:val="center"/>
            <w:hideMark/>
          </w:tcPr>
          <w:p w14:paraId="2630D0FF"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Class A2</w:t>
            </w:r>
          </w:p>
        </w:tc>
        <w:tc>
          <w:tcPr>
            <w:tcW w:w="749" w:type="pct"/>
            <w:tcBorders>
              <w:top w:val="nil"/>
              <w:left w:val="nil"/>
              <w:bottom w:val="nil"/>
              <w:right w:val="nil"/>
            </w:tcBorders>
            <w:shd w:val="clear" w:color="auto" w:fill="auto"/>
            <w:noWrap/>
            <w:vAlign w:val="center"/>
            <w:hideMark/>
          </w:tcPr>
          <w:p w14:paraId="39CE7B03"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0.04%</w:t>
            </w:r>
          </w:p>
        </w:tc>
        <w:tc>
          <w:tcPr>
            <w:tcW w:w="403" w:type="pct"/>
            <w:tcBorders>
              <w:top w:val="nil"/>
              <w:left w:val="nil"/>
              <w:bottom w:val="nil"/>
              <w:right w:val="nil"/>
            </w:tcBorders>
            <w:shd w:val="clear" w:color="auto" w:fill="auto"/>
            <w:noWrap/>
            <w:vAlign w:val="center"/>
            <w:hideMark/>
          </w:tcPr>
          <w:p w14:paraId="4151FAA8"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0.08%</w:t>
            </w:r>
          </w:p>
        </w:tc>
        <w:tc>
          <w:tcPr>
            <w:tcW w:w="1084" w:type="pct"/>
            <w:tcBorders>
              <w:top w:val="nil"/>
              <w:left w:val="nil"/>
              <w:bottom w:val="nil"/>
              <w:right w:val="single" w:sz="4" w:space="0" w:color="auto"/>
            </w:tcBorders>
            <w:shd w:val="clear" w:color="auto" w:fill="auto"/>
            <w:noWrap/>
            <w:vAlign w:val="center"/>
            <w:hideMark/>
          </w:tcPr>
          <w:p w14:paraId="0109CD56"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0.10%</w:t>
            </w:r>
          </w:p>
        </w:tc>
        <w:tc>
          <w:tcPr>
            <w:tcW w:w="537" w:type="pct"/>
            <w:tcBorders>
              <w:top w:val="nil"/>
              <w:left w:val="nil"/>
              <w:bottom w:val="nil"/>
              <w:right w:val="nil"/>
            </w:tcBorders>
            <w:shd w:val="clear" w:color="auto" w:fill="auto"/>
            <w:noWrap/>
            <w:vAlign w:val="center"/>
            <w:hideMark/>
          </w:tcPr>
          <w:p w14:paraId="70170899"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100%</w:t>
            </w:r>
          </w:p>
        </w:tc>
        <w:tc>
          <w:tcPr>
            <w:tcW w:w="537" w:type="pct"/>
            <w:tcBorders>
              <w:top w:val="nil"/>
              <w:left w:val="nil"/>
              <w:bottom w:val="nil"/>
              <w:right w:val="single" w:sz="8" w:space="0" w:color="auto"/>
            </w:tcBorders>
            <w:shd w:val="clear" w:color="auto" w:fill="auto"/>
            <w:noWrap/>
            <w:vAlign w:val="center"/>
            <w:hideMark/>
          </w:tcPr>
          <w:p w14:paraId="3EB1C3CE"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100%</w:t>
            </w:r>
          </w:p>
        </w:tc>
        <w:tc>
          <w:tcPr>
            <w:tcW w:w="947" w:type="pct"/>
            <w:tcBorders>
              <w:top w:val="nil"/>
              <w:left w:val="nil"/>
              <w:bottom w:val="nil"/>
              <w:right w:val="single" w:sz="8" w:space="0" w:color="auto"/>
            </w:tcBorders>
            <w:shd w:val="clear" w:color="auto" w:fill="auto"/>
            <w:noWrap/>
            <w:vAlign w:val="center"/>
            <w:hideMark/>
          </w:tcPr>
          <w:p w14:paraId="44B17C58"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98%</w:t>
            </w:r>
          </w:p>
        </w:tc>
      </w:tr>
      <w:tr w:rsidR="001D4897" w:rsidRPr="001D4897" w14:paraId="64118B62" w14:textId="77777777" w:rsidTr="00933343">
        <w:trPr>
          <w:trHeight w:val="255"/>
          <w:jc w:val="center"/>
        </w:trPr>
        <w:tc>
          <w:tcPr>
            <w:tcW w:w="743" w:type="pct"/>
            <w:tcBorders>
              <w:top w:val="nil"/>
              <w:left w:val="single" w:sz="8" w:space="0" w:color="auto"/>
              <w:bottom w:val="nil"/>
              <w:right w:val="single" w:sz="8" w:space="0" w:color="auto"/>
            </w:tcBorders>
            <w:shd w:val="clear" w:color="auto" w:fill="auto"/>
            <w:noWrap/>
            <w:vAlign w:val="center"/>
            <w:hideMark/>
          </w:tcPr>
          <w:p w14:paraId="4C6D5CEA"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Class B</w:t>
            </w:r>
          </w:p>
        </w:tc>
        <w:tc>
          <w:tcPr>
            <w:tcW w:w="749" w:type="pct"/>
            <w:tcBorders>
              <w:top w:val="nil"/>
              <w:left w:val="nil"/>
              <w:bottom w:val="nil"/>
              <w:right w:val="nil"/>
            </w:tcBorders>
            <w:shd w:val="clear" w:color="auto" w:fill="auto"/>
            <w:noWrap/>
            <w:vAlign w:val="center"/>
            <w:hideMark/>
          </w:tcPr>
          <w:p w14:paraId="1A925DAB"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0.03%</w:t>
            </w:r>
          </w:p>
        </w:tc>
        <w:tc>
          <w:tcPr>
            <w:tcW w:w="403" w:type="pct"/>
            <w:tcBorders>
              <w:top w:val="nil"/>
              <w:left w:val="nil"/>
              <w:bottom w:val="nil"/>
              <w:right w:val="nil"/>
            </w:tcBorders>
            <w:shd w:val="clear" w:color="auto" w:fill="auto"/>
            <w:noWrap/>
            <w:vAlign w:val="center"/>
            <w:hideMark/>
          </w:tcPr>
          <w:p w14:paraId="7C2028BB"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0.09%</w:t>
            </w:r>
          </w:p>
        </w:tc>
        <w:tc>
          <w:tcPr>
            <w:tcW w:w="1084" w:type="pct"/>
            <w:tcBorders>
              <w:top w:val="nil"/>
              <w:left w:val="nil"/>
              <w:bottom w:val="nil"/>
              <w:right w:val="single" w:sz="4" w:space="0" w:color="auto"/>
            </w:tcBorders>
            <w:shd w:val="clear" w:color="auto" w:fill="auto"/>
            <w:noWrap/>
            <w:vAlign w:val="center"/>
            <w:hideMark/>
          </w:tcPr>
          <w:p w14:paraId="78C7964D"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0.07%</w:t>
            </w:r>
          </w:p>
        </w:tc>
        <w:tc>
          <w:tcPr>
            <w:tcW w:w="537" w:type="pct"/>
            <w:tcBorders>
              <w:top w:val="nil"/>
              <w:left w:val="nil"/>
              <w:bottom w:val="nil"/>
              <w:right w:val="nil"/>
            </w:tcBorders>
            <w:shd w:val="clear" w:color="auto" w:fill="auto"/>
            <w:noWrap/>
            <w:vAlign w:val="center"/>
            <w:hideMark/>
          </w:tcPr>
          <w:p w14:paraId="1BDDF84B"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100%</w:t>
            </w:r>
          </w:p>
        </w:tc>
        <w:tc>
          <w:tcPr>
            <w:tcW w:w="537" w:type="pct"/>
            <w:tcBorders>
              <w:top w:val="nil"/>
              <w:left w:val="nil"/>
              <w:bottom w:val="nil"/>
              <w:right w:val="single" w:sz="8" w:space="0" w:color="auto"/>
            </w:tcBorders>
            <w:shd w:val="clear" w:color="auto" w:fill="auto"/>
            <w:noWrap/>
            <w:vAlign w:val="center"/>
            <w:hideMark/>
          </w:tcPr>
          <w:p w14:paraId="2D8B1383"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100%</w:t>
            </w:r>
          </w:p>
        </w:tc>
        <w:tc>
          <w:tcPr>
            <w:tcW w:w="947" w:type="pct"/>
            <w:tcBorders>
              <w:top w:val="nil"/>
              <w:left w:val="nil"/>
              <w:bottom w:val="nil"/>
              <w:right w:val="single" w:sz="8" w:space="0" w:color="auto"/>
            </w:tcBorders>
            <w:shd w:val="clear" w:color="auto" w:fill="auto"/>
            <w:noWrap/>
            <w:vAlign w:val="center"/>
            <w:hideMark/>
          </w:tcPr>
          <w:p w14:paraId="4B786041"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97%</w:t>
            </w:r>
          </w:p>
        </w:tc>
      </w:tr>
      <w:tr w:rsidR="001D4897" w:rsidRPr="001D4897" w14:paraId="7DAB8A99" w14:textId="77777777" w:rsidTr="00933343">
        <w:trPr>
          <w:trHeight w:val="255"/>
          <w:jc w:val="center"/>
        </w:trPr>
        <w:tc>
          <w:tcPr>
            <w:tcW w:w="743" w:type="pct"/>
            <w:tcBorders>
              <w:top w:val="nil"/>
              <w:left w:val="single" w:sz="8" w:space="0" w:color="auto"/>
              <w:bottom w:val="nil"/>
              <w:right w:val="single" w:sz="8" w:space="0" w:color="auto"/>
            </w:tcBorders>
            <w:shd w:val="clear" w:color="auto" w:fill="auto"/>
            <w:noWrap/>
            <w:vAlign w:val="center"/>
            <w:hideMark/>
          </w:tcPr>
          <w:p w14:paraId="101D0C6A"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Class C</w:t>
            </w:r>
          </w:p>
        </w:tc>
        <w:tc>
          <w:tcPr>
            <w:tcW w:w="749" w:type="pct"/>
            <w:tcBorders>
              <w:top w:val="nil"/>
              <w:left w:val="nil"/>
              <w:bottom w:val="nil"/>
              <w:right w:val="nil"/>
            </w:tcBorders>
            <w:shd w:val="clear" w:color="auto" w:fill="auto"/>
            <w:noWrap/>
            <w:vAlign w:val="center"/>
            <w:hideMark/>
          </w:tcPr>
          <w:p w14:paraId="457201DE"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0.02%</w:t>
            </w:r>
          </w:p>
        </w:tc>
        <w:tc>
          <w:tcPr>
            <w:tcW w:w="403" w:type="pct"/>
            <w:tcBorders>
              <w:top w:val="nil"/>
              <w:left w:val="nil"/>
              <w:bottom w:val="nil"/>
              <w:right w:val="nil"/>
            </w:tcBorders>
            <w:shd w:val="clear" w:color="auto" w:fill="auto"/>
            <w:noWrap/>
            <w:vAlign w:val="center"/>
            <w:hideMark/>
          </w:tcPr>
          <w:p w14:paraId="41BE86CD"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0.06%</w:t>
            </w:r>
          </w:p>
        </w:tc>
        <w:tc>
          <w:tcPr>
            <w:tcW w:w="1084" w:type="pct"/>
            <w:tcBorders>
              <w:top w:val="nil"/>
              <w:left w:val="nil"/>
              <w:bottom w:val="nil"/>
              <w:right w:val="single" w:sz="4" w:space="0" w:color="auto"/>
            </w:tcBorders>
            <w:shd w:val="clear" w:color="auto" w:fill="auto"/>
            <w:noWrap/>
            <w:vAlign w:val="center"/>
            <w:hideMark/>
          </w:tcPr>
          <w:p w14:paraId="4546488E"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0.00%</w:t>
            </w:r>
          </w:p>
        </w:tc>
        <w:tc>
          <w:tcPr>
            <w:tcW w:w="537" w:type="pct"/>
            <w:tcBorders>
              <w:top w:val="nil"/>
              <w:left w:val="nil"/>
              <w:bottom w:val="nil"/>
              <w:right w:val="nil"/>
            </w:tcBorders>
            <w:shd w:val="clear" w:color="auto" w:fill="auto"/>
            <w:noWrap/>
            <w:vAlign w:val="center"/>
            <w:hideMark/>
          </w:tcPr>
          <w:p w14:paraId="345A4082"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100%</w:t>
            </w:r>
          </w:p>
        </w:tc>
        <w:tc>
          <w:tcPr>
            <w:tcW w:w="537" w:type="pct"/>
            <w:tcBorders>
              <w:top w:val="nil"/>
              <w:left w:val="nil"/>
              <w:bottom w:val="nil"/>
              <w:right w:val="single" w:sz="8" w:space="0" w:color="auto"/>
            </w:tcBorders>
            <w:shd w:val="clear" w:color="auto" w:fill="auto"/>
            <w:noWrap/>
            <w:vAlign w:val="center"/>
            <w:hideMark/>
          </w:tcPr>
          <w:p w14:paraId="05699BAA"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100%</w:t>
            </w:r>
          </w:p>
        </w:tc>
        <w:tc>
          <w:tcPr>
            <w:tcW w:w="947" w:type="pct"/>
            <w:tcBorders>
              <w:top w:val="nil"/>
              <w:left w:val="nil"/>
              <w:bottom w:val="nil"/>
              <w:right w:val="single" w:sz="8" w:space="0" w:color="auto"/>
            </w:tcBorders>
            <w:shd w:val="clear" w:color="auto" w:fill="auto"/>
            <w:noWrap/>
            <w:vAlign w:val="center"/>
            <w:hideMark/>
          </w:tcPr>
          <w:p w14:paraId="3F857378"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93%</w:t>
            </w:r>
          </w:p>
        </w:tc>
      </w:tr>
      <w:tr w:rsidR="001D4897" w:rsidRPr="001D4897" w14:paraId="737B7A8D" w14:textId="77777777" w:rsidTr="00933343">
        <w:trPr>
          <w:trHeight w:val="255"/>
          <w:jc w:val="center"/>
        </w:trPr>
        <w:tc>
          <w:tcPr>
            <w:tcW w:w="743" w:type="pct"/>
            <w:tcBorders>
              <w:top w:val="nil"/>
              <w:left w:val="single" w:sz="8" w:space="0" w:color="auto"/>
              <w:bottom w:val="nil"/>
              <w:right w:val="single" w:sz="8" w:space="0" w:color="auto"/>
            </w:tcBorders>
            <w:shd w:val="clear" w:color="auto" w:fill="auto"/>
            <w:noWrap/>
            <w:vAlign w:val="center"/>
            <w:hideMark/>
          </w:tcPr>
          <w:p w14:paraId="38F0FEC7"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Class E</w:t>
            </w:r>
          </w:p>
        </w:tc>
        <w:tc>
          <w:tcPr>
            <w:tcW w:w="749" w:type="pct"/>
            <w:tcBorders>
              <w:top w:val="nil"/>
              <w:left w:val="nil"/>
              <w:bottom w:val="nil"/>
              <w:right w:val="nil"/>
            </w:tcBorders>
            <w:shd w:val="clear" w:color="auto" w:fill="auto"/>
            <w:noWrap/>
            <w:vAlign w:val="center"/>
            <w:hideMark/>
          </w:tcPr>
          <w:p w14:paraId="106AE10D"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 </w:t>
            </w:r>
          </w:p>
        </w:tc>
        <w:tc>
          <w:tcPr>
            <w:tcW w:w="403" w:type="pct"/>
            <w:tcBorders>
              <w:top w:val="nil"/>
              <w:left w:val="nil"/>
              <w:bottom w:val="nil"/>
              <w:right w:val="nil"/>
            </w:tcBorders>
            <w:shd w:val="clear" w:color="auto" w:fill="auto"/>
            <w:noWrap/>
            <w:vAlign w:val="center"/>
            <w:hideMark/>
          </w:tcPr>
          <w:p w14:paraId="6F487182"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84" w:type="pct"/>
            <w:tcBorders>
              <w:top w:val="nil"/>
              <w:left w:val="nil"/>
              <w:bottom w:val="nil"/>
              <w:right w:val="single" w:sz="4" w:space="0" w:color="auto"/>
            </w:tcBorders>
            <w:shd w:val="clear" w:color="auto" w:fill="auto"/>
            <w:noWrap/>
            <w:vAlign w:val="center"/>
            <w:hideMark/>
          </w:tcPr>
          <w:p w14:paraId="4937747F"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 </w:t>
            </w:r>
          </w:p>
        </w:tc>
        <w:tc>
          <w:tcPr>
            <w:tcW w:w="537" w:type="pct"/>
            <w:tcBorders>
              <w:top w:val="nil"/>
              <w:left w:val="nil"/>
              <w:bottom w:val="nil"/>
              <w:right w:val="nil"/>
            </w:tcBorders>
            <w:shd w:val="clear" w:color="auto" w:fill="auto"/>
            <w:noWrap/>
            <w:vAlign w:val="center"/>
            <w:hideMark/>
          </w:tcPr>
          <w:p w14:paraId="6F7D181B"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 </w:t>
            </w:r>
          </w:p>
        </w:tc>
        <w:tc>
          <w:tcPr>
            <w:tcW w:w="537" w:type="pct"/>
            <w:tcBorders>
              <w:top w:val="nil"/>
              <w:left w:val="nil"/>
              <w:bottom w:val="nil"/>
              <w:right w:val="single" w:sz="8" w:space="0" w:color="auto"/>
            </w:tcBorders>
            <w:shd w:val="clear" w:color="auto" w:fill="auto"/>
            <w:noWrap/>
            <w:vAlign w:val="center"/>
            <w:hideMark/>
          </w:tcPr>
          <w:p w14:paraId="2D12BA32"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 </w:t>
            </w:r>
          </w:p>
        </w:tc>
        <w:tc>
          <w:tcPr>
            <w:tcW w:w="947" w:type="pct"/>
            <w:tcBorders>
              <w:top w:val="nil"/>
              <w:left w:val="nil"/>
              <w:bottom w:val="single" w:sz="8" w:space="0" w:color="auto"/>
              <w:right w:val="single" w:sz="8" w:space="0" w:color="auto"/>
            </w:tcBorders>
            <w:shd w:val="clear" w:color="auto" w:fill="auto"/>
            <w:noWrap/>
            <w:vAlign w:val="center"/>
            <w:hideMark/>
          </w:tcPr>
          <w:p w14:paraId="427DE9B4"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 </w:t>
            </w:r>
          </w:p>
        </w:tc>
      </w:tr>
      <w:tr w:rsidR="001D4897" w:rsidRPr="001D4897" w14:paraId="788A7111" w14:textId="77777777" w:rsidTr="00933343">
        <w:trPr>
          <w:trHeight w:val="255"/>
          <w:jc w:val="center"/>
        </w:trPr>
        <w:tc>
          <w:tcPr>
            <w:tcW w:w="743" w:type="pct"/>
            <w:tcBorders>
              <w:top w:val="single" w:sz="8" w:space="0" w:color="auto"/>
              <w:left w:val="single" w:sz="8" w:space="0" w:color="auto"/>
              <w:bottom w:val="nil"/>
              <w:right w:val="single" w:sz="8" w:space="0" w:color="auto"/>
            </w:tcBorders>
            <w:shd w:val="clear" w:color="auto" w:fill="auto"/>
            <w:noWrap/>
            <w:vAlign w:val="center"/>
            <w:hideMark/>
          </w:tcPr>
          <w:p w14:paraId="63195D18"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897">
              <w:rPr>
                <w:rFonts w:ascii="Arial" w:eastAsia="Times New Roman" w:hAnsi="Arial" w:cs="Arial"/>
                <w:b/>
                <w:bCs/>
                <w:color w:val="000000"/>
                <w:sz w:val="18"/>
                <w:szCs w:val="18"/>
                <w:lang w:eastAsia="zh-CN"/>
              </w:rPr>
              <w:t>Overall</w:t>
            </w:r>
          </w:p>
        </w:tc>
        <w:tc>
          <w:tcPr>
            <w:tcW w:w="749" w:type="pct"/>
            <w:tcBorders>
              <w:top w:val="single" w:sz="8" w:space="0" w:color="auto"/>
              <w:left w:val="nil"/>
              <w:bottom w:val="nil"/>
              <w:right w:val="nil"/>
            </w:tcBorders>
            <w:shd w:val="clear" w:color="auto" w:fill="auto"/>
            <w:noWrap/>
            <w:vAlign w:val="center"/>
            <w:hideMark/>
          </w:tcPr>
          <w:p w14:paraId="5F1554E2"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0.03%</w:t>
            </w:r>
          </w:p>
        </w:tc>
        <w:tc>
          <w:tcPr>
            <w:tcW w:w="403" w:type="pct"/>
            <w:tcBorders>
              <w:top w:val="single" w:sz="8" w:space="0" w:color="auto"/>
              <w:left w:val="nil"/>
              <w:bottom w:val="nil"/>
              <w:right w:val="nil"/>
            </w:tcBorders>
            <w:shd w:val="clear" w:color="auto" w:fill="auto"/>
            <w:noWrap/>
            <w:vAlign w:val="center"/>
            <w:hideMark/>
          </w:tcPr>
          <w:p w14:paraId="506642E9"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0.07%</w:t>
            </w:r>
          </w:p>
        </w:tc>
        <w:tc>
          <w:tcPr>
            <w:tcW w:w="1084" w:type="pct"/>
            <w:tcBorders>
              <w:top w:val="single" w:sz="8" w:space="0" w:color="auto"/>
              <w:left w:val="nil"/>
              <w:bottom w:val="nil"/>
              <w:right w:val="single" w:sz="4" w:space="0" w:color="auto"/>
            </w:tcBorders>
            <w:shd w:val="clear" w:color="auto" w:fill="auto"/>
            <w:noWrap/>
            <w:vAlign w:val="center"/>
            <w:hideMark/>
          </w:tcPr>
          <w:p w14:paraId="7E21B231"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0.05%</w:t>
            </w:r>
          </w:p>
        </w:tc>
        <w:tc>
          <w:tcPr>
            <w:tcW w:w="537" w:type="pct"/>
            <w:tcBorders>
              <w:top w:val="single" w:sz="8" w:space="0" w:color="auto"/>
              <w:left w:val="nil"/>
              <w:bottom w:val="nil"/>
              <w:right w:val="nil"/>
            </w:tcBorders>
            <w:shd w:val="clear" w:color="auto" w:fill="auto"/>
            <w:noWrap/>
            <w:vAlign w:val="center"/>
            <w:hideMark/>
          </w:tcPr>
          <w:p w14:paraId="6DBE01ED"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100%</w:t>
            </w:r>
          </w:p>
        </w:tc>
        <w:tc>
          <w:tcPr>
            <w:tcW w:w="537" w:type="pct"/>
            <w:tcBorders>
              <w:top w:val="single" w:sz="8" w:space="0" w:color="auto"/>
              <w:left w:val="nil"/>
              <w:bottom w:val="nil"/>
              <w:right w:val="single" w:sz="8" w:space="0" w:color="auto"/>
            </w:tcBorders>
            <w:shd w:val="clear" w:color="auto" w:fill="auto"/>
            <w:noWrap/>
            <w:vAlign w:val="center"/>
            <w:hideMark/>
          </w:tcPr>
          <w:p w14:paraId="2D5CD251"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100%</w:t>
            </w:r>
          </w:p>
        </w:tc>
        <w:tc>
          <w:tcPr>
            <w:tcW w:w="94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FD3295"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96%</w:t>
            </w:r>
          </w:p>
        </w:tc>
      </w:tr>
      <w:tr w:rsidR="001D4897" w:rsidRPr="001D4897" w14:paraId="398ED078" w14:textId="77777777" w:rsidTr="00933343">
        <w:trPr>
          <w:trHeight w:val="255"/>
          <w:jc w:val="center"/>
        </w:trPr>
        <w:tc>
          <w:tcPr>
            <w:tcW w:w="743" w:type="pct"/>
            <w:tcBorders>
              <w:top w:val="single" w:sz="8" w:space="0" w:color="auto"/>
              <w:left w:val="single" w:sz="8" w:space="0" w:color="auto"/>
              <w:bottom w:val="nil"/>
              <w:right w:val="single" w:sz="8" w:space="0" w:color="auto"/>
            </w:tcBorders>
            <w:shd w:val="clear" w:color="auto" w:fill="auto"/>
            <w:noWrap/>
            <w:vAlign w:val="center"/>
            <w:hideMark/>
          </w:tcPr>
          <w:p w14:paraId="72208B70"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Class D</w:t>
            </w:r>
          </w:p>
        </w:tc>
        <w:tc>
          <w:tcPr>
            <w:tcW w:w="749" w:type="pct"/>
            <w:tcBorders>
              <w:top w:val="single" w:sz="8" w:space="0" w:color="auto"/>
              <w:left w:val="nil"/>
              <w:bottom w:val="nil"/>
              <w:right w:val="nil"/>
            </w:tcBorders>
            <w:shd w:val="clear" w:color="auto" w:fill="auto"/>
            <w:noWrap/>
            <w:vAlign w:val="center"/>
            <w:hideMark/>
          </w:tcPr>
          <w:p w14:paraId="6592480A"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0.06%</w:t>
            </w:r>
          </w:p>
        </w:tc>
        <w:tc>
          <w:tcPr>
            <w:tcW w:w="403" w:type="pct"/>
            <w:tcBorders>
              <w:top w:val="single" w:sz="8" w:space="0" w:color="auto"/>
              <w:left w:val="nil"/>
              <w:bottom w:val="nil"/>
              <w:right w:val="nil"/>
            </w:tcBorders>
            <w:shd w:val="clear" w:color="auto" w:fill="auto"/>
            <w:noWrap/>
            <w:vAlign w:val="center"/>
            <w:hideMark/>
          </w:tcPr>
          <w:p w14:paraId="37E28751"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0.06%</w:t>
            </w:r>
          </w:p>
        </w:tc>
        <w:tc>
          <w:tcPr>
            <w:tcW w:w="1084" w:type="pct"/>
            <w:tcBorders>
              <w:top w:val="single" w:sz="8" w:space="0" w:color="auto"/>
              <w:left w:val="nil"/>
              <w:bottom w:val="nil"/>
              <w:right w:val="single" w:sz="4" w:space="0" w:color="auto"/>
            </w:tcBorders>
            <w:shd w:val="clear" w:color="auto" w:fill="auto"/>
            <w:noWrap/>
            <w:vAlign w:val="center"/>
            <w:hideMark/>
          </w:tcPr>
          <w:p w14:paraId="086E068C"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0.01%</w:t>
            </w:r>
          </w:p>
        </w:tc>
        <w:tc>
          <w:tcPr>
            <w:tcW w:w="537" w:type="pct"/>
            <w:tcBorders>
              <w:top w:val="single" w:sz="8" w:space="0" w:color="auto"/>
              <w:left w:val="nil"/>
              <w:bottom w:val="nil"/>
              <w:right w:val="nil"/>
            </w:tcBorders>
            <w:shd w:val="clear" w:color="auto" w:fill="auto"/>
            <w:noWrap/>
            <w:vAlign w:val="center"/>
            <w:hideMark/>
          </w:tcPr>
          <w:p w14:paraId="7FFDCD59"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100%</w:t>
            </w:r>
          </w:p>
        </w:tc>
        <w:tc>
          <w:tcPr>
            <w:tcW w:w="537" w:type="pct"/>
            <w:tcBorders>
              <w:top w:val="single" w:sz="8" w:space="0" w:color="auto"/>
              <w:left w:val="nil"/>
              <w:bottom w:val="nil"/>
              <w:right w:val="single" w:sz="8" w:space="0" w:color="auto"/>
            </w:tcBorders>
            <w:shd w:val="clear" w:color="auto" w:fill="auto"/>
            <w:noWrap/>
            <w:vAlign w:val="center"/>
            <w:hideMark/>
          </w:tcPr>
          <w:p w14:paraId="46BBBAC7"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100%</w:t>
            </w:r>
          </w:p>
        </w:tc>
        <w:tc>
          <w:tcPr>
            <w:tcW w:w="947" w:type="pct"/>
            <w:tcBorders>
              <w:top w:val="nil"/>
              <w:left w:val="nil"/>
              <w:bottom w:val="nil"/>
              <w:right w:val="single" w:sz="8" w:space="0" w:color="auto"/>
            </w:tcBorders>
            <w:shd w:val="clear" w:color="auto" w:fill="auto"/>
            <w:noWrap/>
            <w:vAlign w:val="center"/>
            <w:hideMark/>
          </w:tcPr>
          <w:p w14:paraId="2AF9506B"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98%</w:t>
            </w:r>
          </w:p>
        </w:tc>
      </w:tr>
      <w:tr w:rsidR="001D4897" w:rsidRPr="001D4897" w14:paraId="2B2ABF47" w14:textId="77777777" w:rsidTr="00933343">
        <w:trPr>
          <w:trHeight w:val="255"/>
          <w:jc w:val="center"/>
        </w:trPr>
        <w:tc>
          <w:tcPr>
            <w:tcW w:w="743" w:type="pct"/>
            <w:tcBorders>
              <w:top w:val="nil"/>
              <w:left w:val="single" w:sz="8" w:space="0" w:color="auto"/>
              <w:bottom w:val="single" w:sz="8" w:space="0" w:color="auto"/>
              <w:right w:val="single" w:sz="8" w:space="0" w:color="auto"/>
            </w:tcBorders>
            <w:shd w:val="clear" w:color="auto" w:fill="auto"/>
            <w:noWrap/>
            <w:vAlign w:val="center"/>
            <w:hideMark/>
          </w:tcPr>
          <w:p w14:paraId="36E05CE4"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Class F</w:t>
            </w:r>
          </w:p>
        </w:tc>
        <w:tc>
          <w:tcPr>
            <w:tcW w:w="749" w:type="pct"/>
            <w:tcBorders>
              <w:top w:val="nil"/>
              <w:left w:val="nil"/>
              <w:bottom w:val="single" w:sz="8" w:space="0" w:color="auto"/>
              <w:right w:val="nil"/>
            </w:tcBorders>
            <w:shd w:val="clear" w:color="auto" w:fill="auto"/>
            <w:noWrap/>
            <w:vAlign w:val="center"/>
            <w:hideMark/>
          </w:tcPr>
          <w:p w14:paraId="585873BD"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0.03%</w:t>
            </w:r>
          </w:p>
        </w:tc>
        <w:tc>
          <w:tcPr>
            <w:tcW w:w="403" w:type="pct"/>
            <w:tcBorders>
              <w:top w:val="nil"/>
              <w:left w:val="nil"/>
              <w:bottom w:val="single" w:sz="8" w:space="0" w:color="auto"/>
              <w:right w:val="nil"/>
            </w:tcBorders>
            <w:shd w:val="clear" w:color="auto" w:fill="auto"/>
            <w:noWrap/>
            <w:vAlign w:val="center"/>
            <w:hideMark/>
          </w:tcPr>
          <w:p w14:paraId="545CFC7D"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0.06%</w:t>
            </w:r>
          </w:p>
        </w:tc>
        <w:tc>
          <w:tcPr>
            <w:tcW w:w="1084" w:type="pct"/>
            <w:tcBorders>
              <w:top w:val="nil"/>
              <w:left w:val="nil"/>
              <w:bottom w:val="single" w:sz="8" w:space="0" w:color="auto"/>
              <w:right w:val="single" w:sz="4" w:space="0" w:color="auto"/>
            </w:tcBorders>
            <w:shd w:val="clear" w:color="auto" w:fill="auto"/>
            <w:noWrap/>
            <w:vAlign w:val="center"/>
            <w:hideMark/>
          </w:tcPr>
          <w:p w14:paraId="0E4F37A8"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0.02%</w:t>
            </w:r>
          </w:p>
        </w:tc>
        <w:tc>
          <w:tcPr>
            <w:tcW w:w="537" w:type="pct"/>
            <w:tcBorders>
              <w:top w:val="nil"/>
              <w:left w:val="nil"/>
              <w:bottom w:val="single" w:sz="8" w:space="0" w:color="auto"/>
              <w:right w:val="nil"/>
            </w:tcBorders>
            <w:shd w:val="clear" w:color="auto" w:fill="auto"/>
            <w:noWrap/>
            <w:vAlign w:val="center"/>
            <w:hideMark/>
          </w:tcPr>
          <w:p w14:paraId="1016DF42"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100%</w:t>
            </w:r>
          </w:p>
        </w:tc>
        <w:tc>
          <w:tcPr>
            <w:tcW w:w="537" w:type="pct"/>
            <w:tcBorders>
              <w:top w:val="nil"/>
              <w:left w:val="nil"/>
              <w:bottom w:val="single" w:sz="8" w:space="0" w:color="auto"/>
              <w:right w:val="single" w:sz="8" w:space="0" w:color="auto"/>
            </w:tcBorders>
            <w:shd w:val="clear" w:color="auto" w:fill="auto"/>
            <w:noWrap/>
            <w:vAlign w:val="center"/>
            <w:hideMark/>
          </w:tcPr>
          <w:p w14:paraId="587F956E"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100%</w:t>
            </w:r>
          </w:p>
        </w:tc>
        <w:tc>
          <w:tcPr>
            <w:tcW w:w="947" w:type="pct"/>
            <w:tcBorders>
              <w:top w:val="nil"/>
              <w:left w:val="nil"/>
              <w:bottom w:val="single" w:sz="8" w:space="0" w:color="auto"/>
              <w:right w:val="single" w:sz="8" w:space="0" w:color="auto"/>
            </w:tcBorders>
            <w:shd w:val="clear" w:color="auto" w:fill="auto"/>
            <w:noWrap/>
            <w:vAlign w:val="center"/>
            <w:hideMark/>
          </w:tcPr>
          <w:p w14:paraId="31948E7A" w14:textId="77777777" w:rsidR="001D4897" w:rsidRPr="001D4897" w:rsidRDefault="001D4897" w:rsidP="001D4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897">
              <w:rPr>
                <w:rFonts w:ascii="Arial" w:eastAsia="Times New Roman" w:hAnsi="Arial" w:cs="Arial"/>
                <w:color w:val="000000"/>
                <w:sz w:val="18"/>
                <w:szCs w:val="18"/>
                <w:lang w:eastAsia="zh-CN"/>
              </w:rPr>
              <w:t>96%</w:t>
            </w:r>
          </w:p>
        </w:tc>
      </w:tr>
    </w:tbl>
    <w:p w14:paraId="36B519F1" w14:textId="77777777" w:rsidR="001D4897" w:rsidRPr="007955FC" w:rsidRDefault="001D4897" w:rsidP="00316F70">
      <w:pPr>
        <w:pStyle w:val="Caption"/>
        <w:keepNext/>
        <w:jc w:val="center"/>
      </w:pPr>
    </w:p>
    <w:p w14:paraId="47EB076A" w14:textId="0CD01FAD" w:rsidR="00316F70" w:rsidRDefault="00316F70" w:rsidP="00316F70">
      <w:pPr>
        <w:pStyle w:val="Heading1"/>
        <w:rPr>
          <w:lang w:val="en-CA" w:eastAsia="zh-CN"/>
        </w:rPr>
      </w:pPr>
      <w:bookmarkStart w:id="0" w:name="_GoBack"/>
      <w:bookmarkEnd w:id="0"/>
      <w:r>
        <w:rPr>
          <w:rFonts w:hint="eastAsia"/>
          <w:lang w:val="en-CA" w:eastAsia="zh-CN"/>
        </w:rPr>
        <w:t>Conclusion</w:t>
      </w:r>
    </w:p>
    <w:p w14:paraId="6A855144" w14:textId="0938ECB9" w:rsidR="00316F70" w:rsidRDefault="00A66F85" w:rsidP="00661A3F">
      <w:pPr>
        <w:rPr>
          <w:szCs w:val="22"/>
          <w:lang w:val="en-CA" w:eastAsia="zh-CN"/>
        </w:rPr>
      </w:pPr>
      <w:r>
        <w:rPr>
          <w:szCs w:val="22"/>
          <w:lang w:val="en-CA" w:eastAsia="zh-CN"/>
        </w:rPr>
        <w:t xml:space="preserve">It was observed </w:t>
      </w:r>
      <w:r w:rsidR="00AB3C4C">
        <w:rPr>
          <w:szCs w:val="22"/>
          <w:lang w:val="en-CA" w:eastAsia="zh-CN"/>
        </w:rPr>
        <w:t xml:space="preserve">that the proposed </w:t>
      </w:r>
      <w:r w:rsidR="00DA7AD2">
        <w:rPr>
          <w:szCs w:val="22"/>
          <w:lang w:val="en-CA" w:eastAsia="zh-CN"/>
        </w:rPr>
        <w:t xml:space="preserve">method </w:t>
      </w:r>
      <w:r w:rsidR="00C918C5">
        <w:rPr>
          <w:szCs w:val="22"/>
          <w:lang w:val="en-CA" w:eastAsia="zh-CN"/>
        </w:rPr>
        <w:t>has BD-rate change of 0.0</w:t>
      </w:r>
      <w:r w:rsidR="00FE70F7">
        <w:rPr>
          <w:szCs w:val="22"/>
          <w:lang w:val="en-CA" w:eastAsia="zh-CN"/>
        </w:rPr>
        <w:t>3</w:t>
      </w:r>
      <w:r w:rsidR="00C918C5">
        <w:rPr>
          <w:szCs w:val="22"/>
          <w:lang w:val="en-CA" w:eastAsia="zh-CN"/>
        </w:rPr>
        <w:t xml:space="preserve">% on RA </w:t>
      </w:r>
      <w:r w:rsidR="00FE70F7">
        <w:rPr>
          <w:szCs w:val="22"/>
          <w:lang w:val="en-CA" w:eastAsia="zh-CN"/>
        </w:rPr>
        <w:t>configuration</w:t>
      </w:r>
      <w:r w:rsidR="00312903">
        <w:rPr>
          <w:szCs w:val="22"/>
          <w:lang w:val="en-CA" w:eastAsia="zh-CN"/>
        </w:rPr>
        <w:t>, and</w:t>
      </w:r>
      <w:r w:rsidR="00FE70F7">
        <w:rPr>
          <w:szCs w:val="22"/>
          <w:lang w:val="en-CA" w:eastAsia="zh-CN"/>
        </w:rPr>
        <w:t xml:space="preserve"> DMVR processing time is reduced by 4%.</w:t>
      </w:r>
    </w:p>
    <w:p w14:paraId="5D2DD8E4" w14:textId="77777777" w:rsidR="00316F70" w:rsidRDefault="00316F70" w:rsidP="00316F70">
      <w:pPr>
        <w:pStyle w:val="Heading1"/>
        <w:rPr>
          <w:lang w:val="en-CA" w:eastAsia="zh-CN"/>
        </w:rPr>
      </w:pPr>
      <w:r>
        <w:rPr>
          <w:rFonts w:hint="eastAsia"/>
          <w:lang w:val="en-CA" w:eastAsia="zh-CN"/>
        </w:rPr>
        <w:t>Reference</w:t>
      </w:r>
    </w:p>
    <w:p w14:paraId="6DF9AEB4" w14:textId="7EB89417" w:rsidR="00316F70" w:rsidRDefault="006A0160"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A0160">
        <w:rPr>
          <w:szCs w:val="22"/>
          <w:lang w:eastAsia="ko-KR"/>
        </w:rPr>
        <w:t>F. Bossen, J. Boyce, X. Li, V. Seregin, K. Sühring</w:t>
      </w:r>
      <w:r>
        <w:rPr>
          <w:szCs w:val="22"/>
          <w:lang w:eastAsia="ko-KR"/>
        </w:rPr>
        <w:t>,</w:t>
      </w:r>
      <w:r w:rsidR="00316F70" w:rsidRPr="00951B9D">
        <w:rPr>
          <w:szCs w:val="22"/>
          <w:lang w:eastAsia="ko-KR"/>
        </w:rPr>
        <w:t xml:space="preserve"> “JVET common test conditions and software reference configurations,” Document of Joint Video Experts Team (JVET), JVET-</w:t>
      </w:r>
      <w:r w:rsidR="002C175B">
        <w:rPr>
          <w:szCs w:val="22"/>
          <w:lang w:eastAsia="ko-KR"/>
        </w:rPr>
        <w:t>N1</w:t>
      </w:r>
      <w:r w:rsidR="00316F70" w:rsidRPr="00951B9D">
        <w:rPr>
          <w:szCs w:val="22"/>
          <w:lang w:eastAsia="ko-KR"/>
        </w:rPr>
        <w:t xml:space="preserve">010 </w:t>
      </w:r>
      <w:r w:rsidR="009C3754">
        <w:rPr>
          <w:szCs w:val="22"/>
          <w:lang w:eastAsia="zh-CN"/>
        </w:rPr>
        <w:t>Marrakech</w:t>
      </w:r>
      <w:r w:rsidR="00316F70" w:rsidRPr="00951B9D">
        <w:rPr>
          <w:szCs w:val="22"/>
          <w:lang w:eastAsia="ko-KR"/>
        </w:rPr>
        <w:t xml:space="preserve">, </w:t>
      </w:r>
      <w:r w:rsidR="009C3754">
        <w:rPr>
          <w:szCs w:val="22"/>
          <w:lang w:eastAsia="ko-KR"/>
        </w:rPr>
        <w:t>MA</w:t>
      </w:r>
      <w:r w:rsidR="00316F70" w:rsidRPr="00951B9D">
        <w:rPr>
          <w:szCs w:val="22"/>
          <w:lang w:eastAsia="ko-KR"/>
        </w:rPr>
        <w:t xml:space="preserve">, </w:t>
      </w:r>
      <w:r w:rsidR="00647F64">
        <w:rPr>
          <w:szCs w:val="22"/>
          <w:lang w:eastAsia="ko-KR"/>
        </w:rPr>
        <w:t>Mar</w:t>
      </w:r>
      <w:r w:rsidR="009C3754">
        <w:rPr>
          <w:szCs w:val="22"/>
          <w:lang w:eastAsia="ko-KR"/>
        </w:rPr>
        <w:t xml:space="preserve"> </w:t>
      </w:r>
      <w:r w:rsidR="00316F70" w:rsidRPr="00951B9D">
        <w:rPr>
          <w:szCs w:val="22"/>
          <w:lang w:eastAsia="ko-KR"/>
        </w:rPr>
        <w:t>201</w:t>
      </w:r>
      <w:r w:rsidR="009C3754">
        <w:rPr>
          <w:szCs w:val="22"/>
          <w:lang w:eastAsia="ko-KR"/>
        </w:rPr>
        <w:t>9</w:t>
      </w:r>
      <w:r w:rsidR="00316F70" w:rsidRPr="00951B9D">
        <w:rPr>
          <w:szCs w:val="22"/>
          <w:lang w:eastAsia="ko-KR"/>
        </w:rPr>
        <w:t>.</w:t>
      </w:r>
    </w:p>
    <w:p w14:paraId="0A164193" w14:textId="4A8EE458" w:rsidR="00651335" w:rsidRPr="00951B9D" w:rsidRDefault="00DD371E"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hyperlink r:id="rId11" w:history="1">
        <w:r w:rsidR="00651335">
          <w:rPr>
            <w:rStyle w:val="Hyperlink"/>
          </w:rPr>
          <w:t>https://vcgit.hhi.fraunhofer.de/jvet/VVCSoftware_VTM/tree/VTM-6.0</w:t>
        </w:r>
      </w:hyperlink>
    </w:p>
    <w:p w14:paraId="1EB01BE4" w14:textId="77777777" w:rsidR="00316F70" w:rsidRPr="0058392E" w:rsidRDefault="00316F70" w:rsidP="00316F70">
      <w:pPr>
        <w:rPr>
          <w:szCs w:val="22"/>
          <w:lang w:val="en-CA" w:eastAsia="zh-CN"/>
        </w:rPr>
      </w:pPr>
    </w:p>
    <w:p w14:paraId="652AADE7" w14:textId="77777777" w:rsidR="00316F70" w:rsidRPr="005B217D" w:rsidRDefault="00316F70" w:rsidP="00316F70">
      <w:pPr>
        <w:pStyle w:val="Heading1"/>
        <w:rPr>
          <w:lang w:val="en-CA"/>
        </w:rPr>
      </w:pPr>
      <w:r w:rsidRPr="005B217D">
        <w:rPr>
          <w:lang w:val="en-CA"/>
        </w:rPr>
        <w:t>Patent rights declaration(s)</w:t>
      </w:r>
    </w:p>
    <w:p w14:paraId="41140FBF" w14:textId="2A38F62B" w:rsidR="00316F70" w:rsidRPr="00397162" w:rsidRDefault="00316F70" w:rsidP="00316F70">
      <w:pPr>
        <w:rPr>
          <w:sz w:val="24"/>
          <w:szCs w:val="24"/>
        </w:rPr>
      </w:pPr>
      <w:r w:rsidRPr="00763764">
        <w:rPr>
          <w:b/>
          <w:sz w:val="24"/>
          <w:szCs w:val="24"/>
        </w:rPr>
        <w:t xml:space="preserve">Tencent </w:t>
      </w:r>
      <w:r w:rsidR="002C5195">
        <w:rPr>
          <w:b/>
          <w:sz w:val="24"/>
          <w:szCs w:val="24"/>
        </w:rPr>
        <w:t>may</w:t>
      </w:r>
      <w:r w:rsidRPr="00B0223D">
        <w:rPr>
          <w:b/>
          <w:sz w:val="24"/>
          <w:szCs w:val="24"/>
        </w:rPr>
        <w:t xml:space="preserve"> have</w:t>
      </w:r>
      <w:r w:rsidRPr="00397162">
        <w:rPr>
          <w:b/>
          <w:sz w:val="24"/>
          <w:szCs w:val="24"/>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1FE7A7" w14:textId="77777777" w:rsidR="00B064AD" w:rsidRPr="00316F70" w:rsidRDefault="00B064AD">
      <w:pPr>
        <w:rPr>
          <w:lang w:val="en-CA"/>
        </w:rPr>
      </w:pPr>
    </w:p>
    <w:sectPr w:rsidR="00B064AD" w:rsidRPr="00316F70" w:rsidSect="00BF545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6E2CF" w14:textId="77777777" w:rsidR="00DD371E" w:rsidRDefault="00DD371E" w:rsidP="005175C0">
      <w:pPr>
        <w:spacing w:before="0"/>
      </w:pPr>
      <w:r>
        <w:separator/>
      </w:r>
    </w:p>
  </w:endnote>
  <w:endnote w:type="continuationSeparator" w:id="0">
    <w:p w14:paraId="0113E135" w14:textId="77777777" w:rsidR="00DD371E" w:rsidRDefault="00DD371E" w:rsidP="00517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84E" w14:textId="522A3515" w:rsidR="00146E9C" w:rsidRPr="00C00DDE" w:rsidRDefault="00146E9C" w:rsidP="00BF545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5395">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38F36" w14:textId="77777777" w:rsidR="00DD371E" w:rsidRDefault="00DD371E" w:rsidP="005175C0">
      <w:pPr>
        <w:spacing w:before="0"/>
      </w:pPr>
      <w:r>
        <w:separator/>
      </w:r>
    </w:p>
  </w:footnote>
  <w:footnote w:type="continuationSeparator" w:id="0">
    <w:p w14:paraId="50BCA87C" w14:textId="77777777" w:rsidR="00DD371E" w:rsidRDefault="00DD371E" w:rsidP="005175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0E28379C"/>
    <w:multiLevelType w:val="hybridMultilevel"/>
    <w:tmpl w:val="34FC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B1F31"/>
    <w:multiLevelType w:val="multilevel"/>
    <w:tmpl w:val="981C0C3A"/>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00442A"/>
    <w:multiLevelType w:val="multilevel"/>
    <w:tmpl w:val="7BD2B0C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CDC139B"/>
    <w:multiLevelType w:val="hybridMultilevel"/>
    <w:tmpl w:val="C2B66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6"/>
  </w:num>
  <w:num w:numId="5">
    <w:abstractNumId w:val="18"/>
  </w:num>
  <w:num w:numId="6">
    <w:abstractNumId w:val="9"/>
  </w:num>
  <w:num w:numId="7">
    <w:abstractNumId w:val="12"/>
  </w:num>
  <w:num w:numId="8">
    <w:abstractNumId w:val="1"/>
  </w:num>
  <w:num w:numId="9">
    <w:abstractNumId w:val="7"/>
  </w:num>
  <w:num w:numId="10">
    <w:abstractNumId w:val="4"/>
  </w:num>
  <w:num w:numId="11">
    <w:abstractNumId w:val="2"/>
  </w:num>
  <w:num w:numId="12">
    <w:abstractNumId w:val="8"/>
  </w:num>
  <w:num w:numId="13">
    <w:abstractNumId w:val="21"/>
  </w:num>
  <w:num w:numId="14">
    <w:abstractNumId w:val="11"/>
  </w:num>
  <w:num w:numId="15">
    <w:abstractNumId w:val="14"/>
  </w:num>
  <w:num w:numId="16">
    <w:abstractNumId w:val="5"/>
  </w:num>
  <w:num w:numId="17">
    <w:abstractNumId w:val="15"/>
  </w:num>
  <w:num w:numId="18">
    <w:abstractNumId w:val="13"/>
  </w:num>
  <w:num w:numId="19">
    <w:abstractNumId w:val="25"/>
  </w:num>
  <w:num w:numId="20">
    <w:abstractNumId w:val="10"/>
  </w:num>
  <w:num w:numId="21">
    <w:abstractNumId w:val="22"/>
  </w:num>
  <w:num w:numId="22">
    <w:abstractNumId w:val="20"/>
  </w:num>
  <w:num w:numId="23">
    <w:abstractNumId w:val="3"/>
  </w:num>
  <w:num w:numId="24">
    <w:abstractNumId w:val="9"/>
  </w:num>
  <w:num w:numId="25">
    <w:abstractNumId w:val="6"/>
  </w:num>
  <w:num w:numId="26">
    <w:abstractNumId w:val="17"/>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63"/>
    <w:rsid w:val="000048E4"/>
    <w:rsid w:val="00017702"/>
    <w:rsid w:val="00035574"/>
    <w:rsid w:val="00042EB0"/>
    <w:rsid w:val="000470A1"/>
    <w:rsid w:val="00054B5D"/>
    <w:rsid w:val="00061968"/>
    <w:rsid w:val="00062163"/>
    <w:rsid w:val="00071BA7"/>
    <w:rsid w:val="0008364A"/>
    <w:rsid w:val="00092A5F"/>
    <w:rsid w:val="000938BC"/>
    <w:rsid w:val="000942E2"/>
    <w:rsid w:val="000A1266"/>
    <w:rsid w:val="000A1449"/>
    <w:rsid w:val="000B104B"/>
    <w:rsid w:val="000C0E53"/>
    <w:rsid w:val="000C23E0"/>
    <w:rsid w:val="000D6E08"/>
    <w:rsid w:val="000D7F8E"/>
    <w:rsid w:val="000E198D"/>
    <w:rsid w:val="000E2E94"/>
    <w:rsid w:val="000F33AF"/>
    <w:rsid w:val="001061CE"/>
    <w:rsid w:val="0011270C"/>
    <w:rsid w:val="00112EA5"/>
    <w:rsid w:val="001146A7"/>
    <w:rsid w:val="001160AD"/>
    <w:rsid w:val="001252A3"/>
    <w:rsid w:val="00125500"/>
    <w:rsid w:val="00125F6C"/>
    <w:rsid w:val="00136AD5"/>
    <w:rsid w:val="00140663"/>
    <w:rsid w:val="00141148"/>
    <w:rsid w:val="00146E9C"/>
    <w:rsid w:val="00147056"/>
    <w:rsid w:val="00150E71"/>
    <w:rsid w:val="00151987"/>
    <w:rsid w:val="00154857"/>
    <w:rsid w:val="001669A1"/>
    <w:rsid w:val="00184283"/>
    <w:rsid w:val="001A1F62"/>
    <w:rsid w:val="001A5DF6"/>
    <w:rsid w:val="001B28E2"/>
    <w:rsid w:val="001B5CA7"/>
    <w:rsid w:val="001D4897"/>
    <w:rsid w:val="00223D41"/>
    <w:rsid w:val="00224378"/>
    <w:rsid w:val="002258FC"/>
    <w:rsid w:val="00231E7F"/>
    <w:rsid w:val="002433EE"/>
    <w:rsid w:val="00244209"/>
    <w:rsid w:val="0024670D"/>
    <w:rsid w:val="00250411"/>
    <w:rsid w:val="002517C4"/>
    <w:rsid w:val="00253929"/>
    <w:rsid w:val="00254030"/>
    <w:rsid w:val="00260B35"/>
    <w:rsid w:val="002660DA"/>
    <w:rsid w:val="002667A9"/>
    <w:rsid w:val="00271421"/>
    <w:rsid w:val="00286FC9"/>
    <w:rsid w:val="002971E1"/>
    <w:rsid w:val="002B13DD"/>
    <w:rsid w:val="002C00EB"/>
    <w:rsid w:val="002C175B"/>
    <w:rsid w:val="002C3852"/>
    <w:rsid w:val="002C5195"/>
    <w:rsid w:val="002D5FD9"/>
    <w:rsid w:val="002E6E07"/>
    <w:rsid w:val="002E716C"/>
    <w:rsid w:val="002F725A"/>
    <w:rsid w:val="0030386B"/>
    <w:rsid w:val="0030775B"/>
    <w:rsid w:val="0030783F"/>
    <w:rsid w:val="00311108"/>
    <w:rsid w:val="00312903"/>
    <w:rsid w:val="00316F70"/>
    <w:rsid w:val="00322492"/>
    <w:rsid w:val="00323358"/>
    <w:rsid w:val="00324C94"/>
    <w:rsid w:val="003255C0"/>
    <w:rsid w:val="00335A2A"/>
    <w:rsid w:val="00362505"/>
    <w:rsid w:val="0036295D"/>
    <w:rsid w:val="0039211F"/>
    <w:rsid w:val="00395314"/>
    <w:rsid w:val="003A3DCB"/>
    <w:rsid w:val="003C3F76"/>
    <w:rsid w:val="003C4290"/>
    <w:rsid w:val="003F03D4"/>
    <w:rsid w:val="003F463F"/>
    <w:rsid w:val="00400482"/>
    <w:rsid w:val="004009D1"/>
    <w:rsid w:val="00431899"/>
    <w:rsid w:val="00440762"/>
    <w:rsid w:val="004460C4"/>
    <w:rsid w:val="00452A33"/>
    <w:rsid w:val="00465883"/>
    <w:rsid w:val="00480ABD"/>
    <w:rsid w:val="004939E2"/>
    <w:rsid w:val="00496D1D"/>
    <w:rsid w:val="004A0D25"/>
    <w:rsid w:val="004A1E41"/>
    <w:rsid w:val="004A2587"/>
    <w:rsid w:val="004A764E"/>
    <w:rsid w:val="004C1192"/>
    <w:rsid w:val="004D471F"/>
    <w:rsid w:val="004F1B05"/>
    <w:rsid w:val="004F368E"/>
    <w:rsid w:val="004F5A2B"/>
    <w:rsid w:val="00502B7A"/>
    <w:rsid w:val="00502CFD"/>
    <w:rsid w:val="00507228"/>
    <w:rsid w:val="005175C0"/>
    <w:rsid w:val="005206CC"/>
    <w:rsid w:val="00536D06"/>
    <w:rsid w:val="00543BEB"/>
    <w:rsid w:val="00552B24"/>
    <w:rsid w:val="0055489F"/>
    <w:rsid w:val="0056512C"/>
    <w:rsid w:val="005755D3"/>
    <w:rsid w:val="005832F5"/>
    <w:rsid w:val="005833AB"/>
    <w:rsid w:val="00584FBF"/>
    <w:rsid w:val="005A7C50"/>
    <w:rsid w:val="005B6946"/>
    <w:rsid w:val="005C22CC"/>
    <w:rsid w:val="005F16EE"/>
    <w:rsid w:val="005F43D6"/>
    <w:rsid w:val="00603BC9"/>
    <w:rsid w:val="00605A58"/>
    <w:rsid w:val="00607C5F"/>
    <w:rsid w:val="00613AFA"/>
    <w:rsid w:val="00613C82"/>
    <w:rsid w:val="00621A48"/>
    <w:rsid w:val="0062262F"/>
    <w:rsid w:val="006271E2"/>
    <w:rsid w:val="006339ED"/>
    <w:rsid w:val="0063465F"/>
    <w:rsid w:val="006417F9"/>
    <w:rsid w:val="00647F64"/>
    <w:rsid w:val="00651335"/>
    <w:rsid w:val="00651C8E"/>
    <w:rsid w:val="00652EFE"/>
    <w:rsid w:val="00656988"/>
    <w:rsid w:val="00661A3F"/>
    <w:rsid w:val="00676A73"/>
    <w:rsid w:val="00680D2A"/>
    <w:rsid w:val="006860F6"/>
    <w:rsid w:val="00695DF2"/>
    <w:rsid w:val="006A0160"/>
    <w:rsid w:val="006A426C"/>
    <w:rsid w:val="006D2160"/>
    <w:rsid w:val="007020ED"/>
    <w:rsid w:val="0071263E"/>
    <w:rsid w:val="00715069"/>
    <w:rsid w:val="00716E2A"/>
    <w:rsid w:val="0072369F"/>
    <w:rsid w:val="00725DCF"/>
    <w:rsid w:val="0073394A"/>
    <w:rsid w:val="007369A3"/>
    <w:rsid w:val="00742496"/>
    <w:rsid w:val="00742837"/>
    <w:rsid w:val="00750D56"/>
    <w:rsid w:val="0076271E"/>
    <w:rsid w:val="00763764"/>
    <w:rsid w:val="00767F36"/>
    <w:rsid w:val="00776459"/>
    <w:rsid w:val="00784E4C"/>
    <w:rsid w:val="007A1709"/>
    <w:rsid w:val="007A3FFB"/>
    <w:rsid w:val="007A46E9"/>
    <w:rsid w:val="007B26F8"/>
    <w:rsid w:val="007D3F57"/>
    <w:rsid w:val="007D50E6"/>
    <w:rsid w:val="007F75BA"/>
    <w:rsid w:val="0081459B"/>
    <w:rsid w:val="00815785"/>
    <w:rsid w:val="008167E7"/>
    <w:rsid w:val="00821C8B"/>
    <w:rsid w:val="008222E6"/>
    <w:rsid w:val="008250FA"/>
    <w:rsid w:val="00830EC6"/>
    <w:rsid w:val="00850B87"/>
    <w:rsid w:val="00850F42"/>
    <w:rsid w:val="008522A8"/>
    <w:rsid w:val="00860AB0"/>
    <w:rsid w:val="008654DB"/>
    <w:rsid w:val="00884112"/>
    <w:rsid w:val="0088450A"/>
    <w:rsid w:val="00894B15"/>
    <w:rsid w:val="008957A9"/>
    <w:rsid w:val="008B14BA"/>
    <w:rsid w:val="008B35D3"/>
    <w:rsid w:val="008B6485"/>
    <w:rsid w:val="008C1F71"/>
    <w:rsid w:val="008D25DB"/>
    <w:rsid w:val="008D4C84"/>
    <w:rsid w:val="008E100A"/>
    <w:rsid w:val="008E56BC"/>
    <w:rsid w:val="009272FC"/>
    <w:rsid w:val="0093010C"/>
    <w:rsid w:val="009302F1"/>
    <w:rsid w:val="00933343"/>
    <w:rsid w:val="00937F0B"/>
    <w:rsid w:val="0094325C"/>
    <w:rsid w:val="009436D3"/>
    <w:rsid w:val="0094605B"/>
    <w:rsid w:val="009468E7"/>
    <w:rsid w:val="00947A83"/>
    <w:rsid w:val="00955B77"/>
    <w:rsid w:val="009727AF"/>
    <w:rsid w:val="00973FA4"/>
    <w:rsid w:val="00975F0A"/>
    <w:rsid w:val="00975FAB"/>
    <w:rsid w:val="00977795"/>
    <w:rsid w:val="00980590"/>
    <w:rsid w:val="009829F9"/>
    <w:rsid w:val="00985725"/>
    <w:rsid w:val="009858C6"/>
    <w:rsid w:val="009907F0"/>
    <w:rsid w:val="00991991"/>
    <w:rsid w:val="00991BF3"/>
    <w:rsid w:val="009927B7"/>
    <w:rsid w:val="009A5720"/>
    <w:rsid w:val="009A5D16"/>
    <w:rsid w:val="009A7AC2"/>
    <w:rsid w:val="009B6595"/>
    <w:rsid w:val="009C360D"/>
    <w:rsid w:val="009C3754"/>
    <w:rsid w:val="009D1828"/>
    <w:rsid w:val="009D188E"/>
    <w:rsid w:val="009D4188"/>
    <w:rsid w:val="009E30C0"/>
    <w:rsid w:val="009F1114"/>
    <w:rsid w:val="009F1AD4"/>
    <w:rsid w:val="00A02496"/>
    <w:rsid w:val="00A477A2"/>
    <w:rsid w:val="00A60619"/>
    <w:rsid w:val="00A62D75"/>
    <w:rsid w:val="00A66EB0"/>
    <w:rsid w:val="00A66F85"/>
    <w:rsid w:val="00A76D08"/>
    <w:rsid w:val="00A9762C"/>
    <w:rsid w:val="00AA6624"/>
    <w:rsid w:val="00AB3C4C"/>
    <w:rsid w:val="00AF2F0D"/>
    <w:rsid w:val="00AF4D67"/>
    <w:rsid w:val="00B0223D"/>
    <w:rsid w:val="00B064AD"/>
    <w:rsid w:val="00B10B3B"/>
    <w:rsid w:val="00B12898"/>
    <w:rsid w:val="00B12D84"/>
    <w:rsid w:val="00B12E1A"/>
    <w:rsid w:val="00B12FF2"/>
    <w:rsid w:val="00B17A9B"/>
    <w:rsid w:val="00B24048"/>
    <w:rsid w:val="00B27AFF"/>
    <w:rsid w:val="00B33B74"/>
    <w:rsid w:val="00B444D4"/>
    <w:rsid w:val="00B50D3B"/>
    <w:rsid w:val="00B5204C"/>
    <w:rsid w:val="00B520A6"/>
    <w:rsid w:val="00B65547"/>
    <w:rsid w:val="00B65E15"/>
    <w:rsid w:val="00B66D6A"/>
    <w:rsid w:val="00B82A27"/>
    <w:rsid w:val="00B870BF"/>
    <w:rsid w:val="00B95FA8"/>
    <w:rsid w:val="00BB3FE5"/>
    <w:rsid w:val="00BC13A3"/>
    <w:rsid w:val="00BC46C2"/>
    <w:rsid w:val="00BC4B56"/>
    <w:rsid w:val="00BD348C"/>
    <w:rsid w:val="00BD67CF"/>
    <w:rsid w:val="00BE47C3"/>
    <w:rsid w:val="00BF0F8F"/>
    <w:rsid w:val="00BF2644"/>
    <w:rsid w:val="00BF5459"/>
    <w:rsid w:val="00C2317E"/>
    <w:rsid w:val="00C2774A"/>
    <w:rsid w:val="00C374A9"/>
    <w:rsid w:val="00C42953"/>
    <w:rsid w:val="00C51FCE"/>
    <w:rsid w:val="00C56722"/>
    <w:rsid w:val="00C60BDD"/>
    <w:rsid w:val="00C64242"/>
    <w:rsid w:val="00C85642"/>
    <w:rsid w:val="00C918C5"/>
    <w:rsid w:val="00C93A33"/>
    <w:rsid w:val="00C94301"/>
    <w:rsid w:val="00CA10A0"/>
    <w:rsid w:val="00CA60F7"/>
    <w:rsid w:val="00CB1219"/>
    <w:rsid w:val="00CB5578"/>
    <w:rsid w:val="00CC168B"/>
    <w:rsid w:val="00CD099D"/>
    <w:rsid w:val="00CF225C"/>
    <w:rsid w:val="00CF481B"/>
    <w:rsid w:val="00D05A1A"/>
    <w:rsid w:val="00D07CB3"/>
    <w:rsid w:val="00D12190"/>
    <w:rsid w:val="00D161A1"/>
    <w:rsid w:val="00D226FC"/>
    <w:rsid w:val="00D27739"/>
    <w:rsid w:val="00D32A70"/>
    <w:rsid w:val="00D6229A"/>
    <w:rsid w:val="00D66FF2"/>
    <w:rsid w:val="00D75BB0"/>
    <w:rsid w:val="00D8266B"/>
    <w:rsid w:val="00D8328B"/>
    <w:rsid w:val="00D840A8"/>
    <w:rsid w:val="00D9443F"/>
    <w:rsid w:val="00D9758A"/>
    <w:rsid w:val="00DA292C"/>
    <w:rsid w:val="00DA3217"/>
    <w:rsid w:val="00DA5850"/>
    <w:rsid w:val="00DA7AD2"/>
    <w:rsid w:val="00DC1F59"/>
    <w:rsid w:val="00DD371E"/>
    <w:rsid w:val="00DF2347"/>
    <w:rsid w:val="00E10425"/>
    <w:rsid w:val="00E10FBE"/>
    <w:rsid w:val="00E32EF2"/>
    <w:rsid w:val="00E410E5"/>
    <w:rsid w:val="00E545B4"/>
    <w:rsid w:val="00E70796"/>
    <w:rsid w:val="00E75224"/>
    <w:rsid w:val="00E75AE5"/>
    <w:rsid w:val="00E84212"/>
    <w:rsid w:val="00E84E6A"/>
    <w:rsid w:val="00E92447"/>
    <w:rsid w:val="00EA0512"/>
    <w:rsid w:val="00EA0D3F"/>
    <w:rsid w:val="00EA1667"/>
    <w:rsid w:val="00EA380A"/>
    <w:rsid w:val="00EB2AFC"/>
    <w:rsid w:val="00EB6F58"/>
    <w:rsid w:val="00EB7718"/>
    <w:rsid w:val="00EC0B9B"/>
    <w:rsid w:val="00EC2688"/>
    <w:rsid w:val="00EC5BBE"/>
    <w:rsid w:val="00EC77B0"/>
    <w:rsid w:val="00ED0338"/>
    <w:rsid w:val="00EE2DD1"/>
    <w:rsid w:val="00EF21B2"/>
    <w:rsid w:val="00EF68F2"/>
    <w:rsid w:val="00F10C81"/>
    <w:rsid w:val="00F1539F"/>
    <w:rsid w:val="00F25395"/>
    <w:rsid w:val="00F25465"/>
    <w:rsid w:val="00F26C28"/>
    <w:rsid w:val="00F3093F"/>
    <w:rsid w:val="00F37749"/>
    <w:rsid w:val="00F50ADA"/>
    <w:rsid w:val="00F66013"/>
    <w:rsid w:val="00F6624F"/>
    <w:rsid w:val="00F93601"/>
    <w:rsid w:val="00F946E8"/>
    <w:rsid w:val="00FA4156"/>
    <w:rsid w:val="00FA553F"/>
    <w:rsid w:val="00FA6860"/>
    <w:rsid w:val="00FB07AF"/>
    <w:rsid w:val="00FB765B"/>
    <w:rsid w:val="00FC0295"/>
    <w:rsid w:val="00FD1574"/>
    <w:rsid w:val="00FE0F67"/>
    <w:rsid w:val="00FE13A5"/>
    <w:rsid w:val="00FE14CB"/>
    <w:rsid w:val="00FE36C2"/>
    <w:rsid w:val="00FE657A"/>
    <w:rsid w:val="00FE7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0AE"/>
  <w15:chartTrackingRefBased/>
  <w15:docId w15:val="{C22D29C2-270E-4B94-B5F6-4E3DF72B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F7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316F70"/>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316F7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316F70"/>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F7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316F7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316F70"/>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316F7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316F7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316F70"/>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F70"/>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316F70"/>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316F70"/>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316F70"/>
    <w:rPr>
      <w:rFonts w:ascii="Times New Roman Bold" w:hAnsi="Times New Roman Bold" w:cs="Times New Roman"/>
      <w:b/>
      <w:bCs/>
      <w:sz w:val="24"/>
      <w:szCs w:val="28"/>
      <w:lang w:eastAsia="en-US"/>
    </w:rPr>
  </w:style>
  <w:style w:type="character" w:customStyle="1" w:styleId="Heading5Char">
    <w:name w:val="Heading 5 Char"/>
    <w:basedOn w:val="DefaultParagraphFont"/>
    <w:link w:val="Heading5"/>
    <w:rsid w:val="00316F70"/>
    <w:rPr>
      <w:rFonts w:ascii="Times New Roman" w:hAnsi="Times New Roman" w:cs="Times New Roman"/>
      <w:b/>
      <w:bCs/>
      <w:i/>
      <w:iCs/>
      <w:sz w:val="24"/>
      <w:szCs w:val="26"/>
      <w:lang w:eastAsia="en-US"/>
    </w:rPr>
  </w:style>
  <w:style w:type="character" w:customStyle="1" w:styleId="Heading6Char">
    <w:name w:val="Heading 6 Char"/>
    <w:basedOn w:val="DefaultParagraphFont"/>
    <w:link w:val="Heading6"/>
    <w:rsid w:val="00316F70"/>
    <w:rPr>
      <w:rFonts w:ascii="Times New Roman" w:hAnsi="Times New Roman" w:cs="Times New Roman"/>
      <w:b/>
      <w:bCs/>
      <w:lang w:eastAsia="en-US"/>
    </w:rPr>
  </w:style>
  <w:style w:type="character" w:customStyle="1" w:styleId="Heading7Char">
    <w:name w:val="Heading 7 Char"/>
    <w:basedOn w:val="DefaultParagraphFont"/>
    <w:link w:val="Heading7"/>
    <w:rsid w:val="00316F70"/>
    <w:rPr>
      <w:rFonts w:ascii="Times New Roman" w:hAnsi="Times New Roman" w:cs="Times New Roman"/>
      <w:szCs w:val="24"/>
      <w:lang w:eastAsia="en-US"/>
    </w:rPr>
  </w:style>
  <w:style w:type="character" w:customStyle="1" w:styleId="Heading8Char">
    <w:name w:val="Heading 8 Char"/>
    <w:basedOn w:val="DefaultParagraphFont"/>
    <w:link w:val="Heading8"/>
    <w:rsid w:val="00316F70"/>
    <w:rPr>
      <w:rFonts w:ascii="Times New Roman" w:hAnsi="Times New Roman" w:cs="Times New Roman"/>
      <w:i/>
      <w:iCs/>
      <w:szCs w:val="24"/>
      <w:lang w:eastAsia="en-US"/>
    </w:rPr>
  </w:style>
  <w:style w:type="character" w:customStyle="1" w:styleId="Heading9Char">
    <w:name w:val="Heading 9 Char"/>
    <w:basedOn w:val="DefaultParagraphFont"/>
    <w:link w:val="Heading9"/>
    <w:rsid w:val="00316F70"/>
    <w:rPr>
      <w:rFonts w:ascii="Times New Roman" w:hAnsi="Times New Roman" w:cs="Times New Roman"/>
      <w:b/>
      <w:lang w:eastAsia="en-US"/>
    </w:rPr>
  </w:style>
  <w:style w:type="paragraph" w:styleId="Header">
    <w:name w:val="header"/>
    <w:basedOn w:val="Normal"/>
    <w:link w:val="HeaderChar"/>
    <w:rsid w:val="00316F70"/>
    <w:pPr>
      <w:tabs>
        <w:tab w:val="center" w:pos="4320"/>
        <w:tab w:val="right" w:pos="8640"/>
      </w:tabs>
    </w:pPr>
  </w:style>
  <w:style w:type="character" w:customStyle="1" w:styleId="HeaderChar">
    <w:name w:val="Header Char"/>
    <w:basedOn w:val="DefaultParagraphFont"/>
    <w:link w:val="Header"/>
    <w:rsid w:val="00316F70"/>
    <w:rPr>
      <w:rFonts w:ascii="Times New Roman" w:hAnsi="Times New Roman" w:cs="Times New Roman"/>
      <w:szCs w:val="20"/>
      <w:lang w:eastAsia="en-US"/>
    </w:rPr>
  </w:style>
  <w:style w:type="paragraph" w:styleId="Footer">
    <w:name w:val="footer"/>
    <w:basedOn w:val="Normal"/>
    <w:link w:val="FooterChar"/>
    <w:rsid w:val="00316F70"/>
    <w:pPr>
      <w:tabs>
        <w:tab w:val="center" w:pos="4320"/>
        <w:tab w:val="right" w:pos="8640"/>
      </w:tabs>
    </w:pPr>
  </w:style>
  <w:style w:type="character" w:customStyle="1" w:styleId="FooterChar">
    <w:name w:val="Footer Char"/>
    <w:basedOn w:val="DefaultParagraphFont"/>
    <w:link w:val="Footer"/>
    <w:rsid w:val="00316F70"/>
    <w:rPr>
      <w:rFonts w:ascii="Times New Roman" w:hAnsi="Times New Roman" w:cs="Times New Roman"/>
      <w:szCs w:val="20"/>
      <w:lang w:eastAsia="en-US"/>
    </w:rPr>
  </w:style>
  <w:style w:type="character" w:styleId="PageNumber">
    <w:name w:val="page number"/>
    <w:basedOn w:val="DefaultParagraphFont"/>
    <w:rsid w:val="00316F70"/>
  </w:style>
  <w:style w:type="character" w:styleId="Hyperlink">
    <w:name w:val="Hyperlink"/>
    <w:rsid w:val="00316F70"/>
    <w:rPr>
      <w:color w:val="0000FF"/>
      <w:u w:val="single"/>
    </w:rPr>
  </w:style>
  <w:style w:type="paragraph" w:styleId="BalloonText">
    <w:name w:val="Balloon Text"/>
    <w:basedOn w:val="Normal"/>
    <w:link w:val="BalloonTextChar"/>
    <w:semiHidden/>
    <w:rsid w:val="00316F70"/>
    <w:rPr>
      <w:rFonts w:ascii="Tahoma" w:hAnsi="Tahoma" w:cs="Tahoma"/>
      <w:sz w:val="16"/>
      <w:szCs w:val="16"/>
    </w:rPr>
  </w:style>
  <w:style w:type="character" w:customStyle="1" w:styleId="BalloonTextChar">
    <w:name w:val="Balloon Text Char"/>
    <w:basedOn w:val="DefaultParagraphFont"/>
    <w:link w:val="BalloonText"/>
    <w:semiHidden/>
    <w:rsid w:val="00316F70"/>
    <w:rPr>
      <w:rFonts w:ascii="Tahoma" w:hAnsi="Tahoma" w:cs="Tahoma"/>
      <w:sz w:val="16"/>
      <w:szCs w:val="16"/>
      <w:lang w:eastAsia="en-US"/>
    </w:rPr>
  </w:style>
  <w:style w:type="character" w:styleId="FollowedHyperlink">
    <w:name w:val="FollowedHyperlink"/>
    <w:rsid w:val="00316F70"/>
    <w:rPr>
      <w:color w:val="800080"/>
      <w:u w:val="single"/>
    </w:rPr>
  </w:style>
  <w:style w:type="paragraph" w:styleId="DocumentMap">
    <w:name w:val="Document Map"/>
    <w:basedOn w:val="Normal"/>
    <w:link w:val="DocumentMapChar"/>
    <w:rsid w:val="00316F70"/>
    <w:rPr>
      <w:rFonts w:ascii="Tahoma" w:hAnsi="Tahoma" w:cs="Tahoma"/>
      <w:sz w:val="16"/>
      <w:szCs w:val="16"/>
    </w:rPr>
  </w:style>
  <w:style w:type="character" w:customStyle="1" w:styleId="DocumentMapChar">
    <w:name w:val="Document Map Char"/>
    <w:basedOn w:val="DefaultParagraphFont"/>
    <w:link w:val="DocumentMap"/>
    <w:rsid w:val="00316F70"/>
    <w:rPr>
      <w:rFonts w:ascii="Tahoma" w:hAnsi="Tahoma" w:cs="Tahoma"/>
      <w:sz w:val="16"/>
      <w:szCs w:val="16"/>
      <w:lang w:eastAsia="en-US"/>
    </w:rPr>
  </w:style>
  <w:style w:type="paragraph" w:styleId="ListParagraph">
    <w:name w:val="List Paragraph"/>
    <w:basedOn w:val="Normal"/>
    <w:uiPriority w:val="34"/>
    <w:qFormat/>
    <w:rsid w:val="00316F70"/>
    <w:pPr>
      <w:ind w:left="720"/>
      <w:contextualSpacing/>
    </w:pPr>
  </w:style>
  <w:style w:type="table" w:styleId="TableGrid">
    <w:name w:val="Table Grid"/>
    <w:basedOn w:val="TableNormal"/>
    <w:rsid w:val="00316F70"/>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316F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316F70"/>
    <w:rPr>
      <w:rFonts w:ascii="Times New Roman" w:eastAsia="MS Mincho" w:hAnsi="Times New Roman" w:cs="Times New Roman"/>
      <w:i/>
      <w:iCs/>
      <w:sz w:val="24"/>
      <w:szCs w:val="24"/>
      <w:lang w:eastAsia="en-US"/>
    </w:rPr>
  </w:style>
  <w:style w:type="character" w:styleId="CommentReference">
    <w:name w:val="annotation reference"/>
    <w:basedOn w:val="DefaultParagraphFont"/>
    <w:rsid w:val="00316F70"/>
    <w:rPr>
      <w:sz w:val="16"/>
      <w:szCs w:val="16"/>
    </w:rPr>
  </w:style>
  <w:style w:type="paragraph" w:styleId="CommentText">
    <w:name w:val="annotation text"/>
    <w:basedOn w:val="Normal"/>
    <w:link w:val="CommentTextChar"/>
    <w:rsid w:val="00316F70"/>
    <w:rPr>
      <w:sz w:val="20"/>
    </w:rPr>
  </w:style>
  <w:style w:type="character" w:customStyle="1" w:styleId="CommentTextChar">
    <w:name w:val="Comment Text Char"/>
    <w:basedOn w:val="DefaultParagraphFont"/>
    <w:link w:val="CommentText"/>
    <w:rsid w:val="00316F70"/>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rsid w:val="00316F70"/>
    <w:rPr>
      <w:b/>
      <w:bCs/>
    </w:rPr>
  </w:style>
  <w:style w:type="character" w:customStyle="1" w:styleId="CommentSubjectChar">
    <w:name w:val="Comment Subject Char"/>
    <w:basedOn w:val="CommentTextChar"/>
    <w:link w:val="CommentSubject"/>
    <w:rsid w:val="00316F70"/>
    <w:rPr>
      <w:rFonts w:ascii="Times New Roman" w:hAnsi="Times New Roman" w:cs="Times New Roman"/>
      <w:b/>
      <w:bCs/>
      <w:sz w:val="20"/>
      <w:szCs w:val="20"/>
      <w:lang w:eastAsia="en-US"/>
    </w:rPr>
  </w:style>
  <w:style w:type="paragraph" w:customStyle="1" w:styleId="tableheading">
    <w:name w:val="table heading"/>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07C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7CB3"/>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883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ree/VTM-6.0"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guichunli@tencen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33</cp:revision>
  <dcterms:created xsi:type="dcterms:W3CDTF">2019-09-24T05:37:00Z</dcterms:created>
  <dcterms:modified xsi:type="dcterms:W3CDTF">2019-09-25T04:38:00Z</dcterms:modified>
</cp:coreProperties>
</file>