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drawings/drawing3.xml" ContentType="application/vnd.openxmlformats-officedocument.drawingml.chartshapes+xml"/>
  <Override PartName="/word/charts/chart4.xml" ContentType="application/vnd.openxmlformats-officedocument.drawingml.chart+xml"/>
  <Override PartName="/word/drawings/drawing4.xml" ContentType="application/vnd.openxmlformats-officedocument.drawingml.chartshapes+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en-GB" w:eastAsia="en-GB"/>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en-GB" w:eastAsia="en-GB"/>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en-GB" w:eastAsia="en-GB"/>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A4BFED" w:rsidR="00E61DAC" w:rsidRPr="005B217D" w:rsidRDefault="002420FF" w:rsidP="00FA60F5">
            <w:pPr>
              <w:tabs>
                <w:tab w:val="left" w:pos="7200"/>
              </w:tabs>
              <w:spacing w:before="0"/>
              <w:rPr>
                <w:b/>
                <w:szCs w:val="22"/>
                <w:lang w:val="en-CA"/>
              </w:rPr>
            </w:pPr>
            <w:r>
              <w:t>16th</w:t>
            </w:r>
            <w:r w:rsidRPr="00B648F1">
              <w:t xml:space="preserve"> Meeting: </w:t>
            </w:r>
            <w:r>
              <w:rPr>
                <w:lang w:val="en-CA"/>
              </w:rPr>
              <w:t>Geneva</w:t>
            </w:r>
            <w:r w:rsidRPr="00B57A23">
              <w:rPr>
                <w:lang w:val="en-CA"/>
              </w:rPr>
              <w:t xml:space="preserve">, </w:t>
            </w:r>
            <w:r>
              <w:rPr>
                <w:lang w:val="en-CA"/>
              </w:rPr>
              <w:t>CH</w:t>
            </w:r>
            <w:r w:rsidRPr="00B57A23">
              <w:rPr>
                <w:lang w:val="en-CA"/>
              </w:rPr>
              <w:t xml:space="preserve">, </w:t>
            </w:r>
            <w:r>
              <w:rPr>
                <w:lang w:val="en-CA"/>
              </w:rPr>
              <w:t>1</w:t>
            </w:r>
            <w:r w:rsidRPr="00B57A23">
              <w:rPr>
                <w:lang w:val="en-CA"/>
              </w:rPr>
              <w:t>–</w:t>
            </w:r>
            <w:r>
              <w:rPr>
                <w:lang w:val="en-CA"/>
              </w:rPr>
              <w:t>11</w:t>
            </w:r>
            <w:r w:rsidRPr="00B57A23">
              <w:rPr>
                <w:lang w:val="en-CA"/>
              </w:rPr>
              <w:t xml:space="preserve"> </w:t>
            </w:r>
            <w:r>
              <w:rPr>
                <w:lang w:val="en-CA"/>
              </w:rPr>
              <w:t>October</w:t>
            </w:r>
            <w:r w:rsidRPr="00B57A23">
              <w:rPr>
                <w:lang w:val="en-CA"/>
              </w:rPr>
              <w:t xml:space="preserve"> 201</w:t>
            </w:r>
            <w:r>
              <w:rPr>
                <w:lang w:val="en-CA"/>
              </w:rPr>
              <w:t>9</w:t>
            </w:r>
          </w:p>
        </w:tc>
        <w:tc>
          <w:tcPr>
            <w:tcW w:w="3060" w:type="dxa"/>
          </w:tcPr>
          <w:p w14:paraId="59B7E346" w14:textId="6B4DC351" w:rsidR="008A4B4C" w:rsidRPr="005B217D" w:rsidRDefault="00E61DAC" w:rsidP="00BE129D">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2420FF">
              <w:rPr>
                <w:lang w:val="en-CA"/>
              </w:rPr>
              <w:t>P</w:t>
            </w:r>
            <w:r w:rsidR="00BE129D">
              <w:rPr>
                <w:lang w:val="en-CA"/>
              </w:rPr>
              <w:t>0393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2173C8A" w:rsidR="00E61DAC" w:rsidRPr="005B217D" w:rsidRDefault="003D7AA6" w:rsidP="003D7AA6">
            <w:pPr>
              <w:spacing w:before="60" w:after="60"/>
              <w:rPr>
                <w:b/>
                <w:szCs w:val="22"/>
                <w:lang w:val="en-CA"/>
              </w:rPr>
            </w:pPr>
            <w:r>
              <w:rPr>
                <w:b/>
                <w:szCs w:val="22"/>
                <w:lang w:val="en-CA"/>
              </w:rPr>
              <w:t>On BD rate computation for tools affecting quantization</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4D3AFCE" w:rsidR="00E61DAC" w:rsidRPr="005B217D" w:rsidRDefault="0013458C" w:rsidP="009459D9">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1595F8B" w:rsidR="00E61DAC" w:rsidRPr="005B217D" w:rsidRDefault="00077441" w:rsidP="009459D9">
            <w:pPr>
              <w:spacing w:before="60" w:after="60"/>
              <w:rPr>
                <w:szCs w:val="22"/>
                <w:lang w:val="en-CA"/>
              </w:rPr>
            </w:pPr>
            <w:r>
              <w:rPr>
                <w:szCs w:val="22"/>
                <w:lang w:val="en-CA"/>
              </w:rPr>
              <w:t>For Information</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02ABFDBD" w:rsidR="00E61DAC" w:rsidRPr="005B217D" w:rsidRDefault="009459D9" w:rsidP="009F3496">
            <w:pPr>
              <w:spacing w:before="60" w:after="60"/>
              <w:rPr>
                <w:szCs w:val="22"/>
                <w:lang w:val="en-CA"/>
              </w:rPr>
            </w:pPr>
            <w:r>
              <w:rPr>
                <w:szCs w:val="22"/>
                <w:lang w:val="en-CA"/>
              </w:rPr>
              <w:t>Steve Keating</w:t>
            </w:r>
            <w:r w:rsidR="002F5887">
              <w:rPr>
                <w:szCs w:val="22"/>
                <w:lang w:val="en-CA"/>
              </w:rPr>
              <w:br/>
              <w:t>Karl Sharman</w:t>
            </w:r>
            <w:r w:rsidR="009F3496">
              <w:rPr>
                <w:szCs w:val="22"/>
                <w:lang w:val="en-CA"/>
              </w:rPr>
              <w:br/>
              <w:t>Adrian Browne</w:t>
            </w:r>
          </w:p>
        </w:tc>
        <w:tc>
          <w:tcPr>
            <w:tcW w:w="900" w:type="dxa"/>
          </w:tcPr>
          <w:p w14:paraId="0140ECA2" w14:textId="7C64C415" w:rsidR="00E61DAC" w:rsidRPr="005B217D" w:rsidRDefault="00E61DAC" w:rsidP="009459D9">
            <w:pPr>
              <w:spacing w:before="60" w:after="60"/>
              <w:rPr>
                <w:szCs w:val="22"/>
                <w:lang w:val="en-CA"/>
              </w:rPr>
            </w:pPr>
            <w:r w:rsidRPr="005B217D">
              <w:rPr>
                <w:szCs w:val="22"/>
                <w:lang w:val="en-CA"/>
              </w:rPr>
              <w:t>Email:</w:t>
            </w:r>
          </w:p>
        </w:tc>
        <w:tc>
          <w:tcPr>
            <w:tcW w:w="3060" w:type="dxa"/>
          </w:tcPr>
          <w:p w14:paraId="32C2ABFD" w14:textId="3E8D3C63" w:rsidR="009459D9" w:rsidRPr="005B217D" w:rsidRDefault="00AB4ED1" w:rsidP="00796527">
            <w:pPr>
              <w:spacing w:before="60" w:after="60"/>
              <w:rPr>
                <w:szCs w:val="22"/>
                <w:lang w:val="en-CA"/>
              </w:rPr>
            </w:pPr>
            <w:hyperlink r:id="rId9" w:history="1">
              <w:r w:rsidR="009459D9" w:rsidRPr="00410F97">
                <w:rPr>
                  <w:rStyle w:val="Hyperlink"/>
                  <w:szCs w:val="22"/>
                  <w:lang w:val="en-CA"/>
                </w:rPr>
                <w:t>steve.keating@sony.com</w:t>
              </w:r>
            </w:hyperlink>
            <w:r w:rsidR="002F5887">
              <w:rPr>
                <w:rStyle w:val="Hyperlink"/>
                <w:szCs w:val="22"/>
                <w:lang w:val="en-CA"/>
              </w:rPr>
              <w:br/>
            </w:r>
            <w:hyperlink r:id="rId10" w:history="1">
              <w:r w:rsidR="00796527" w:rsidRPr="00D815DE">
                <w:rPr>
                  <w:rStyle w:val="Hyperlink"/>
                  <w:szCs w:val="22"/>
                  <w:lang w:val="en-CA"/>
                </w:rPr>
                <w:t>karl.sharman@sony.com</w:t>
              </w:r>
            </w:hyperlink>
            <w:r w:rsidR="00796527">
              <w:rPr>
                <w:rStyle w:val="Hyperlink"/>
                <w:szCs w:val="22"/>
                <w:lang w:val="en-CA"/>
              </w:rPr>
              <w:br/>
              <w:t>adrian.browne@sony.com</w:t>
            </w:r>
          </w:p>
        </w:tc>
      </w:tr>
      <w:tr w:rsidR="00E61DAC" w:rsidRPr="005B217D" w14:paraId="49AFAA61" w14:textId="77777777" w:rsidTr="000962AC">
        <w:tc>
          <w:tcPr>
            <w:tcW w:w="1458" w:type="dxa"/>
          </w:tcPr>
          <w:p w14:paraId="2C08AF6B" w14:textId="445DCAB8"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9A91217" w:rsidR="00E61DAC" w:rsidRPr="005B217D" w:rsidRDefault="009459D9" w:rsidP="009459D9">
            <w:pPr>
              <w:spacing w:before="60" w:after="60"/>
              <w:rPr>
                <w:szCs w:val="22"/>
                <w:lang w:val="en-CA"/>
              </w:rPr>
            </w:pPr>
            <w:r>
              <w:rPr>
                <w:szCs w:val="22"/>
                <w:lang w:val="en-CA"/>
              </w:rPr>
              <w:t>Sony Europe</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1B165B55" w14:textId="713C9B6C" w:rsidR="003F1450" w:rsidRDefault="003F1450" w:rsidP="003F1450">
      <w:pPr>
        <w:rPr>
          <w:szCs w:val="22"/>
          <w:lang w:val="en-CA"/>
        </w:rPr>
      </w:pPr>
      <w:r>
        <w:rPr>
          <w:szCs w:val="22"/>
          <w:lang w:val="en-CA"/>
        </w:rPr>
        <w:t xml:space="preserve">In JVET-N0031 it was proposed to increase the number of points used in rate-distortion curves to improve the accuracy of BD rate computation.  This paper studies LMCS, which modifies the effective quantization, as an example of a tool where the BD rate computation is affected.  The use </w:t>
      </w:r>
      <w:r w:rsidR="00E52BE0">
        <w:rPr>
          <w:szCs w:val="22"/>
          <w:lang w:val="en-CA"/>
        </w:rPr>
        <w:t xml:space="preserve">of </w:t>
      </w:r>
      <w:r>
        <w:rPr>
          <w:szCs w:val="22"/>
          <w:lang w:val="en-CA"/>
        </w:rPr>
        <w:t>a combined YUV metric</w:t>
      </w:r>
      <w:r w:rsidR="00E52BE0">
        <w:rPr>
          <w:szCs w:val="22"/>
          <w:lang w:val="en-CA"/>
        </w:rPr>
        <w:t>, as proposed in JVET-N0341,</w:t>
      </w:r>
      <w:r>
        <w:rPr>
          <w:szCs w:val="22"/>
          <w:lang w:val="en-CA"/>
        </w:rPr>
        <w:t xml:space="preserve"> is also studied for the same example.</w:t>
      </w:r>
    </w:p>
    <w:p w14:paraId="582A7F24" w14:textId="77777777" w:rsidR="00796120" w:rsidRPr="005B217D" w:rsidRDefault="00796120" w:rsidP="009234A5">
      <w:pPr>
        <w:rPr>
          <w:szCs w:val="22"/>
          <w:lang w:val="en-CA"/>
        </w:rPr>
      </w:pPr>
    </w:p>
    <w:p w14:paraId="7D2AC1F0" w14:textId="0DAACC34" w:rsidR="00745F6B" w:rsidRPr="005B217D" w:rsidRDefault="00C13B82" w:rsidP="00E11923">
      <w:pPr>
        <w:pStyle w:val="Heading1"/>
        <w:rPr>
          <w:lang w:val="en-CA"/>
        </w:rPr>
      </w:pPr>
      <w:r>
        <w:rPr>
          <w:lang w:val="en-CA"/>
        </w:rPr>
        <w:t>Introduction</w:t>
      </w:r>
    </w:p>
    <w:p w14:paraId="20BC8AD8" w14:textId="77777777" w:rsidR="00876489" w:rsidRDefault="003F1450" w:rsidP="003C3A6F">
      <w:pPr>
        <w:rPr>
          <w:szCs w:val="22"/>
          <w:lang w:val="en-CA"/>
        </w:rPr>
      </w:pPr>
      <w:r>
        <w:rPr>
          <w:szCs w:val="22"/>
          <w:lang w:val="en-CA"/>
        </w:rPr>
        <w:t>It has previously been proposed</w:t>
      </w:r>
      <w:r w:rsidR="00D34972">
        <w:rPr>
          <w:szCs w:val="22"/>
          <w:lang w:val="en-CA"/>
        </w:rPr>
        <w:t xml:space="preserve"> in [1] that the number of QP values currently used in Common Test Conditions [3] can cause inaccurate BD rate numbers to be reported.  This is especially true for tools which modify the effective quantisation either directly, such as Dependent Quantisation, or by modifying the tone curve, such as LMCS. </w:t>
      </w:r>
    </w:p>
    <w:p w14:paraId="7F705051" w14:textId="673493B2" w:rsidR="00D34972" w:rsidRDefault="00D34972" w:rsidP="003C3A6F">
      <w:pPr>
        <w:rPr>
          <w:szCs w:val="22"/>
          <w:lang w:val="en-CA"/>
        </w:rPr>
      </w:pPr>
      <w:r>
        <w:rPr>
          <w:szCs w:val="22"/>
          <w:lang w:val="en-CA"/>
        </w:rPr>
        <w:t xml:space="preserve">It has also been proposed </w:t>
      </w:r>
      <w:r w:rsidR="00876489">
        <w:rPr>
          <w:szCs w:val="22"/>
          <w:lang w:val="en-CA"/>
        </w:rPr>
        <w:t xml:space="preserve">in [2] that combined YUV BD rate numbers should be reported and this is important for tools which give significant divergence between </w:t>
      </w:r>
      <w:proofErr w:type="spellStart"/>
      <w:r w:rsidR="00876489">
        <w:rPr>
          <w:szCs w:val="22"/>
          <w:lang w:val="en-CA"/>
        </w:rPr>
        <w:t>luma</w:t>
      </w:r>
      <w:proofErr w:type="spellEnd"/>
      <w:r w:rsidR="00876489">
        <w:rPr>
          <w:szCs w:val="22"/>
          <w:lang w:val="en-CA"/>
        </w:rPr>
        <w:t xml:space="preserve"> and chroma</w:t>
      </w:r>
      <w:r w:rsidR="00227017">
        <w:rPr>
          <w:szCs w:val="22"/>
          <w:lang w:val="en-CA"/>
        </w:rPr>
        <w:t xml:space="preserve"> PSNRs such as </w:t>
      </w:r>
      <w:proofErr w:type="spellStart"/>
      <w:r w:rsidR="00227017">
        <w:rPr>
          <w:szCs w:val="22"/>
          <w:lang w:val="en-CA"/>
        </w:rPr>
        <w:t>LM_Chroma</w:t>
      </w:r>
      <w:proofErr w:type="spellEnd"/>
      <w:r w:rsidR="00227017">
        <w:rPr>
          <w:szCs w:val="22"/>
          <w:lang w:val="en-CA"/>
        </w:rPr>
        <w:t>.</w:t>
      </w:r>
    </w:p>
    <w:p w14:paraId="7887079C" w14:textId="3655D853" w:rsidR="003C26BA" w:rsidRDefault="00D34972" w:rsidP="003C3A6F">
      <w:pPr>
        <w:rPr>
          <w:szCs w:val="22"/>
          <w:lang w:val="en-CA"/>
        </w:rPr>
      </w:pPr>
      <w:r>
        <w:rPr>
          <w:szCs w:val="22"/>
          <w:lang w:val="en-CA"/>
        </w:rPr>
        <w:t>LMCS was chose</w:t>
      </w:r>
      <w:r w:rsidR="00C20271">
        <w:rPr>
          <w:szCs w:val="22"/>
          <w:lang w:val="en-CA"/>
        </w:rPr>
        <w:t>n</w:t>
      </w:r>
      <w:r>
        <w:rPr>
          <w:szCs w:val="22"/>
          <w:lang w:val="en-CA"/>
        </w:rPr>
        <w:t xml:space="preserve"> as an example as it has </w:t>
      </w:r>
      <w:r w:rsidR="00E351DF">
        <w:rPr>
          <w:szCs w:val="22"/>
          <w:lang w:val="en-CA"/>
        </w:rPr>
        <w:t xml:space="preserve">both </w:t>
      </w:r>
      <w:r>
        <w:rPr>
          <w:szCs w:val="22"/>
          <w:lang w:val="en-CA"/>
        </w:rPr>
        <w:t xml:space="preserve">the effect of modifying the effective quantisation points as well as modifying the relative quantisation of </w:t>
      </w:r>
      <w:proofErr w:type="spellStart"/>
      <w:r>
        <w:rPr>
          <w:szCs w:val="22"/>
          <w:lang w:val="en-CA"/>
        </w:rPr>
        <w:t>luma</w:t>
      </w:r>
      <w:proofErr w:type="spellEnd"/>
      <w:r>
        <w:rPr>
          <w:szCs w:val="22"/>
          <w:lang w:val="en-CA"/>
        </w:rPr>
        <w:t xml:space="preserve"> vs. chroma.</w:t>
      </w:r>
    </w:p>
    <w:p w14:paraId="0FE68B32" w14:textId="77777777" w:rsidR="00876489" w:rsidRDefault="00876489" w:rsidP="003C3A6F">
      <w:pPr>
        <w:rPr>
          <w:szCs w:val="22"/>
          <w:lang w:val="en-CA"/>
        </w:rPr>
      </w:pPr>
    </w:p>
    <w:p w14:paraId="6F3BDD30" w14:textId="38DD5296" w:rsidR="003C26BA" w:rsidRDefault="003C26BA" w:rsidP="003C26BA">
      <w:pPr>
        <w:pStyle w:val="Heading1"/>
        <w:rPr>
          <w:lang w:val="en-CA"/>
        </w:rPr>
      </w:pPr>
      <w:r>
        <w:rPr>
          <w:lang w:val="en-CA"/>
        </w:rPr>
        <w:t>Results</w:t>
      </w:r>
      <w:r w:rsidR="00E351DF">
        <w:rPr>
          <w:lang w:val="en-CA"/>
        </w:rPr>
        <w:t xml:space="preserve"> and Analysis</w:t>
      </w:r>
    </w:p>
    <w:p w14:paraId="080C69E1" w14:textId="7D5BA0AE" w:rsidR="00135CD9" w:rsidRPr="00135CD9" w:rsidRDefault="00135CD9" w:rsidP="00135CD9">
      <w:pPr>
        <w:pStyle w:val="Heading2"/>
        <w:rPr>
          <w:lang w:val="en-CA"/>
        </w:rPr>
      </w:pPr>
      <w:r>
        <w:rPr>
          <w:lang w:val="en-CA"/>
        </w:rPr>
        <w:t>Number of points in BD rate calculation</w:t>
      </w:r>
    </w:p>
    <w:p w14:paraId="77B98CE8" w14:textId="25CD729D" w:rsidR="004071D8" w:rsidRDefault="00E351DF" w:rsidP="003C3A6F">
      <w:pPr>
        <w:rPr>
          <w:szCs w:val="22"/>
          <w:lang w:val="en-CA"/>
        </w:rPr>
      </w:pPr>
      <w:r>
        <w:rPr>
          <w:szCs w:val="22"/>
          <w:lang w:val="en-CA"/>
        </w:rPr>
        <w:t>The BD-rate figures for the LMCS tool-off test under CTC are shown below</w:t>
      </w:r>
      <w:r w:rsidR="00227017">
        <w:rPr>
          <w:szCs w:val="22"/>
          <w:lang w:val="en-CA"/>
        </w:rPr>
        <w:t>.</w:t>
      </w:r>
    </w:p>
    <w:p w14:paraId="62C4291A" w14:textId="43B6CC3C" w:rsidR="00E351DF" w:rsidRDefault="00227017" w:rsidP="003C3A6F">
      <w:pPr>
        <w:rPr>
          <w:szCs w:val="22"/>
          <w:lang w:val="en-CA"/>
        </w:rPr>
      </w:pPr>
      <w:r>
        <w:rPr>
          <w:szCs w:val="22"/>
          <w:lang w:val="en-CA"/>
        </w:rPr>
        <w:t>Using 4 points:</w:t>
      </w:r>
    </w:p>
    <w:tbl>
      <w:tblPr>
        <w:tblW w:w="4798" w:type="dxa"/>
        <w:tblLook w:val="04A0" w:firstRow="1" w:lastRow="0" w:firstColumn="1" w:lastColumn="0" w:noHBand="0" w:noVBand="1"/>
      </w:tblPr>
      <w:tblGrid>
        <w:gridCol w:w="1640"/>
        <w:gridCol w:w="980"/>
        <w:gridCol w:w="1089"/>
        <w:gridCol w:w="1089"/>
      </w:tblGrid>
      <w:tr w:rsidR="00E351DF" w:rsidRPr="00E351DF" w14:paraId="34D0A878" w14:textId="77777777" w:rsidTr="00E351DF">
        <w:trPr>
          <w:trHeight w:val="255"/>
        </w:trPr>
        <w:tc>
          <w:tcPr>
            <w:tcW w:w="1640" w:type="dxa"/>
            <w:tcBorders>
              <w:top w:val="nil"/>
              <w:left w:val="nil"/>
              <w:bottom w:val="nil"/>
              <w:right w:val="nil"/>
            </w:tcBorders>
            <w:shd w:val="clear" w:color="auto" w:fill="auto"/>
            <w:noWrap/>
            <w:vAlign w:val="center"/>
            <w:hideMark/>
          </w:tcPr>
          <w:p w14:paraId="1FB3BEB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3158" w:type="dxa"/>
            <w:gridSpan w:val="3"/>
            <w:tcBorders>
              <w:top w:val="single" w:sz="8" w:space="0" w:color="auto"/>
              <w:left w:val="single" w:sz="8" w:space="0" w:color="auto"/>
              <w:bottom w:val="nil"/>
              <w:right w:val="single" w:sz="8" w:space="0" w:color="000000"/>
            </w:tcBorders>
            <w:shd w:val="clear" w:color="auto" w:fill="auto"/>
            <w:noWrap/>
            <w:vAlign w:val="center"/>
            <w:hideMark/>
          </w:tcPr>
          <w:p w14:paraId="4DA7AE25" w14:textId="13B13C4C" w:rsidR="00E351DF" w:rsidRPr="00E351DF" w:rsidRDefault="00E351DF"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Over VTM6.1</w:t>
            </w:r>
          </w:p>
        </w:tc>
      </w:tr>
      <w:tr w:rsidR="00E351DF" w:rsidRPr="00E351DF" w14:paraId="44056EAB" w14:textId="77777777" w:rsidTr="00E351DF">
        <w:trPr>
          <w:trHeight w:val="255"/>
        </w:trPr>
        <w:tc>
          <w:tcPr>
            <w:tcW w:w="1640" w:type="dxa"/>
            <w:tcBorders>
              <w:top w:val="nil"/>
              <w:left w:val="nil"/>
              <w:bottom w:val="nil"/>
              <w:right w:val="nil"/>
            </w:tcBorders>
            <w:shd w:val="clear" w:color="auto" w:fill="auto"/>
            <w:noWrap/>
            <w:vAlign w:val="center"/>
            <w:hideMark/>
          </w:tcPr>
          <w:p w14:paraId="43DBD41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980" w:type="dxa"/>
            <w:tcBorders>
              <w:top w:val="nil"/>
              <w:left w:val="single" w:sz="8" w:space="0" w:color="auto"/>
              <w:bottom w:val="single" w:sz="8" w:space="0" w:color="auto"/>
              <w:right w:val="nil"/>
            </w:tcBorders>
            <w:shd w:val="clear" w:color="auto" w:fill="auto"/>
            <w:noWrap/>
            <w:vAlign w:val="center"/>
            <w:hideMark/>
          </w:tcPr>
          <w:p w14:paraId="63636D2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w:t>
            </w:r>
          </w:p>
        </w:tc>
        <w:tc>
          <w:tcPr>
            <w:tcW w:w="1089" w:type="dxa"/>
            <w:tcBorders>
              <w:top w:val="nil"/>
              <w:left w:val="nil"/>
              <w:bottom w:val="single" w:sz="8" w:space="0" w:color="auto"/>
              <w:right w:val="nil"/>
            </w:tcBorders>
            <w:shd w:val="clear" w:color="auto" w:fill="auto"/>
            <w:noWrap/>
            <w:vAlign w:val="center"/>
            <w:hideMark/>
          </w:tcPr>
          <w:p w14:paraId="785FA7B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U</w:t>
            </w:r>
          </w:p>
        </w:tc>
        <w:tc>
          <w:tcPr>
            <w:tcW w:w="1089" w:type="dxa"/>
            <w:tcBorders>
              <w:top w:val="nil"/>
              <w:left w:val="nil"/>
              <w:bottom w:val="single" w:sz="8" w:space="0" w:color="auto"/>
              <w:right w:val="single" w:sz="4" w:space="0" w:color="auto"/>
            </w:tcBorders>
            <w:shd w:val="clear" w:color="auto" w:fill="auto"/>
            <w:noWrap/>
            <w:vAlign w:val="center"/>
            <w:hideMark/>
          </w:tcPr>
          <w:p w14:paraId="08B11D6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V</w:t>
            </w:r>
          </w:p>
        </w:tc>
      </w:tr>
      <w:tr w:rsidR="00E351DF" w:rsidRPr="00E351DF" w14:paraId="50156ABB"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F73796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A1</w:t>
            </w:r>
          </w:p>
        </w:tc>
        <w:tc>
          <w:tcPr>
            <w:tcW w:w="980" w:type="dxa"/>
            <w:tcBorders>
              <w:top w:val="nil"/>
              <w:left w:val="nil"/>
              <w:bottom w:val="nil"/>
              <w:right w:val="nil"/>
            </w:tcBorders>
            <w:shd w:val="clear" w:color="auto" w:fill="auto"/>
            <w:noWrap/>
            <w:vAlign w:val="center"/>
            <w:hideMark/>
          </w:tcPr>
          <w:p w14:paraId="2C0531B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1.88%</w:t>
            </w:r>
          </w:p>
        </w:tc>
        <w:tc>
          <w:tcPr>
            <w:tcW w:w="1089" w:type="dxa"/>
            <w:tcBorders>
              <w:top w:val="nil"/>
              <w:left w:val="nil"/>
              <w:bottom w:val="nil"/>
              <w:right w:val="nil"/>
            </w:tcBorders>
            <w:shd w:val="clear" w:color="auto" w:fill="auto"/>
            <w:noWrap/>
            <w:vAlign w:val="center"/>
            <w:hideMark/>
          </w:tcPr>
          <w:p w14:paraId="5E52313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0.42%</w:t>
            </w:r>
          </w:p>
        </w:tc>
        <w:tc>
          <w:tcPr>
            <w:tcW w:w="1089" w:type="dxa"/>
            <w:tcBorders>
              <w:top w:val="nil"/>
              <w:left w:val="nil"/>
              <w:bottom w:val="nil"/>
              <w:right w:val="single" w:sz="4" w:space="0" w:color="auto"/>
            </w:tcBorders>
            <w:shd w:val="clear" w:color="auto" w:fill="auto"/>
            <w:noWrap/>
            <w:vAlign w:val="center"/>
            <w:hideMark/>
          </w:tcPr>
          <w:p w14:paraId="123814F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2.72%</w:t>
            </w:r>
          </w:p>
        </w:tc>
      </w:tr>
      <w:tr w:rsidR="00E351DF" w:rsidRPr="00E351DF" w14:paraId="714656FF"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0AC62F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A2</w:t>
            </w:r>
          </w:p>
        </w:tc>
        <w:tc>
          <w:tcPr>
            <w:tcW w:w="980" w:type="dxa"/>
            <w:tcBorders>
              <w:top w:val="nil"/>
              <w:left w:val="single" w:sz="8" w:space="0" w:color="auto"/>
              <w:bottom w:val="nil"/>
              <w:right w:val="nil"/>
            </w:tcBorders>
            <w:shd w:val="clear" w:color="000000" w:fill="FFC7CE"/>
            <w:noWrap/>
            <w:vAlign w:val="center"/>
            <w:hideMark/>
          </w:tcPr>
          <w:p w14:paraId="505DB88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3.02%</w:t>
            </w:r>
          </w:p>
        </w:tc>
        <w:tc>
          <w:tcPr>
            <w:tcW w:w="1089" w:type="dxa"/>
            <w:tcBorders>
              <w:top w:val="nil"/>
              <w:left w:val="nil"/>
              <w:bottom w:val="nil"/>
              <w:right w:val="nil"/>
            </w:tcBorders>
            <w:shd w:val="clear" w:color="auto" w:fill="auto"/>
            <w:noWrap/>
            <w:vAlign w:val="center"/>
            <w:hideMark/>
          </w:tcPr>
          <w:p w14:paraId="367D1D9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-0.34%</w:t>
            </w:r>
          </w:p>
        </w:tc>
        <w:tc>
          <w:tcPr>
            <w:tcW w:w="1089" w:type="dxa"/>
            <w:tcBorders>
              <w:top w:val="nil"/>
              <w:left w:val="nil"/>
              <w:bottom w:val="nil"/>
              <w:right w:val="single" w:sz="4" w:space="0" w:color="auto"/>
            </w:tcBorders>
            <w:shd w:val="clear" w:color="auto" w:fill="auto"/>
            <w:noWrap/>
            <w:vAlign w:val="center"/>
            <w:hideMark/>
          </w:tcPr>
          <w:p w14:paraId="78E4D7B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-0.75%</w:t>
            </w:r>
          </w:p>
        </w:tc>
      </w:tr>
      <w:tr w:rsidR="00E351DF" w:rsidRPr="00E351DF" w14:paraId="563FC6D9"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3284652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B</w:t>
            </w:r>
          </w:p>
        </w:tc>
        <w:tc>
          <w:tcPr>
            <w:tcW w:w="980" w:type="dxa"/>
            <w:tcBorders>
              <w:top w:val="nil"/>
              <w:left w:val="nil"/>
              <w:bottom w:val="nil"/>
              <w:right w:val="nil"/>
            </w:tcBorders>
            <w:shd w:val="clear" w:color="auto" w:fill="auto"/>
            <w:noWrap/>
            <w:vAlign w:val="center"/>
            <w:hideMark/>
          </w:tcPr>
          <w:p w14:paraId="1C2A68F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0.71%</w:t>
            </w:r>
          </w:p>
        </w:tc>
        <w:tc>
          <w:tcPr>
            <w:tcW w:w="1089" w:type="dxa"/>
            <w:tcBorders>
              <w:top w:val="nil"/>
              <w:left w:val="nil"/>
              <w:bottom w:val="nil"/>
              <w:right w:val="nil"/>
            </w:tcBorders>
            <w:shd w:val="clear" w:color="auto" w:fill="auto"/>
            <w:noWrap/>
            <w:vAlign w:val="center"/>
            <w:hideMark/>
          </w:tcPr>
          <w:p w14:paraId="2209514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-0.05%</w:t>
            </w:r>
          </w:p>
        </w:tc>
        <w:tc>
          <w:tcPr>
            <w:tcW w:w="1089" w:type="dxa"/>
            <w:tcBorders>
              <w:top w:val="nil"/>
              <w:left w:val="nil"/>
              <w:bottom w:val="nil"/>
              <w:right w:val="single" w:sz="4" w:space="0" w:color="auto"/>
            </w:tcBorders>
            <w:shd w:val="clear" w:color="auto" w:fill="auto"/>
            <w:noWrap/>
            <w:vAlign w:val="center"/>
            <w:hideMark/>
          </w:tcPr>
          <w:p w14:paraId="5A7FD53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0.14%</w:t>
            </w:r>
          </w:p>
        </w:tc>
      </w:tr>
      <w:tr w:rsidR="00E351DF" w:rsidRPr="00E351DF" w14:paraId="72FAF456"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67BC4F4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C</w:t>
            </w:r>
          </w:p>
        </w:tc>
        <w:tc>
          <w:tcPr>
            <w:tcW w:w="980" w:type="dxa"/>
            <w:tcBorders>
              <w:top w:val="nil"/>
              <w:left w:val="nil"/>
              <w:bottom w:val="nil"/>
              <w:right w:val="nil"/>
            </w:tcBorders>
            <w:shd w:val="clear" w:color="auto" w:fill="auto"/>
            <w:noWrap/>
            <w:vAlign w:val="center"/>
            <w:hideMark/>
          </w:tcPr>
          <w:p w14:paraId="3E3ACFA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0.29%</w:t>
            </w:r>
          </w:p>
        </w:tc>
        <w:tc>
          <w:tcPr>
            <w:tcW w:w="1089" w:type="dxa"/>
            <w:tcBorders>
              <w:top w:val="nil"/>
              <w:left w:val="nil"/>
              <w:bottom w:val="nil"/>
              <w:right w:val="nil"/>
            </w:tcBorders>
            <w:shd w:val="clear" w:color="auto" w:fill="auto"/>
            <w:noWrap/>
            <w:vAlign w:val="center"/>
            <w:hideMark/>
          </w:tcPr>
          <w:p w14:paraId="713C361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-2.35%</w:t>
            </w:r>
          </w:p>
        </w:tc>
        <w:tc>
          <w:tcPr>
            <w:tcW w:w="1089" w:type="dxa"/>
            <w:tcBorders>
              <w:top w:val="nil"/>
              <w:left w:val="nil"/>
              <w:bottom w:val="nil"/>
              <w:right w:val="single" w:sz="4" w:space="0" w:color="auto"/>
            </w:tcBorders>
            <w:shd w:val="clear" w:color="auto" w:fill="auto"/>
            <w:noWrap/>
            <w:vAlign w:val="center"/>
            <w:hideMark/>
          </w:tcPr>
          <w:p w14:paraId="2DF4120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-2.39%</w:t>
            </w:r>
          </w:p>
        </w:tc>
      </w:tr>
      <w:tr w:rsidR="00E351DF" w:rsidRPr="00E351DF" w14:paraId="233C9317" w14:textId="77777777" w:rsidTr="00E351DF">
        <w:trPr>
          <w:trHeight w:val="255"/>
        </w:trPr>
        <w:tc>
          <w:tcPr>
            <w:tcW w:w="1640" w:type="dxa"/>
            <w:tcBorders>
              <w:top w:val="nil"/>
              <w:left w:val="single" w:sz="8" w:space="0" w:color="auto"/>
              <w:bottom w:val="nil"/>
              <w:right w:val="single" w:sz="8" w:space="0" w:color="auto"/>
            </w:tcBorders>
            <w:shd w:val="clear" w:color="auto" w:fill="auto"/>
            <w:noWrap/>
            <w:vAlign w:val="center"/>
            <w:hideMark/>
          </w:tcPr>
          <w:p w14:paraId="207C8007"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E</w:t>
            </w:r>
          </w:p>
        </w:tc>
        <w:tc>
          <w:tcPr>
            <w:tcW w:w="980" w:type="dxa"/>
            <w:tcBorders>
              <w:top w:val="nil"/>
              <w:left w:val="nil"/>
              <w:bottom w:val="nil"/>
              <w:right w:val="nil"/>
            </w:tcBorders>
            <w:shd w:val="clear" w:color="auto" w:fill="auto"/>
            <w:noWrap/>
            <w:vAlign w:val="center"/>
            <w:hideMark/>
          </w:tcPr>
          <w:p w14:paraId="63485EE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089" w:type="dxa"/>
            <w:tcBorders>
              <w:top w:val="nil"/>
              <w:left w:val="nil"/>
              <w:bottom w:val="nil"/>
              <w:right w:val="nil"/>
            </w:tcBorders>
            <w:shd w:val="clear" w:color="000000" w:fill="CCFFCC"/>
            <w:noWrap/>
            <w:vAlign w:val="center"/>
            <w:hideMark/>
          </w:tcPr>
          <w:p w14:paraId="6A6D1C3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-3.03%</w:t>
            </w:r>
          </w:p>
        </w:tc>
        <w:tc>
          <w:tcPr>
            <w:tcW w:w="1089" w:type="dxa"/>
            <w:tcBorders>
              <w:top w:val="nil"/>
              <w:left w:val="nil"/>
              <w:bottom w:val="nil"/>
              <w:right w:val="single" w:sz="4" w:space="0" w:color="auto"/>
            </w:tcBorders>
            <w:shd w:val="clear" w:color="000000" w:fill="CCFFCC"/>
            <w:noWrap/>
            <w:vAlign w:val="center"/>
            <w:hideMark/>
          </w:tcPr>
          <w:p w14:paraId="76DFECC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-3.04%</w:t>
            </w:r>
          </w:p>
        </w:tc>
      </w:tr>
      <w:tr w:rsidR="00E351DF" w:rsidRPr="00E351DF" w14:paraId="729D70D4" w14:textId="77777777" w:rsidTr="00E351DF">
        <w:trPr>
          <w:trHeight w:val="255"/>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5E3985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 xml:space="preserve">Overall </w:t>
            </w:r>
          </w:p>
        </w:tc>
        <w:tc>
          <w:tcPr>
            <w:tcW w:w="980" w:type="dxa"/>
            <w:tcBorders>
              <w:top w:val="single" w:sz="8" w:space="0" w:color="auto"/>
              <w:left w:val="nil"/>
              <w:bottom w:val="nil"/>
              <w:right w:val="nil"/>
            </w:tcBorders>
            <w:shd w:val="clear" w:color="auto" w:fill="auto"/>
            <w:noWrap/>
            <w:vAlign w:val="center"/>
            <w:hideMark/>
          </w:tcPr>
          <w:p w14:paraId="6759452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1.09%</w:t>
            </w:r>
          </w:p>
        </w:tc>
        <w:tc>
          <w:tcPr>
            <w:tcW w:w="1089" w:type="dxa"/>
            <w:tcBorders>
              <w:top w:val="single" w:sz="8" w:space="0" w:color="auto"/>
              <w:left w:val="nil"/>
              <w:bottom w:val="nil"/>
              <w:right w:val="nil"/>
            </w:tcBorders>
            <w:shd w:val="clear" w:color="auto" w:fill="auto"/>
            <w:noWrap/>
            <w:vAlign w:val="center"/>
            <w:hideMark/>
          </w:tcPr>
          <w:p w14:paraId="66BE144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-1.03%</w:t>
            </w:r>
          </w:p>
        </w:tc>
        <w:tc>
          <w:tcPr>
            <w:tcW w:w="1089" w:type="dxa"/>
            <w:tcBorders>
              <w:top w:val="single" w:sz="8" w:space="0" w:color="auto"/>
              <w:left w:val="nil"/>
              <w:bottom w:val="nil"/>
              <w:right w:val="single" w:sz="4" w:space="0" w:color="auto"/>
            </w:tcBorders>
            <w:shd w:val="clear" w:color="auto" w:fill="auto"/>
            <w:noWrap/>
            <w:vAlign w:val="center"/>
            <w:hideMark/>
          </w:tcPr>
          <w:p w14:paraId="251CA2F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r>
      <w:tr w:rsidR="00E351DF" w:rsidRPr="00E351DF" w14:paraId="172ECE96" w14:textId="77777777" w:rsidTr="00E351DF">
        <w:trPr>
          <w:trHeight w:val="255"/>
        </w:trPr>
        <w:tc>
          <w:tcPr>
            <w:tcW w:w="1640" w:type="dxa"/>
            <w:tcBorders>
              <w:top w:val="single" w:sz="8" w:space="0" w:color="auto"/>
              <w:left w:val="single" w:sz="8" w:space="0" w:color="auto"/>
              <w:bottom w:val="nil"/>
              <w:right w:val="nil"/>
            </w:tcBorders>
            <w:shd w:val="clear" w:color="auto" w:fill="auto"/>
            <w:noWrap/>
            <w:vAlign w:val="center"/>
            <w:hideMark/>
          </w:tcPr>
          <w:p w14:paraId="1CFE7C0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D</w:t>
            </w:r>
          </w:p>
        </w:tc>
        <w:tc>
          <w:tcPr>
            <w:tcW w:w="980" w:type="dxa"/>
            <w:tcBorders>
              <w:top w:val="single" w:sz="8" w:space="0" w:color="auto"/>
              <w:left w:val="single" w:sz="8" w:space="0" w:color="auto"/>
              <w:bottom w:val="nil"/>
              <w:right w:val="nil"/>
            </w:tcBorders>
            <w:shd w:val="clear" w:color="auto" w:fill="auto"/>
            <w:noWrap/>
            <w:vAlign w:val="center"/>
            <w:hideMark/>
          </w:tcPr>
          <w:p w14:paraId="69E94B6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0.18%</w:t>
            </w:r>
          </w:p>
        </w:tc>
        <w:tc>
          <w:tcPr>
            <w:tcW w:w="1089" w:type="dxa"/>
            <w:tcBorders>
              <w:top w:val="single" w:sz="8" w:space="0" w:color="auto"/>
              <w:left w:val="nil"/>
              <w:bottom w:val="nil"/>
              <w:right w:val="nil"/>
            </w:tcBorders>
            <w:shd w:val="clear" w:color="auto" w:fill="auto"/>
            <w:noWrap/>
            <w:vAlign w:val="center"/>
            <w:hideMark/>
          </w:tcPr>
          <w:p w14:paraId="35FE51A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-2.17%</w:t>
            </w:r>
          </w:p>
        </w:tc>
        <w:tc>
          <w:tcPr>
            <w:tcW w:w="1089" w:type="dxa"/>
            <w:tcBorders>
              <w:top w:val="single" w:sz="8" w:space="0" w:color="auto"/>
              <w:left w:val="nil"/>
              <w:bottom w:val="nil"/>
              <w:right w:val="single" w:sz="4" w:space="0" w:color="auto"/>
            </w:tcBorders>
            <w:shd w:val="clear" w:color="auto" w:fill="auto"/>
            <w:noWrap/>
            <w:vAlign w:val="center"/>
            <w:hideMark/>
          </w:tcPr>
          <w:p w14:paraId="788E9BE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-2.37%</w:t>
            </w:r>
          </w:p>
        </w:tc>
      </w:tr>
      <w:tr w:rsidR="00E351DF" w:rsidRPr="00E351DF" w14:paraId="5FCE7A99" w14:textId="77777777" w:rsidTr="00E351DF">
        <w:trPr>
          <w:trHeight w:val="255"/>
        </w:trPr>
        <w:tc>
          <w:tcPr>
            <w:tcW w:w="1640" w:type="dxa"/>
            <w:tcBorders>
              <w:top w:val="nil"/>
              <w:left w:val="single" w:sz="8" w:space="0" w:color="auto"/>
              <w:bottom w:val="nil"/>
              <w:right w:val="nil"/>
            </w:tcBorders>
            <w:shd w:val="clear" w:color="auto" w:fill="auto"/>
            <w:noWrap/>
            <w:vAlign w:val="center"/>
            <w:hideMark/>
          </w:tcPr>
          <w:p w14:paraId="79B80B4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lastRenderedPageBreak/>
              <w:t>Class F</w:t>
            </w:r>
          </w:p>
        </w:tc>
        <w:tc>
          <w:tcPr>
            <w:tcW w:w="980" w:type="dxa"/>
            <w:tcBorders>
              <w:top w:val="nil"/>
              <w:left w:val="single" w:sz="8" w:space="0" w:color="auto"/>
              <w:bottom w:val="nil"/>
              <w:right w:val="nil"/>
            </w:tcBorders>
            <w:shd w:val="clear" w:color="auto" w:fill="auto"/>
            <w:noWrap/>
            <w:vAlign w:val="center"/>
            <w:hideMark/>
          </w:tcPr>
          <w:p w14:paraId="2496C61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c>
          <w:tcPr>
            <w:tcW w:w="1089" w:type="dxa"/>
            <w:tcBorders>
              <w:top w:val="nil"/>
              <w:left w:val="nil"/>
              <w:bottom w:val="nil"/>
              <w:right w:val="nil"/>
            </w:tcBorders>
            <w:shd w:val="clear" w:color="auto" w:fill="auto"/>
            <w:noWrap/>
            <w:vAlign w:val="center"/>
            <w:hideMark/>
          </w:tcPr>
          <w:p w14:paraId="473A4BE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-1.21%</w:t>
            </w:r>
          </w:p>
        </w:tc>
        <w:tc>
          <w:tcPr>
            <w:tcW w:w="1089" w:type="dxa"/>
            <w:tcBorders>
              <w:top w:val="nil"/>
              <w:left w:val="nil"/>
              <w:bottom w:val="nil"/>
              <w:right w:val="single" w:sz="4" w:space="0" w:color="auto"/>
            </w:tcBorders>
            <w:shd w:val="clear" w:color="auto" w:fill="auto"/>
            <w:noWrap/>
            <w:vAlign w:val="center"/>
            <w:hideMark/>
          </w:tcPr>
          <w:p w14:paraId="227DC35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-1.27%</w:t>
            </w:r>
          </w:p>
        </w:tc>
      </w:tr>
      <w:tr w:rsidR="00E351DF" w:rsidRPr="00E351DF" w14:paraId="66E03357" w14:textId="77777777" w:rsidTr="00E351DF">
        <w:trPr>
          <w:trHeight w:val="255"/>
        </w:trPr>
        <w:tc>
          <w:tcPr>
            <w:tcW w:w="1640" w:type="dxa"/>
            <w:tcBorders>
              <w:top w:val="nil"/>
              <w:left w:val="single" w:sz="8" w:space="0" w:color="auto"/>
              <w:bottom w:val="single" w:sz="8" w:space="0" w:color="auto"/>
              <w:right w:val="nil"/>
            </w:tcBorders>
            <w:shd w:val="clear" w:color="auto" w:fill="auto"/>
            <w:noWrap/>
            <w:vAlign w:val="center"/>
            <w:hideMark/>
          </w:tcPr>
          <w:p w14:paraId="0F423B3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TGM</w:t>
            </w:r>
          </w:p>
        </w:tc>
        <w:tc>
          <w:tcPr>
            <w:tcW w:w="980" w:type="dxa"/>
            <w:tcBorders>
              <w:top w:val="nil"/>
              <w:left w:val="single" w:sz="8" w:space="0" w:color="auto"/>
              <w:bottom w:val="single" w:sz="8" w:space="0" w:color="auto"/>
              <w:right w:val="nil"/>
            </w:tcBorders>
            <w:shd w:val="clear" w:color="auto" w:fill="auto"/>
            <w:noWrap/>
            <w:vAlign w:val="center"/>
            <w:hideMark/>
          </w:tcPr>
          <w:p w14:paraId="7AE67B9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1.20%</w:t>
            </w:r>
          </w:p>
        </w:tc>
        <w:tc>
          <w:tcPr>
            <w:tcW w:w="1089" w:type="dxa"/>
            <w:tcBorders>
              <w:top w:val="nil"/>
              <w:left w:val="nil"/>
              <w:bottom w:val="single" w:sz="8" w:space="0" w:color="auto"/>
              <w:right w:val="nil"/>
            </w:tcBorders>
            <w:shd w:val="clear" w:color="auto" w:fill="auto"/>
            <w:noWrap/>
            <w:vAlign w:val="center"/>
            <w:hideMark/>
          </w:tcPr>
          <w:p w14:paraId="771FCB5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089" w:type="dxa"/>
            <w:tcBorders>
              <w:top w:val="nil"/>
              <w:left w:val="nil"/>
              <w:bottom w:val="single" w:sz="8" w:space="0" w:color="auto"/>
              <w:right w:val="single" w:sz="4" w:space="0" w:color="auto"/>
            </w:tcBorders>
            <w:shd w:val="clear" w:color="auto" w:fill="auto"/>
            <w:noWrap/>
            <w:vAlign w:val="center"/>
            <w:hideMark/>
          </w:tcPr>
          <w:p w14:paraId="19C9662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0.23%</w:t>
            </w:r>
          </w:p>
        </w:tc>
      </w:tr>
    </w:tbl>
    <w:p w14:paraId="671309F9" w14:textId="77777777" w:rsidR="00227017" w:rsidRDefault="00227017" w:rsidP="003C3A6F">
      <w:pPr>
        <w:rPr>
          <w:szCs w:val="22"/>
          <w:lang w:val="en-CA"/>
        </w:rPr>
      </w:pPr>
    </w:p>
    <w:p w14:paraId="23BC85C1" w14:textId="56C5E1E0" w:rsidR="00E351DF" w:rsidRDefault="00E351DF" w:rsidP="003C3A6F">
      <w:pPr>
        <w:rPr>
          <w:szCs w:val="22"/>
          <w:lang w:val="en-CA"/>
        </w:rPr>
      </w:pPr>
      <w:r>
        <w:rPr>
          <w:szCs w:val="22"/>
          <w:lang w:val="en-CA"/>
        </w:rPr>
        <w:t>When the test is run with 16 points instead of 4 some of the figures are notably different:</w:t>
      </w:r>
    </w:p>
    <w:tbl>
      <w:tblPr>
        <w:tblW w:w="6764" w:type="dxa"/>
        <w:tblLook w:val="04A0" w:firstRow="1" w:lastRow="0" w:firstColumn="1" w:lastColumn="0" w:noHBand="0" w:noVBand="1"/>
      </w:tblPr>
      <w:tblGrid>
        <w:gridCol w:w="1640"/>
        <w:gridCol w:w="1182"/>
        <w:gridCol w:w="1314"/>
        <w:gridCol w:w="1314"/>
        <w:gridCol w:w="1314"/>
      </w:tblGrid>
      <w:tr w:rsidR="00E351DF" w:rsidRPr="00E351DF" w14:paraId="2DDA4273" w14:textId="77777777" w:rsidTr="0038584B">
        <w:trPr>
          <w:trHeight w:val="255"/>
        </w:trPr>
        <w:tc>
          <w:tcPr>
            <w:tcW w:w="1640" w:type="dxa"/>
            <w:tcBorders>
              <w:top w:val="nil"/>
              <w:left w:val="nil"/>
              <w:bottom w:val="nil"/>
              <w:right w:val="single" w:sz="4" w:space="0" w:color="auto"/>
            </w:tcBorders>
            <w:shd w:val="clear" w:color="auto" w:fill="auto"/>
            <w:noWrap/>
            <w:vAlign w:val="center"/>
            <w:hideMark/>
          </w:tcPr>
          <w:p w14:paraId="15592C1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5124" w:type="dxa"/>
            <w:gridSpan w:val="4"/>
            <w:tcBorders>
              <w:top w:val="single" w:sz="4" w:space="0" w:color="auto"/>
              <w:left w:val="single" w:sz="4" w:space="0" w:color="auto"/>
              <w:bottom w:val="nil"/>
              <w:right w:val="single" w:sz="4" w:space="0" w:color="auto"/>
            </w:tcBorders>
            <w:shd w:val="clear" w:color="auto" w:fill="auto"/>
            <w:noWrap/>
            <w:vAlign w:val="center"/>
            <w:hideMark/>
          </w:tcPr>
          <w:p w14:paraId="18FC9B30" w14:textId="03880194" w:rsidR="00E351DF" w:rsidRPr="00E351DF" w:rsidRDefault="00E351DF"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Over VTM6.1</w:t>
            </w:r>
          </w:p>
        </w:tc>
      </w:tr>
      <w:tr w:rsidR="00E351DF" w:rsidRPr="00E351DF" w14:paraId="32031A93" w14:textId="77777777" w:rsidTr="0038584B">
        <w:trPr>
          <w:trHeight w:val="255"/>
        </w:trPr>
        <w:tc>
          <w:tcPr>
            <w:tcW w:w="1640" w:type="dxa"/>
            <w:tcBorders>
              <w:top w:val="nil"/>
              <w:left w:val="nil"/>
              <w:bottom w:val="nil"/>
              <w:right w:val="single" w:sz="4" w:space="0" w:color="auto"/>
            </w:tcBorders>
            <w:shd w:val="clear" w:color="auto" w:fill="auto"/>
            <w:noWrap/>
            <w:vAlign w:val="center"/>
            <w:hideMark/>
          </w:tcPr>
          <w:p w14:paraId="2934109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1182" w:type="dxa"/>
            <w:tcBorders>
              <w:top w:val="nil"/>
              <w:left w:val="single" w:sz="4" w:space="0" w:color="auto"/>
              <w:bottom w:val="single" w:sz="8" w:space="0" w:color="auto"/>
              <w:right w:val="nil"/>
            </w:tcBorders>
            <w:shd w:val="clear" w:color="auto" w:fill="auto"/>
            <w:noWrap/>
            <w:vAlign w:val="center"/>
            <w:hideMark/>
          </w:tcPr>
          <w:p w14:paraId="4D6D506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w:t>
            </w:r>
          </w:p>
        </w:tc>
        <w:tc>
          <w:tcPr>
            <w:tcW w:w="1314" w:type="dxa"/>
            <w:tcBorders>
              <w:top w:val="nil"/>
              <w:left w:val="nil"/>
              <w:bottom w:val="single" w:sz="8" w:space="0" w:color="auto"/>
              <w:right w:val="nil"/>
            </w:tcBorders>
            <w:shd w:val="clear" w:color="auto" w:fill="auto"/>
            <w:noWrap/>
            <w:vAlign w:val="center"/>
            <w:hideMark/>
          </w:tcPr>
          <w:p w14:paraId="75B1D68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U</w:t>
            </w:r>
          </w:p>
        </w:tc>
        <w:tc>
          <w:tcPr>
            <w:tcW w:w="1314" w:type="dxa"/>
            <w:tcBorders>
              <w:top w:val="nil"/>
              <w:left w:val="nil"/>
              <w:bottom w:val="single" w:sz="8" w:space="0" w:color="auto"/>
              <w:right w:val="single" w:sz="4" w:space="0" w:color="auto"/>
            </w:tcBorders>
            <w:shd w:val="clear" w:color="auto" w:fill="auto"/>
            <w:noWrap/>
            <w:vAlign w:val="center"/>
            <w:hideMark/>
          </w:tcPr>
          <w:p w14:paraId="427F0C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V</w:t>
            </w:r>
          </w:p>
        </w:tc>
        <w:tc>
          <w:tcPr>
            <w:tcW w:w="1314" w:type="dxa"/>
            <w:tcBorders>
              <w:top w:val="nil"/>
              <w:left w:val="nil"/>
              <w:bottom w:val="single" w:sz="8" w:space="0" w:color="auto"/>
              <w:right w:val="single" w:sz="4" w:space="0" w:color="auto"/>
            </w:tcBorders>
            <w:shd w:val="clear" w:color="auto" w:fill="auto"/>
            <w:noWrap/>
            <w:vAlign w:val="center"/>
            <w:hideMark/>
          </w:tcPr>
          <w:p w14:paraId="1F08909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YUV</w:t>
            </w:r>
          </w:p>
        </w:tc>
      </w:tr>
      <w:tr w:rsidR="00E351DF" w:rsidRPr="00E351DF" w14:paraId="16C1C1BC"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3C1F4F9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A1</w:t>
            </w:r>
          </w:p>
        </w:tc>
        <w:tc>
          <w:tcPr>
            <w:tcW w:w="1182" w:type="dxa"/>
            <w:tcBorders>
              <w:top w:val="nil"/>
              <w:left w:val="single" w:sz="4" w:space="0" w:color="auto"/>
              <w:bottom w:val="nil"/>
              <w:right w:val="nil"/>
            </w:tcBorders>
            <w:shd w:val="clear" w:color="auto" w:fill="auto"/>
            <w:noWrap/>
            <w:vAlign w:val="center"/>
            <w:hideMark/>
          </w:tcPr>
          <w:p w14:paraId="183C698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1.11%</w:t>
            </w:r>
          </w:p>
        </w:tc>
        <w:tc>
          <w:tcPr>
            <w:tcW w:w="1314" w:type="dxa"/>
            <w:tcBorders>
              <w:top w:val="nil"/>
              <w:left w:val="nil"/>
              <w:bottom w:val="nil"/>
              <w:right w:val="nil"/>
            </w:tcBorders>
            <w:shd w:val="clear" w:color="auto" w:fill="auto"/>
            <w:noWrap/>
            <w:vAlign w:val="center"/>
            <w:hideMark/>
          </w:tcPr>
          <w:p w14:paraId="60A969E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1.33%</w:t>
            </w:r>
          </w:p>
        </w:tc>
        <w:tc>
          <w:tcPr>
            <w:tcW w:w="1314" w:type="dxa"/>
            <w:tcBorders>
              <w:top w:val="single" w:sz="8" w:space="0" w:color="auto"/>
              <w:left w:val="nil"/>
              <w:bottom w:val="nil"/>
              <w:right w:val="single" w:sz="4" w:space="0" w:color="auto"/>
            </w:tcBorders>
            <w:shd w:val="clear" w:color="000000" w:fill="FFC7CE"/>
            <w:noWrap/>
            <w:vAlign w:val="center"/>
            <w:hideMark/>
          </w:tcPr>
          <w:p w14:paraId="5E50F1E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E351DF">
              <w:rPr>
                <w:rFonts w:ascii="Arial" w:hAnsi="Arial" w:cs="Arial"/>
                <w:sz w:val="18"/>
                <w:szCs w:val="18"/>
                <w:lang w:val="en-GB" w:eastAsia="en-GB"/>
              </w:rPr>
              <w:t>3.56%</w:t>
            </w:r>
          </w:p>
        </w:tc>
        <w:tc>
          <w:tcPr>
            <w:tcW w:w="1314" w:type="dxa"/>
            <w:tcBorders>
              <w:top w:val="nil"/>
              <w:left w:val="nil"/>
              <w:bottom w:val="nil"/>
              <w:right w:val="single" w:sz="4" w:space="0" w:color="auto"/>
            </w:tcBorders>
            <w:shd w:val="clear" w:color="auto" w:fill="auto"/>
            <w:noWrap/>
            <w:vAlign w:val="center"/>
            <w:hideMark/>
          </w:tcPr>
          <w:p w14:paraId="625BFD3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-0.09%</w:t>
            </w:r>
          </w:p>
        </w:tc>
      </w:tr>
      <w:tr w:rsidR="00E351DF" w:rsidRPr="00E351DF" w14:paraId="48D70396"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2320A4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A2</w:t>
            </w:r>
          </w:p>
        </w:tc>
        <w:tc>
          <w:tcPr>
            <w:tcW w:w="1182" w:type="dxa"/>
            <w:tcBorders>
              <w:top w:val="nil"/>
              <w:left w:val="single" w:sz="4" w:space="0" w:color="auto"/>
              <w:bottom w:val="nil"/>
              <w:right w:val="nil"/>
            </w:tcBorders>
            <w:shd w:val="clear" w:color="auto" w:fill="auto"/>
            <w:noWrap/>
            <w:vAlign w:val="center"/>
            <w:hideMark/>
          </w:tcPr>
          <w:p w14:paraId="74C072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0.92%</w:t>
            </w:r>
          </w:p>
        </w:tc>
        <w:tc>
          <w:tcPr>
            <w:tcW w:w="1314" w:type="dxa"/>
            <w:tcBorders>
              <w:top w:val="nil"/>
              <w:left w:val="nil"/>
              <w:bottom w:val="nil"/>
              <w:right w:val="nil"/>
            </w:tcBorders>
            <w:shd w:val="clear" w:color="auto" w:fill="auto"/>
            <w:noWrap/>
            <w:vAlign w:val="center"/>
            <w:hideMark/>
          </w:tcPr>
          <w:p w14:paraId="15EEA6A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1.44%</w:t>
            </w:r>
          </w:p>
        </w:tc>
        <w:tc>
          <w:tcPr>
            <w:tcW w:w="1314" w:type="dxa"/>
            <w:tcBorders>
              <w:top w:val="nil"/>
              <w:left w:val="nil"/>
              <w:bottom w:val="nil"/>
              <w:right w:val="single" w:sz="4" w:space="0" w:color="auto"/>
            </w:tcBorders>
            <w:shd w:val="clear" w:color="auto" w:fill="auto"/>
            <w:noWrap/>
            <w:vAlign w:val="center"/>
            <w:hideMark/>
          </w:tcPr>
          <w:p w14:paraId="7F7C400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1.03%</w:t>
            </w:r>
          </w:p>
        </w:tc>
        <w:tc>
          <w:tcPr>
            <w:tcW w:w="1314" w:type="dxa"/>
            <w:tcBorders>
              <w:top w:val="nil"/>
              <w:left w:val="nil"/>
              <w:bottom w:val="nil"/>
              <w:right w:val="single" w:sz="4" w:space="0" w:color="auto"/>
            </w:tcBorders>
            <w:shd w:val="clear" w:color="auto" w:fill="auto"/>
            <w:noWrap/>
            <w:vAlign w:val="center"/>
            <w:hideMark/>
          </w:tcPr>
          <w:p w14:paraId="5CB1A4A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-0.51%</w:t>
            </w:r>
          </w:p>
        </w:tc>
      </w:tr>
      <w:tr w:rsidR="00E351DF" w:rsidRPr="00E351DF" w14:paraId="66D71F98"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7BB1712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B</w:t>
            </w:r>
          </w:p>
        </w:tc>
        <w:tc>
          <w:tcPr>
            <w:tcW w:w="1182" w:type="dxa"/>
            <w:tcBorders>
              <w:top w:val="nil"/>
              <w:left w:val="single" w:sz="4" w:space="0" w:color="auto"/>
              <w:bottom w:val="nil"/>
              <w:right w:val="nil"/>
            </w:tcBorders>
            <w:shd w:val="clear" w:color="auto" w:fill="auto"/>
            <w:noWrap/>
            <w:vAlign w:val="center"/>
            <w:hideMark/>
          </w:tcPr>
          <w:p w14:paraId="614FA37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0.52%</w:t>
            </w:r>
          </w:p>
        </w:tc>
        <w:tc>
          <w:tcPr>
            <w:tcW w:w="1314" w:type="dxa"/>
            <w:tcBorders>
              <w:top w:val="nil"/>
              <w:left w:val="nil"/>
              <w:bottom w:val="nil"/>
              <w:right w:val="nil"/>
            </w:tcBorders>
            <w:shd w:val="clear" w:color="auto" w:fill="auto"/>
            <w:noWrap/>
            <w:vAlign w:val="center"/>
            <w:hideMark/>
          </w:tcPr>
          <w:p w14:paraId="473ED71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-0.08%</w:t>
            </w:r>
          </w:p>
        </w:tc>
        <w:tc>
          <w:tcPr>
            <w:tcW w:w="1314" w:type="dxa"/>
            <w:tcBorders>
              <w:top w:val="nil"/>
              <w:left w:val="nil"/>
              <w:bottom w:val="nil"/>
              <w:right w:val="single" w:sz="4" w:space="0" w:color="auto"/>
            </w:tcBorders>
            <w:shd w:val="clear" w:color="auto" w:fill="auto"/>
            <w:noWrap/>
            <w:vAlign w:val="center"/>
            <w:hideMark/>
          </w:tcPr>
          <w:p w14:paraId="50CE2C1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0.21%</w:t>
            </w:r>
          </w:p>
        </w:tc>
        <w:tc>
          <w:tcPr>
            <w:tcW w:w="1314" w:type="dxa"/>
            <w:tcBorders>
              <w:top w:val="nil"/>
              <w:left w:val="nil"/>
              <w:bottom w:val="nil"/>
              <w:right w:val="single" w:sz="4" w:space="0" w:color="auto"/>
            </w:tcBorders>
            <w:shd w:val="clear" w:color="auto" w:fill="auto"/>
            <w:noWrap/>
            <w:vAlign w:val="center"/>
            <w:hideMark/>
          </w:tcPr>
          <w:p w14:paraId="107DC0E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-0.33%</w:t>
            </w:r>
          </w:p>
        </w:tc>
      </w:tr>
      <w:tr w:rsidR="00E351DF" w:rsidRPr="00E351DF" w14:paraId="1FB4823E"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65E3E66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C</w:t>
            </w:r>
          </w:p>
        </w:tc>
        <w:tc>
          <w:tcPr>
            <w:tcW w:w="1182" w:type="dxa"/>
            <w:tcBorders>
              <w:top w:val="nil"/>
              <w:left w:val="single" w:sz="4" w:space="0" w:color="auto"/>
              <w:bottom w:val="nil"/>
              <w:right w:val="nil"/>
            </w:tcBorders>
            <w:shd w:val="clear" w:color="auto" w:fill="auto"/>
            <w:noWrap/>
            <w:vAlign w:val="center"/>
            <w:hideMark/>
          </w:tcPr>
          <w:p w14:paraId="730A011C"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0.29%</w:t>
            </w:r>
          </w:p>
        </w:tc>
        <w:tc>
          <w:tcPr>
            <w:tcW w:w="1314" w:type="dxa"/>
            <w:tcBorders>
              <w:top w:val="nil"/>
              <w:left w:val="nil"/>
              <w:bottom w:val="nil"/>
              <w:right w:val="nil"/>
            </w:tcBorders>
            <w:shd w:val="clear" w:color="auto" w:fill="auto"/>
            <w:noWrap/>
            <w:vAlign w:val="center"/>
            <w:hideMark/>
          </w:tcPr>
          <w:p w14:paraId="61D9824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-2.27%</w:t>
            </w:r>
          </w:p>
        </w:tc>
        <w:tc>
          <w:tcPr>
            <w:tcW w:w="1314" w:type="dxa"/>
            <w:tcBorders>
              <w:top w:val="nil"/>
              <w:left w:val="nil"/>
              <w:bottom w:val="nil"/>
              <w:right w:val="single" w:sz="4" w:space="0" w:color="auto"/>
            </w:tcBorders>
            <w:shd w:val="clear" w:color="auto" w:fill="auto"/>
            <w:noWrap/>
            <w:vAlign w:val="center"/>
            <w:hideMark/>
          </w:tcPr>
          <w:p w14:paraId="70671E2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-2.38%</w:t>
            </w:r>
          </w:p>
        </w:tc>
        <w:tc>
          <w:tcPr>
            <w:tcW w:w="1314" w:type="dxa"/>
            <w:tcBorders>
              <w:top w:val="nil"/>
              <w:left w:val="nil"/>
              <w:bottom w:val="nil"/>
              <w:right w:val="single" w:sz="4" w:space="0" w:color="auto"/>
            </w:tcBorders>
            <w:shd w:val="clear" w:color="auto" w:fill="auto"/>
            <w:noWrap/>
            <w:vAlign w:val="center"/>
            <w:hideMark/>
          </w:tcPr>
          <w:p w14:paraId="3EFD9C6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-0.21%</w:t>
            </w:r>
          </w:p>
        </w:tc>
      </w:tr>
      <w:tr w:rsidR="00E351DF" w:rsidRPr="00E351DF" w14:paraId="569E214C"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6AF5480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E</w:t>
            </w:r>
          </w:p>
        </w:tc>
        <w:tc>
          <w:tcPr>
            <w:tcW w:w="1182" w:type="dxa"/>
            <w:tcBorders>
              <w:top w:val="nil"/>
              <w:left w:val="single" w:sz="4" w:space="0" w:color="auto"/>
              <w:bottom w:val="nil"/>
              <w:right w:val="nil"/>
            </w:tcBorders>
            <w:shd w:val="clear" w:color="auto" w:fill="auto"/>
            <w:noWrap/>
            <w:vAlign w:val="center"/>
            <w:hideMark/>
          </w:tcPr>
          <w:p w14:paraId="5ED94DF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0.06%</w:t>
            </w:r>
          </w:p>
        </w:tc>
        <w:tc>
          <w:tcPr>
            <w:tcW w:w="1314" w:type="dxa"/>
            <w:tcBorders>
              <w:top w:val="nil"/>
              <w:left w:val="nil"/>
              <w:bottom w:val="nil"/>
              <w:right w:val="nil"/>
            </w:tcBorders>
            <w:shd w:val="clear" w:color="auto" w:fill="auto"/>
            <w:noWrap/>
            <w:vAlign w:val="center"/>
            <w:hideMark/>
          </w:tcPr>
          <w:p w14:paraId="5192097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-3.14%</w:t>
            </w:r>
          </w:p>
        </w:tc>
        <w:tc>
          <w:tcPr>
            <w:tcW w:w="1314" w:type="dxa"/>
            <w:tcBorders>
              <w:top w:val="nil"/>
              <w:left w:val="nil"/>
              <w:bottom w:val="nil"/>
              <w:right w:val="single" w:sz="4" w:space="0" w:color="auto"/>
            </w:tcBorders>
            <w:shd w:val="clear" w:color="auto" w:fill="auto"/>
            <w:noWrap/>
            <w:vAlign w:val="center"/>
            <w:hideMark/>
          </w:tcPr>
          <w:p w14:paraId="6A825EFD"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-3.01%</w:t>
            </w:r>
          </w:p>
        </w:tc>
        <w:tc>
          <w:tcPr>
            <w:tcW w:w="1314" w:type="dxa"/>
            <w:tcBorders>
              <w:top w:val="nil"/>
              <w:left w:val="nil"/>
              <w:bottom w:val="nil"/>
              <w:right w:val="single" w:sz="4" w:space="0" w:color="auto"/>
            </w:tcBorders>
            <w:shd w:val="clear" w:color="auto" w:fill="auto"/>
            <w:noWrap/>
            <w:vAlign w:val="center"/>
            <w:hideMark/>
          </w:tcPr>
          <w:p w14:paraId="26830FAA"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-0.35%</w:t>
            </w:r>
          </w:p>
        </w:tc>
      </w:tr>
      <w:tr w:rsidR="00E351DF" w:rsidRPr="00E351DF" w14:paraId="32869FFC"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0B7052F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E351DF">
              <w:rPr>
                <w:rFonts w:ascii="Arial" w:hAnsi="Arial" w:cs="Arial"/>
                <w:b/>
                <w:bCs/>
                <w:color w:val="000000"/>
                <w:sz w:val="18"/>
                <w:szCs w:val="18"/>
                <w:lang w:val="en-GB" w:eastAsia="en-GB"/>
              </w:rPr>
              <w:t xml:space="preserve">Overall </w:t>
            </w:r>
          </w:p>
        </w:tc>
        <w:tc>
          <w:tcPr>
            <w:tcW w:w="1182" w:type="dxa"/>
            <w:tcBorders>
              <w:top w:val="single" w:sz="8" w:space="0" w:color="auto"/>
              <w:left w:val="single" w:sz="4" w:space="0" w:color="auto"/>
              <w:bottom w:val="nil"/>
              <w:right w:val="nil"/>
            </w:tcBorders>
            <w:shd w:val="clear" w:color="auto" w:fill="auto"/>
            <w:noWrap/>
            <w:vAlign w:val="center"/>
            <w:hideMark/>
          </w:tcPr>
          <w:p w14:paraId="6F2B152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0.56%</w:t>
            </w:r>
          </w:p>
        </w:tc>
        <w:tc>
          <w:tcPr>
            <w:tcW w:w="1314" w:type="dxa"/>
            <w:tcBorders>
              <w:top w:val="single" w:sz="8" w:space="0" w:color="auto"/>
              <w:left w:val="nil"/>
              <w:bottom w:val="nil"/>
              <w:right w:val="nil"/>
            </w:tcBorders>
            <w:shd w:val="clear" w:color="auto" w:fill="auto"/>
            <w:noWrap/>
            <w:vAlign w:val="center"/>
            <w:hideMark/>
          </w:tcPr>
          <w:p w14:paraId="62D79A69"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-0.59%</w:t>
            </w:r>
          </w:p>
        </w:tc>
        <w:tc>
          <w:tcPr>
            <w:tcW w:w="1314" w:type="dxa"/>
            <w:tcBorders>
              <w:top w:val="single" w:sz="8" w:space="0" w:color="auto"/>
              <w:left w:val="nil"/>
              <w:bottom w:val="nil"/>
              <w:right w:val="single" w:sz="4" w:space="0" w:color="auto"/>
            </w:tcBorders>
            <w:shd w:val="clear" w:color="auto" w:fill="auto"/>
            <w:noWrap/>
            <w:vAlign w:val="center"/>
            <w:hideMark/>
          </w:tcPr>
          <w:p w14:paraId="044BAA28"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-0.30%</w:t>
            </w:r>
          </w:p>
        </w:tc>
        <w:tc>
          <w:tcPr>
            <w:tcW w:w="1314" w:type="dxa"/>
            <w:tcBorders>
              <w:top w:val="single" w:sz="8" w:space="0" w:color="auto"/>
              <w:left w:val="nil"/>
              <w:bottom w:val="nil"/>
              <w:right w:val="single" w:sz="4" w:space="0" w:color="auto"/>
            </w:tcBorders>
            <w:shd w:val="clear" w:color="auto" w:fill="auto"/>
            <w:noWrap/>
            <w:vAlign w:val="center"/>
            <w:hideMark/>
          </w:tcPr>
          <w:p w14:paraId="65CB653E"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-0.30%</w:t>
            </w:r>
          </w:p>
        </w:tc>
      </w:tr>
      <w:tr w:rsidR="00E351DF" w:rsidRPr="00E351DF" w14:paraId="140A7EBD"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71B457B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D</w:t>
            </w:r>
          </w:p>
        </w:tc>
        <w:tc>
          <w:tcPr>
            <w:tcW w:w="1182" w:type="dxa"/>
            <w:tcBorders>
              <w:top w:val="single" w:sz="8" w:space="0" w:color="auto"/>
              <w:left w:val="single" w:sz="4" w:space="0" w:color="auto"/>
              <w:bottom w:val="nil"/>
              <w:right w:val="nil"/>
            </w:tcBorders>
            <w:shd w:val="clear" w:color="auto" w:fill="auto"/>
            <w:noWrap/>
            <w:vAlign w:val="center"/>
            <w:hideMark/>
          </w:tcPr>
          <w:p w14:paraId="2E9516A4"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0.17%</w:t>
            </w:r>
          </w:p>
        </w:tc>
        <w:tc>
          <w:tcPr>
            <w:tcW w:w="1314" w:type="dxa"/>
            <w:tcBorders>
              <w:top w:val="single" w:sz="8" w:space="0" w:color="auto"/>
              <w:left w:val="nil"/>
              <w:bottom w:val="nil"/>
              <w:right w:val="nil"/>
            </w:tcBorders>
            <w:shd w:val="clear" w:color="auto" w:fill="auto"/>
            <w:noWrap/>
            <w:vAlign w:val="center"/>
            <w:hideMark/>
          </w:tcPr>
          <w:p w14:paraId="28925670"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-2.16%</w:t>
            </w:r>
          </w:p>
        </w:tc>
        <w:tc>
          <w:tcPr>
            <w:tcW w:w="1314" w:type="dxa"/>
            <w:tcBorders>
              <w:top w:val="single" w:sz="8" w:space="0" w:color="auto"/>
              <w:left w:val="nil"/>
              <w:bottom w:val="nil"/>
              <w:right w:val="single" w:sz="4" w:space="0" w:color="auto"/>
            </w:tcBorders>
            <w:shd w:val="clear" w:color="auto" w:fill="auto"/>
            <w:noWrap/>
            <w:vAlign w:val="center"/>
            <w:hideMark/>
          </w:tcPr>
          <w:p w14:paraId="110ADDC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-2.19%</w:t>
            </w:r>
          </w:p>
        </w:tc>
        <w:tc>
          <w:tcPr>
            <w:tcW w:w="1314" w:type="dxa"/>
            <w:tcBorders>
              <w:top w:val="single" w:sz="8" w:space="0" w:color="auto"/>
              <w:left w:val="nil"/>
              <w:bottom w:val="nil"/>
              <w:right w:val="single" w:sz="4" w:space="0" w:color="auto"/>
            </w:tcBorders>
            <w:shd w:val="clear" w:color="auto" w:fill="auto"/>
            <w:noWrap/>
            <w:vAlign w:val="center"/>
            <w:hideMark/>
          </w:tcPr>
          <w:p w14:paraId="68EA117F"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-0.27%</w:t>
            </w:r>
          </w:p>
        </w:tc>
      </w:tr>
      <w:tr w:rsidR="00E351DF" w:rsidRPr="00E351DF" w14:paraId="5C4C18DF"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71ACCD5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F</w:t>
            </w:r>
          </w:p>
        </w:tc>
        <w:tc>
          <w:tcPr>
            <w:tcW w:w="1182" w:type="dxa"/>
            <w:tcBorders>
              <w:top w:val="nil"/>
              <w:left w:val="single" w:sz="4" w:space="0" w:color="auto"/>
              <w:bottom w:val="nil"/>
              <w:right w:val="nil"/>
            </w:tcBorders>
            <w:shd w:val="clear" w:color="auto" w:fill="auto"/>
            <w:noWrap/>
            <w:vAlign w:val="center"/>
            <w:hideMark/>
          </w:tcPr>
          <w:p w14:paraId="0D4E2A5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0.39%</w:t>
            </w:r>
          </w:p>
        </w:tc>
        <w:tc>
          <w:tcPr>
            <w:tcW w:w="1314" w:type="dxa"/>
            <w:tcBorders>
              <w:top w:val="nil"/>
              <w:left w:val="nil"/>
              <w:bottom w:val="nil"/>
              <w:right w:val="nil"/>
            </w:tcBorders>
            <w:shd w:val="clear" w:color="auto" w:fill="auto"/>
            <w:noWrap/>
            <w:vAlign w:val="center"/>
            <w:hideMark/>
          </w:tcPr>
          <w:p w14:paraId="0ABA49C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-1.23%</w:t>
            </w:r>
          </w:p>
        </w:tc>
        <w:tc>
          <w:tcPr>
            <w:tcW w:w="1314" w:type="dxa"/>
            <w:tcBorders>
              <w:top w:val="nil"/>
              <w:left w:val="nil"/>
              <w:bottom w:val="nil"/>
              <w:right w:val="single" w:sz="4" w:space="0" w:color="auto"/>
            </w:tcBorders>
            <w:shd w:val="clear" w:color="auto" w:fill="auto"/>
            <w:noWrap/>
            <w:vAlign w:val="center"/>
            <w:hideMark/>
          </w:tcPr>
          <w:p w14:paraId="27AC5345"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-1.22%</w:t>
            </w:r>
          </w:p>
        </w:tc>
        <w:tc>
          <w:tcPr>
            <w:tcW w:w="1314" w:type="dxa"/>
            <w:tcBorders>
              <w:top w:val="nil"/>
              <w:left w:val="nil"/>
              <w:bottom w:val="nil"/>
              <w:right w:val="single" w:sz="4" w:space="0" w:color="auto"/>
            </w:tcBorders>
            <w:shd w:val="clear" w:color="auto" w:fill="auto"/>
            <w:noWrap/>
            <w:vAlign w:val="center"/>
            <w:hideMark/>
          </w:tcPr>
          <w:p w14:paraId="190355F6"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0.04%</w:t>
            </w:r>
          </w:p>
        </w:tc>
      </w:tr>
      <w:tr w:rsidR="00E351DF" w:rsidRPr="00E351DF" w14:paraId="203813F8" w14:textId="77777777" w:rsidTr="0038584B">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6E630DD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Class TGM</w:t>
            </w:r>
          </w:p>
        </w:tc>
        <w:tc>
          <w:tcPr>
            <w:tcW w:w="1182" w:type="dxa"/>
            <w:tcBorders>
              <w:top w:val="nil"/>
              <w:left w:val="single" w:sz="4" w:space="0" w:color="auto"/>
              <w:bottom w:val="single" w:sz="4" w:space="0" w:color="auto"/>
              <w:right w:val="nil"/>
            </w:tcBorders>
            <w:shd w:val="clear" w:color="auto" w:fill="auto"/>
            <w:noWrap/>
            <w:vAlign w:val="center"/>
            <w:hideMark/>
          </w:tcPr>
          <w:p w14:paraId="69178B82"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0.67%</w:t>
            </w:r>
          </w:p>
        </w:tc>
        <w:tc>
          <w:tcPr>
            <w:tcW w:w="1314" w:type="dxa"/>
            <w:tcBorders>
              <w:top w:val="nil"/>
              <w:left w:val="nil"/>
              <w:bottom w:val="single" w:sz="4" w:space="0" w:color="auto"/>
              <w:right w:val="nil"/>
            </w:tcBorders>
            <w:shd w:val="clear" w:color="auto" w:fill="auto"/>
            <w:noWrap/>
            <w:vAlign w:val="center"/>
            <w:hideMark/>
          </w:tcPr>
          <w:p w14:paraId="474FEB4B"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0.10%</w:t>
            </w:r>
          </w:p>
        </w:tc>
        <w:tc>
          <w:tcPr>
            <w:tcW w:w="1314" w:type="dxa"/>
            <w:tcBorders>
              <w:top w:val="nil"/>
              <w:left w:val="nil"/>
              <w:bottom w:val="single" w:sz="4" w:space="0" w:color="auto"/>
              <w:right w:val="single" w:sz="4" w:space="0" w:color="auto"/>
            </w:tcBorders>
            <w:shd w:val="clear" w:color="auto" w:fill="auto"/>
            <w:noWrap/>
            <w:vAlign w:val="center"/>
            <w:hideMark/>
          </w:tcPr>
          <w:p w14:paraId="600279C1"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0.28%</w:t>
            </w:r>
          </w:p>
        </w:tc>
        <w:tc>
          <w:tcPr>
            <w:tcW w:w="1314" w:type="dxa"/>
            <w:tcBorders>
              <w:top w:val="nil"/>
              <w:left w:val="nil"/>
              <w:bottom w:val="single" w:sz="4" w:space="0" w:color="auto"/>
              <w:right w:val="single" w:sz="4" w:space="0" w:color="auto"/>
            </w:tcBorders>
            <w:shd w:val="clear" w:color="auto" w:fill="auto"/>
            <w:noWrap/>
            <w:vAlign w:val="center"/>
            <w:hideMark/>
          </w:tcPr>
          <w:p w14:paraId="5A05D553" w14:textId="77777777" w:rsidR="00E351DF" w:rsidRPr="00E351DF" w:rsidRDefault="00E351DF" w:rsidP="00E351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E351DF">
              <w:rPr>
                <w:rFonts w:ascii="Arial" w:hAnsi="Arial" w:cs="Arial"/>
                <w:color w:val="000000"/>
                <w:sz w:val="18"/>
                <w:szCs w:val="18"/>
                <w:lang w:val="en-GB" w:eastAsia="en-GB"/>
              </w:rPr>
              <w:t>0.50%</w:t>
            </w:r>
          </w:p>
        </w:tc>
      </w:tr>
    </w:tbl>
    <w:p w14:paraId="66E3225A" w14:textId="77777777" w:rsidR="00E351DF" w:rsidRDefault="00E351DF" w:rsidP="003C3A6F">
      <w:pPr>
        <w:rPr>
          <w:szCs w:val="22"/>
          <w:lang w:val="en-CA"/>
        </w:rPr>
      </w:pPr>
    </w:p>
    <w:p w14:paraId="340E5C1F" w14:textId="45377B9C" w:rsidR="00E351DF" w:rsidRDefault="00E351DF" w:rsidP="003C3A6F">
      <w:pPr>
        <w:rPr>
          <w:szCs w:val="22"/>
          <w:lang w:val="en-CA"/>
        </w:rPr>
      </w:pPr>
      <w:r>
        <w:rPr>
          <w:szCs w:val="22"/>
          <w:lang w:val="en-CA"/>
        </w:rPr>
        <w:t xml:space="preserve">On examining the figures for the class A </w:t>
      </w:r>
      <w:proofErr w:type="gramStart"/>
      <w:r>
        <w:rPr>
          <w:szCs w:val="22"/>
          <w:lang w:val="en-CA"/>
        </w:rPr>
        <w:t>sequences</w:t>
      </w:r>
      <w:proofErr w:type="gramEnd"/>
      <w:r>
        <w:rPr>
          <w:szCs w:val="22"/>
          <w:lang w:val="en-CA"/>
        </w:rPr>
        <w:t xml:space="preserve"> it can be seem that some are </w:t>
      </w:r>
      <w:r w:rsidR="00227017">
        <w:rPr>
          <w:szCs w:val="22"/>
          <w:lang w:val="en-CA"/>
        </w:rPr>
        <w:t>quit</w:t>
      </w:r>
      <w:r>
        <w:rPr>
          <w:szCs w:val="22"/>
          <w:lang w:val="en-CA"/>
        </w:rPr>
        <w:t xml:space="preserve">e similar whereas others, such as Tango, </w:t>
      </w:r>
      <w:proofErr w:type="spellStart"/>
      <w:r>
        <w:rPr>
          <w:szCs w:val="22"/>
          <w:lang w:val="en-CA"/>
        </w:rPr>
        <w:t>CatRobot</w:t>
      </w:r>
      <w:proofErr w:type="spellEnd"/>
      <w:r>
        <w:rPr>
          <w:szCs w:val="22"/>
          <w:lang w:val="en-CA"/>
        </w:rPr>
        <w:t xml:space="preserve"> and </w:t>
      </w:r>
      <w:proofErr w:type="spellStart"/>
      <w:r w:rsidR="00227017">
        <w:rPr>
          <w:szCs w:val="22"/>
          <w:lang w:val="en-CA"/>
        </w:rPr>
        <w:t>DaylightRoad</w:t>
      </w:r>
      <w:proofErr w:type="spellEnd"/>
      <w:r w:rsidR="00227017">
        <w:rPr>
          <w:szCs w:val="22"/>
          <w:lang w:val="en-CA"/>
        </w:rPr>
        <w:t xml:space="preserve"> show a larger disparity</w:t>
      </w:r>
      <w:r>
        <w:rPr>
          <w:szCs w:val="22"/>
          <w:lang w:val="en-CA"/>
        </w:rPr>
        <w:t>.</w:t>
      </w:r>
    </w:p>
    <w:p w14:paraId="69FD540D" w14:textId="38083424" w:rsidR="00C921BC" w:rsidRDefault="00C921BC" w:rsidP="003C3A6F">
      <w:pPr>
        <w:rPr>
          <w:szCs w:val="22"/>
          <w:lang w:val="en-CA"/>
        </w:rPr>
      </w:pPr>
      <w:r>
        <w:rPr>
          <w:szCs w:val="22"/>
          <w:lang w:val="en-CA"/>
        </w:rPr>
        <w:t>Using 4 points:</w:t>
      </w:r>
    </w:p>
    <w:tbl>
      <w:tblPr>
        <w:tblW w:w="9140" w:type="dxa"/>
        <w:tblLook w:val="04A0" w:firstRow="1" w:lastRow="0" w:firstColumn="1" w:lastColumn="0" w:noHBand="0" w:noVBand="1"/>
      </w:tblPr>
      <w:tblGrid>
        <w:gridCol w:w="1000"/>
        <w:gridCol w:w="1780"/>
        <w:gridCol w:w="988"/>
        <w:gridCol w:w="1096"/>
        <w:gridCol w:w="1096"/>
        <w:gridCol w:w="1060"/>
        <w:gridCol w:w="1060"/>
        <w:gridCol w:w="1060"/>
      </w:tblGrid>
      <w:tr w:rsidR="00CA4626" w:rsidRPr="00C921BC" w14:paraId="493AF866" w14:textId="1418F7E4" w:rsidTr="00581F49">
        <w:trPr>
          <w:trHeight w:val="255"/>
        </w:trPr>
        <w:tc>
          <w:tcPr>
            <w:tcW w:w="1000" w:type="dxa"/>
            <w:tcBorders>
              <w:top w:val="nil"/>
              <w:left w:val="nil"/>
              <w:bottom w:val="single" w:sz="4" w:space="0" w:color="auto"/>
              <w:right w:val="nil"/>
            </w:tcBorders>
            <w:shd w:val="clear" w:color="auto" w:fill="auto"/>
            <w:noWrap/>
            <w:vAlign w:val="bottom"/>
            <w:hideMark/>
          </w:tcPr>
          <w:p w14:paraId="6405367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single" w:sz="4" w:space="0" w:color="auto"/>
              <w:right w:val="single" w:sz="4" w:space="0" w:color="auto"/>
            </w:tcBorders>
            <w:shd w:val="clear" w:color="auto" w:fill="auto"/>
            <w:noWrap/>
            <w:vAlign w:val="bottom"/>
            <w:hideMark/>
          </w:tcPr>
          <w:p w14:paraId="3707D34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318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40C10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c>
          <w:tcPr>
            <w:tcW w:w="3180" w:type="dxa"/>
            <w:gridSpan w:val="3"/>
            <w:tcBorders>
              <w:top w:val="single" w:sz="4" w:space="0" w:color="auto"/>
              <w:left w:val="single" w:sz="4" w:space="0" w:color="auto"/>
              <w:bottom w:val="single" w:sz="4" w:space="0" w:color="auto"/>
              <w:right w:val="single" w:sz="4" w:space="0" w:color="auto"/>
            </w:tcBorders>
            <w:vAlign w:val="bottom"/>
          </w:tcPr>
          <w:p w14:paraId="1CEA9316" w14:textId="14A1D89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(cubic)</w:t>
            </w:r>
          </w:p>
        </w:tc>
      </w:tr>
      <w:tr w:rsidR="00CA4626" w:rsidRPr="00C921BC" w14:paraId="7D81C617" w14:textId="6E1981BD" w:rsidTr="00581F49">
        <w:trPr>
          <w:trHeight w:val="255"/>
        </w:trPr>
        <w:tc>
          <w:tcPr>
            <w:tcW w:w="1000" w:type="dxa"/>
            <w:tcBorders>
              <w:top w:val="single" w:sz="4" w:space="0" w:color="auto"/>
              <w:left w:val="single" w:sz="4" w:space="0" w:color="auto"/>
              <w:bottom w:val="nil"/>
              <w:right w:val="nil"/>
            </w:tcBorders>
            <w:shd w:val="clear" w:color="auto" w:fill="auto"/>
            <w:noWrap/>
            <w:vAlign w:val="bottom"/>
            <w:hideMark/>
          </w:tcPr>
          <w:p w14:paraId="76583160"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4" w:space="0" w:color="auto"/>
              <w:left w:val="nil"/>
              <w:bottom w:val="nil"/>
              <w:right w:val="single" w:sz="4" w:space="0" w:color="auto"/>
            </w:tcBorders>
            <w:shd w:val="clear" w:color="auto" w:fill="auto"/>
            <w:noWrap/>
            <w:vAlign w:val="bottom"/>
            <w:hideMark/>
          </w:tcPr>
          <w:p w14:paraId="306B254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988" w:type="dxa"/>
            <w:tcBorders>
              <w:top w:val="single" w:sz="4" w:space="0" w:color="auto"/>
              <w:left w:val="single" w:sz="4" w:space="0" w:color="auto"/>
              <w:bottom w:val="single" w:sz="4" w:space="0" w:color="auto"/>
            </w:tcBorders>
            <w:shd w:val="clear" w:color="auto" w:fill="auto"/>
            <w:noWrap/>
            <w:vAlign w:val="bottom"/>
            <w:hideMark/>
          </w:tcPr>
          <w:p w14:paraId="198253A3"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96" w:type="dxa"/>
            <w:tcBorders>
              <w:top w:val="single" w:sz="4" w:space="0" w:color="auto"/>
              <w:bottom w:val="single" w:sz="4" w:space="0" w:color="auto"/>
            </w:tcBorders>
            <w:shd w:val="clear" w:color="auto" w:fill="auto"/>
            <w:noWrap/>
            <w:vAlign w:val="bottom"/>
            <w:hideMark/>
          </w:tcPr>
          <w:p w14:paraId="37CF6031" w14:textId="235150B0" w:rsidR="00CA4626" w:rsidRPr="00C921BC" w:rsidRDefault="00581F49"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U</w:t>
            </w:r>
          </w:p>
        </w:tc>
        <w:tc>
          <w:tcPr>
            <w:tcW w:w="1096" w:type="dxa"/>
            <w:tcBorders>
              <w:top w:val="single" w:sz="4" w:space="0" w:color="auto"/>
              <w:bottom w:val="single" w:sz="4" w:space="0" w:color="auto"/>
              <w:right w:val="single" w:sz="4" w:space="0" w:color="auto"/>
            </w:tcBorders>
            <w:shd w:val="clear" w:color="auto" w:fill="auto"/>
            <w:noWrap/>
            <w:vAlign w:val="bottom"/>
            <w:hideMark/>
          </w:tcPr>
          <w:p w14:paraId="29AA18AF" w14:textId="3833893E" w:rsidR="00CA4626" w:rsidRPr="00C921BC" w:rsidRDefault="00581F49"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V</w:t>
            </w:r>
          </w:p>
        </w:tc>
        <w:tc>
          <w:tcPr>
            <w:tcW w:w="1060" w:type="dxa"/>
            <w:tcBorders>
              <w:top w:val="single" w:sz="4" w:space="0" w:color="auto"/>
              <w:left w:val="single" w:sz="4" w:space="0" w:color="auto"/>
              <w:bottom w:val="single" w:sz="4" w:space="0" w:color="auto"/>
            </w:tcBorders>
            <w:vAlign w:val="bottom"/>
          </w:tcPr>
          <w:p w14:paraId="44B421F5" w14:textId="4675148A"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60" w:type="dxa"/>
            <w:tcBorders>
              <w:top w:val="single" w:sz="4" w:space="0" w:color="auto"/>
              <w:bottom w:val="single" w:sz="4" w:space="0" w:color="auto"/>
            </w:tcBorders>
          </w:tcPr>
          <w:p w14:paraId="4D8794E3" w14:textId="52FE453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U</w:t>
            </w:r>
          </w:p>
        </w:tc>
        <w:tc>
          <w:tcPr>
            <w:tcW w:w="1060" w:type="dxa"/>
            <w:tcBorders>
              <w:top w:val="single" w:sz="4" w:space="0" w:color="auto"/>
              <w:bottom w:val="single" w:sz="4" w:space="0" w:color="auto"/>
              <w:right w:val="single" w:sz="4" w:space="0" w:color="auto"/>
            </w:tcBorders>
          </w:tcPr>
          <w:p w14:paraId="63932C30" w14:textId="7FB133E0"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V</w:t>
            </w:r>
          </w:p>
        </w:tc>
      </w:tr>
      <w:tr w:rsidR="00581F49" w:rsidRPr="00C921BC" w14:paraId="5E4A4C3E" w14:textId="20132972" w:rsidTr="00581F49">
        <w:trPr>
          <w:trHeight w:val="255"/>
        </w:trPr>
        <w:tc>
          <w:tcPr>
            <w:tcW w:w="1000" w:type="dxa"/>
            <w:tcBorders>
              <w:top w:val="single" w:sz="8" w:space="0" w:color="auto"/>
              <w:left w:val="single" w:sz="4" w:space="0" w:color="auto"/>
              <w:bottom w:val="nil"/>
              <w:right w:val="single" w:sz="8" w:space="0" w:color="auto"/>
            </w:tcBorders>
            <w:shd w:val="clear" w:color="auto" w:fill="auto"/>
            <w:noWrap/>
            <w:vAlign w:val="bottom"/>
            <w:hideMark/>
          </w:tcPr>
          <w:p w14:paraId="76995C5C"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8" w:space="0" w:color="auto"/>
              <w:left w:val="nil"/>
              <w:bottom w:val="nil"/>
              <w:right w:val="single" w:sz="4" w:space="0" w:color="auto"/>
            </w:tcBorders>
            <w:shd w:val="clear" w:color="auto" w:fill="auto"/>
            <w:noWrap/>
            <w:vAlign w:val="bottom"/>
            <w:hideMark/>
          </w:tcPr>
          <w:p w14:paraId="747926EF"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988" w:type="dxa"/>
            <w:tcBorders>
              <w:top w:val="single" w:sz="4" w:space="0" w:color="auto"/>
              <w:left w:val="single" w:sz="4" w:space="0" w:color="auto"/>
              <w:bottom w:val="nil"/>
            </w:tcBorders>
            <w:shd w:val="clear" w:color="auto" w:fill="auto"/>
            <w:noWrap/>
            <w:vAlign w:val="bottom"/>
            <w:hideMark/>
          </w:tcPr>
          <w:p w14:paraId="66D7A638"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1.48%</w:t>
            </w:r>
          </w:p>
        </w:tc>
        <w:tc>
          <w:tcPr>
            <w:tcW w:w="1096" w:type="dxa"/>
            <w:tcBorders>
              <w:top w:val="single" w:sz="4" w:space="0" w:color="auto"/>
              <w:bottom w:val="nil"/>
            </w:tcBorders>
            <w:shd w:val="clear" w:color="auto" w:fill="auto"/>
            <w:noWrap/>
            <w:vAlign w:val="bottom"/>
            <w:hideMark/>
          </w:tcPr>
          <w:p w14:paraId="7A1094DF"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1.26%</w:t>
            </w:r>
          </w:p>
        </w:tc>
        <w:tc>
          <w:tcPr>
            <w:tcW w:w="1096" w:type="dxa"/>
            <w:tcBorders>
              <w:top w:val="single" w:sz="4" w:space="0" w:color="auto"/>
              <w:bottom w:val="nil"/>
              <w:right w:val="single" w:sz="4" w:space="0" w:color="auto"/>
            </w:tcBorders>
            <w:shd w:val="clear" w:color="auto" w:fill="auto"/>
            <w:noWrap/>
            <w:vAlign w:val="bottom"/>
            <w:hideMark/>
          </w:tcPr>
          <w:p w14:paraId="692C29BE" w14:textId="77777777"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1.71%</w:t>
            </w:r>
          </w:p>
        </w:tc>
        <w:tc>
          <w:tcPr>
            <w:tcW w:w="1060" w:type="dxa"/>
            <w:tcBorders>
              <w:top w:val="single" w:sz="4" w:space="0" w:color="auto"/>
              <w:left w:val="single" w:sz="4" w:space="0" w:color="auto"/>
              <w:bottom w:val="nil"/>
            </w:tcBorders>
          </w:tcPr>
          <w:p w14:paraId="40429DFC" w14:textId="19C2E16E"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1.29%</w:t>
            </w:r>
          </w:p>
        </w:tc>
        <w:tc>
          <w:tcPr>
            <w:tcW w:w="1060" w:type="dxa"/>
            <w:tcBorders>
              <w:top w:val="single" w:sz="4" w:space="0" w:color="auto"/>
              <w:bottom w:val="nil"/>
            </w:tcBorders>
          </w:tcPr>
          <w:p w14:paraId="56B39514" w14:textId="644F034A"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1.56%</w:t>
            </w:r>
          </w:p>
        </w:tc>
        <w:tc>
          <w:tcPr>
            <w:tcW w:w="1060" w:type="dxa"/>
            <w:tcBorders>
              <w:top w:val="single" w:sz="4" w:space="0" w:color="auto"/>
              <w:right w:val="single" w:sz="4" w:space="0" w:color="auto"/>
            </w:tcBorders>
          </w:tcPr>
          <w:p w14:paraId="1A29C57F" w14:textId="1604CF29" w:rsidR="00CA4626" w:rsidRPr="00C921BC" w:rsidRDefault="00CA4626"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2.09%</w:t>
            </w:r>
          </w:p>
        </w:tc>
      </w:tr>
      <w:tr w:rsidR="00581F49" w:rsidRPr="00C921BC" w14:paraId="165336D8" w14:textId="4F8A4CC3"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635BC7C7" w14:textId="55CF0976"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530C14A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988" w:type="dxa"/>
            <w:tcBorders>
              <w:top w:val="nil"/>
              <w:left w:val="single" w:sz="4" w:space="0" w:color="auto"/>
              <w:bottom w:val="nil"/>
            </w:tcBorders>
            <w:shd w:val="clear" w:color="auto" w:fill="auto"/>
            <w:noWrap/>
            <w:vAlign w:val="bottom"/>
            <w:hideMark/>
          </w:tcPr>
          <w:p w14:paraId="11813212"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2.49%</w:t>
            </w:r>
          </w:p>
        </w:tc>
        <w:tc>
          <w:tcPr>
            <w:tcW w:w="1096" w:type="dxa"/>
            <w:shd w:val="clear" w:color="000000" w:fill="FFC7CE"/>
            <w:noWrap/>
            <w:vAlign w:val="bottom"/>
            <w:hideMark/>
          </w:tcPr>
          <w:p w14:paraId="246AA97E"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4.89%</w:t>
            </w:r>
          </w:p>
        </w:tc>
        <w:tc>
          <w:tcPr>
            <w:tcW w:w="1096" w:type="dxa"/>
            <w:tcBorders>
              <w:bottom w:val="nil"/>
              <w:right w:val="single" w:sz="4" w:space="0" w:color="auto"/>
            </w:tcBorders>
            <w:shd w:val="clear" w:color="000000" w:fill="FFC7CE"/>
            <w:noWrap/>
            <w:vAlign w:val="bottom"/>
            <w:hideMark/>
          </w:tcPr>
          <w:p w14:paraId="2AF50F2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5.80%</w:t>
            </w:r>
          </w:p>
        </w:tc>
        <w:tc>
          <w:tcPr>
            <w:tcW w:w="1060" w:type="dxa"/>
            <w:tcBorders>
              <w:left w:val="single" w:sz="4" w:space="0" w:color="auto"/>
              <w:bottom w:val="nil"/>
            </w:tcBorders>
            <w:shd w:val="clear" w:color="auto" w:fill="auto"/>
            <w:vAlign w:val="bottom"/>
          </w:tcPr>
          <w:p w14:paraId="6044544F" w14:textId="612EC708"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color w:val="000000"/>
                <w:sz w:val="18"/>
                <w:szCs w:val="18"/>
                <w:lang w:val="en-GB" w:eastAsia="en-GB"/>
              </w:rPr>
              <w:t>2.</w:t>
            </w:r>
            <w:r>
              <w:rPr>
                <w:rFonts w:ascii="Arial" w:hAnsi="Arial" w:cs="Arial"/>
                <w:color w:val="000000"/>
                <w:sz w:val="18"/>
                <w:szCs w:val="18"/>
                <w:lang w:val="en-GB" w:eastAsia="en-GB"/>
              </w:rPr>
              <w:t>55</w:t>
            </w:r>
            <w:r w:rsidRPr="00C921BC">
              <w:rPr>
                <w:rFonts w:ascii="Arial" w:hAnsi="Arial" w:cs="Arial"/>
                <w:color w:val="000000"/>
                <w:sz w:val="18"/>
                <w:szCs w:val="18"/>
                <w:lang w:val="en-GB" w:eastAsia="en-GB"/>
              </w:rPr>
              <w:t>%</w:t>
            </w:r>
          </w:p>
        </w:tc>
        <w:tc>
          <w:tcPr>
            <w:tcW w:w="1060" w:type="dxa"/>
            <w:tcBorders>
              <w:bottom w:val="nil"/>
            </w:tcBorders>
            <w:shd w:val="clear" w:color="000000" w:fill="FFC7CE"/>
            <w:vAlign w:val="bottom"/>
          </w:tcPr>
          <w:p w14:paraId="3863373D" w14:textId="5837A373"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w:t>
            </w:r>
            <w:r>
              <w:rPr>
                <w:rFonts w:ascii="Arial" w:hAnsi="Arial" w:cs="Arial"/>
                <w:sz w:val="18"/>
                <w:szCs w:val="18"/>
                <w:lang w:val="en-GB" w:eastAsia="en-GB"/>
              </w:rPr>
              <w:t>5</w:t>
            </w:r>
            <w:r w:rsidRPr="00C921BC">
              <w:rPr>
                <w:rFonts w:ascii="Arial" w:hAnsi="Arial" w:cs="Arial"/>
                <w:sz w:val="18"/>
                <w:szCs w:val="18"/>
                <w:lang w:val="en-GB" w:eastAsia="en-GB"/>
              </w:rPr>
              <w:t>%</w:t>
            </w:r>
          </w:p>
        </w:tc>
        <w:tc>
          <w:tcPr>
            <w:tcW w:w="1060" w:type="dxa"/>
            <w:tcBorders>
              <w:bottom w:val="nil"/>
              <w:right w:val="single" w:sz="4" w:space="0" w:color="auto"/>
            </w:tcBorders>
            <w:shd w:val="clear" w:color="000000" w:fill="FFC7CE"/>
            <w:vAlign w:val="bottom"/>
          </w:tcPr>
          <w:p w14:paraId="07AFB474" w14:textId="61B189FF"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Pr>
                <w:rFonts w:ascii="Arial" w:hAnsi="Arial" w:cs="Arial"/>
                <w:sz w:val="18"/>
                <w:szCs w:val="18"/>
                <w:lang w:val="en-GB" w:eastAsia="en-GB"/>
              </w:rPr>
              <w:t>5.84</w:t>
            </w:r>
            <w:r w:rsidRPr="00C921BC">
              <w:rPr>
                <w:rFonts w:ascii="Arial" w:hAnsi="Arial" w:cs="Arial"/>
                <w:sz w:val="18"/>
                <w:szCs w:val="18"/>
                <w:lang w:val="en-GB" w:eastAsia="en-GB"/>
              </w:rPr>
              <w:t>%</w:t>
            </w:r>
          </w:p>
        </w:tc>
      </w:tr>
      <w:tr w:rsidR="00CA4626" w:rsidRPr="00C921BC" w14:paraId="03E4BDFD" w14:textId="7AAA70EC"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116BB09F"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6B63876B"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988" w:type="dxa"/>
            <w:tcBorders>
              <w:top w:val="nil"/>
              <w:left w:val="single" w:sz="4" w:space="0" w:color="auto"/>
              <w:bottom w:val="nil"/>
            </w:tcBorders>
            <w:shd w:val="clear" w:color="auto" w:fill="auto"/>
            <w:noWrap/>
            <w:vAlign w:val="bottom"/>
            <w:hideMark/>
          </w:tcPr>
          <w:p w14:paraId="644F14E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1.68%</w:t>
            </w:r>
          </w:p>
        </w:tc>
        <w:tc>
          <w:tcPr>
            <w:tcW w:w="1096" w:type="dxa"/>
            <w:tcBorders>
              <w:bottom w:val="nil"/>
            </w:tcBorders>
            <w:shd w:val="clear" w:color="000000" w:fill="CCFFCC"/>
            <w:noWrap/>
            <w:vAlign w:val="bottom"/>
            <w:hideMark/>
          </w:tcPr>
          <w:p w14:paraId="48E18D4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-4.89%</w:t>
            </w:r>
          </w:p>
        </w:tc>
        <w:tc>
          <w:tcPr>
            <w:tcW w:w="1096" w:type="dxa"/>
            <w:tcBorders>
              <w:top w:val="nil"/>
              <w:bottom w:val="nil"/>
              <w:right w:val="single" w:sz="4" w:space="0" w:color="auto"/>
            </w:tcBorders>
            <w:shd w:val="clear" w:color="auto" w:fill="auto"/>
            <w:noWrap/>
            <w:vAlign w:val="bottom"/>
            <w:hideMark/>
          </w:tcPr>
          <w:p w14:paraId="0FF6A355"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0.64%</w:t>
            </w:r>
          </w:p>
        </w:tc>
        <w:tc>
          <w:tcPr>
            <w:tcW w:w="1060" w:type="dxa"/>
            <w:tcBorders>
              <w:top w:val="nil"/>
              <w:left w:val="single" w:sz="4" w:space="0" w:color="auto"/>
              <w:bottom w:val="nil"/>
            </w:tcBorders>
            <w:vAlign w:val="bottom"/>
          </w:tcPr>
          <w:p w14:paraId="5AD04F48" w14:textId="4F555D83"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2.26</w:t>
            </w:r>
            <w:r w:rsidRPr="00C921BC">
              <w:rPr>
                <w:rFonts w:ascii="Arial" w:hAnsi="Arial" w:cs="Arial"/>
                <w:color w:val="000000"/>
                <w:sz w:val="18"/>
                <w:szCs w:val="18"/>
                <w:lang w:val="en-GB" w:eastAsia="en-GB"/>
              </w:rPr>
              <w:t>%</w:t>
            </w:r>
          </w:p>
        </w:tc>
        <w:tc>
          <w:tcPr>
            <w:tcW w:w="1060" w:type="dxa"/>
            <w:tcBorders>
              <w:top w:val="nil"/>
              <w:bottom w:val="nil"/>
            </w:tcBorders>
            <w:shd w:val="clear" w:color="auto" w:fill="CCFFCC"/>
            <w:vAlign w:val="bottom"/>
          </w:tcPr>
          <w:p w14:paraId="047E63F6" w14:textId="796DF20E" w:rsidR="00CA4626" w:rsidRPr="00CA4626"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Pr>
                <w:rFonts w:ascii="Arial" w:hAnsi="Arial" w:cs="Arial"/>
                <w:sz w:val="18"/>
                <w:szCs w:val="18"/>
                <w:lang w:val="en-GB" w:eastAsia="en-GB"/>
              </w:rPr>
              <w:t>-5.06</w:t>
            </w:r>
            <w:r w:rsidRPr="00C921BC">
              <w:rPr>
                <w:rFonts w:ascii="Arial" w:hAnsi="Arial" w:cs="Arial"/>
                <w:sz w:val="18"/>
                <w:szCs w:val="18"/>
                <w:lang w:val="en-GB" w:eastAsia="en-GB"/>
              </w:rPr>
              <w:t>%</w:t>
            </w:r>
          </w:p>
        </w:tc>
        <w:tc>
          <w:tcPr>
            <w:tcW w:w="1060" w:type="dxa"/>
            <w:tcBorders>
              <w:top w:val="nil"/>
              <w:bottom w:val="nil"/>
              <w:right w:val="single" w:sz="4" w:space="0" w:color="auto"/>
            </w:tcBorders>
            <w:vAlign w:val="bottom"/>
          </w:tcPr>
          <w:p w14:paraId="77BB0312" w14:textId="3C27B826" w:rsidR="00CA4626" w:rsidRPr="00CA4626"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A4626">
              <w:rPr>
                <w:rFonts w:ascii="Arial" w:hAnsi="Arial" w:cs="Arial"/>
                <w:sz w:val="18"/>
                <w:szCs w:val="18"/>
                <w:lang w:val="en-GB" w:eastAsia="en-GB"/>
              </w:rPr>
              <w:t>0.53</w:t>
            </w:r>
            <w:r w:rsidRPr="00C921BC">
              <w:rPr>
                <w:rFonts w:ascii="Arial" w:hAnsi="Arial" w:cs="Arial"/>
                <w:sz w:val="18"/>
                <w:szCs w:val="18"/>
                <w:lang w:val="en-GB" w:eastAsia="en-GB"/>
              </w:rPr>
              <w:t>%</w:t>
            </w:r>
          </w:p>
        </w:tc>
      </w:tr>
      <w:tr w:rsidR="00CA4626" w:rsidRPr="00C921BC" w14:paraId="6F75B8DF" w14:textId="5C71B4C3" w:rsidTr="00581F49">
        <w:trPr>
          <w:trHeight w:val="255"/>
        </w:trPr>
        <w:tc>
          <w:tcPr>
            <w:tcW w:w="1000" w:type="dxa"/>
            <w:tcBorders>
              <w:top w:val="single" w:sz="8" w:space="0" w:color="auto"/>
              <w:left w:val="single" w:sz="4" w:space="0" w:color="auto"/>
              <w:bottom w:val="nil"/>
              <w:right w:val="single" w:sz="8" w:space="0" w:color="auto"/>
            </w:tcBorders>
            <w:shd w:val="clear" w:color="auto" w:fill="auto"/>
            <w:noWrap/>
            <w:vAlign w:val="bottom"/>
            <w:hideMark/>
          </w:tcPr>
          <w:p w14:paraId="795938AC"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4" w:space="0" w:color="auto"/>
            </w:tcBorders>
            <w:shd w:val="clear" w:color="auto" w:fill="auto"/>
            <w:noWrap/>
            <w:vAlign w:val="bottom"/>
            <w:hideMark/>
          </w:tcPr>
          <w:p w14:paraId="6EE00D4D"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988" w:type="dxa"/>
            <w:tcBorders>
              <w:top w:val="nil"/>
              <w:left w:val="single" w:sz="4" w:space="0" w:color="auto"/>
            </w:tcBorders>
            <w:shd w:val="clear" w:color="auto" w:fill="auto"/>
            <w:noWrap/>
            <w:vAlign w:val="bottom"/>
            <w:hideMark/>
          </w:tcPr>
          <w:p w14:paraId="246B35B1"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1.05%</w:t>
            </w:r>
          </w:p>
        </w:tc>
        <w:tc>
          <w:tcPr>
            <w:tcW w:w="1096" w:type="dxa"/>
            <w:tcBorders>
              <w:top w:val="nil"/>
              <w:bottom w:val="nil"/>
            </w:tcBorders>
            <w:shd w:val="clear" w:color="auto" w:fill="auto"/>
            <w:noWrap/>
            <w:vAlign w:val="bottom"/>
            <w:hideMark/>
          </w:tcPr>
          <w:p w14:paraId="3FF77E60"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2.01%</w:t>
            </w:r>
          </w:p>
        </w:tc>
        <w:tc>
          <w:tcPr>
            <w:tcW w:w="1096" w:type="dxa"/>
            <w:tcBorders>
              <w:top w:val="nil"/>
              <w:bottom w:val="nil"/>
              <w:right w:val="single" w:sz="4" w:space="0" w:color="auto"/>
            </w:tcBorders>
            <w:shd w:val="clear" w:color="auto" w:fill="auto"/>
            <w:noWrap/>
            <w:vAlign w:val="bottom"/>
            <w:hideMark/>
          </w:tcPr>
          <w:p w14:paraId="14B7EFC3"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1.45%</w:t>
            </w:r>
          </w:p>
        </w:tc>
        <w:tc>
          <w:tcPr>
            <w:tcW w:w="1060" w:type="dxa"/>
            <w:tcBorders>
              <w:top w:val="nil"/>
              <w:left w:val="single" w:sz="4" w:space="0" w:color="auto"/>
              <w:bottom w:val="nil"/>
            </w:tcBorders>
            <w:vAlign w:val="bottom"/>
          </w:tcPr>
          <w:p w14:paraId="5CF23246" w14:textId="058EB982"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0.80</w:t>
            </w:r>
            <w:r w:rsidRPr="00C921BC">
              <w:rPr>
                <w:rFonts w:ascii="Arial" w:hAnsi="Arial" w:cs="Arial"/>
                <w:color w:val="000000"/>
                <w:sz w:val="18"/>
                <w:szCs w:val="18"/>
                <w:lang w:val="en-GB" w:eastAsia="en-GB"/>
              </w:rPr>
              <w:t>%</w:t>
            </w:r>
          </w:p>
        </w:tc>
        <w:tc>
          <w:tcPr>
            <w:tcW w:w="1060" w:type="dxa"/>
            <w:tcBorders>
              <w:top w:val="nil"/>
              <w:bottom w:val="nil"/>
            </w:tcBorders>
            <w:vAlign w:val="bottom"/>
          </w:tcPr>
          <w:p w14:paraId="527F8BC2" w14:textId="7F53A1EE"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2.20</w:t>
            </w:r>
            <w:r w:rsidRPr="00C921BC">
              <w:rPr>
                <w:rFonts w:ascii="Arial" w:hAnsi="Arial" w:cs="Arial"/>
                <w:color w:val="000000"/>
                <w:sz w:val="18"/>
                <w:szCs w:val="18"/>
                <w:lang w:val="en-GB" w:eastAsia="en-GB"/>
              </w:rPr>
              <w:t>%</w:t>
            </w:r>
          </w:p>
        </w:tc>
        <w:tc>
          <w:tcPr>
            <w:tcW w:w="1060" w:type="dxa"/>
            <w:tcBorders>
              <w:top w:val="nil"/>
              <w:bottom w:val="nil"/>
              <w:right w:val="single" w:sz="4" w:space="0" w:color="auto"/>
            </w:tcBorders>
            <w:vAlign w:val="bottom"/>
          </w:tcPr>
          <w:p w14:paraId="113073FC" w14:textId="09E71E79"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1.68</w:t>
            </w:r>
            <w:r w:rsidRPr="00C921BC">
              <w:rPr>
                <w:rFonts w:ascii="Arial" w:hAnsi="Arial" w:cs="Arial"/>
                <w:color w:val="000000"/>
                <w:sz w:val="18"/>
                <w:szCs w:val="18"/>
                <w:lang w:val="en-GB" w:eastAsia="en-GB"/>
              </w:rPr>
              <w:t>%</w:t>
            </w:r>
          </w:p>
        </w:tc>
      </w:tr>
      <w:tr w:rsidR="00CA4626" w:rsidRPr="00C921BC" w14:paraId="51E0F9DF" w14:textId="0ADE478B"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12422339"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0E4DFDE1"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988" w:type="dxa"/>
            <w:tcBorders>
              <w:left w:val="single" w:sz="4" w:space="0" w:color="auto"/>
            </w:tcBorders>
            <w:shd w:val="clear" w:color="000000" w:fill="FFC7CE"/>
            <w:noWrap/>
            <w:vAlign w:val="bottom"/>
            <w:hideMark/>
          </w:tcPr>
          <w:p w14:paraId="61114EBE"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3.16%</w:t>
            </w:r>
          </w:p>
        </w:tc>
        <w:tc>
          <w:tcPr>
            <w:tcW w:w="1096" w:type="dxa"/>
            <w:tcBorders>
              <w:top w:val="nil"/>
            </w:tcBorders>
            <w:shd w:val="clear" w:color="auto" w:fill="auto"/>
            <w:noWrap/>
            <w:vAlign w:val="bottom"/>
            <w:hideMark/>
          </w:tcPr>
          <w:p w14:paraId="7006BD1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2.40%</w:t>
            </w:r>
          </w:p>
        </w:tc>
        <w:tc>
          <w:tcPr>
            <w:tcW w:w="1096" w:type="dxa"/>
            <w:tcBorders>
              <w:top w:val="nil"/>
              <w:right w:val="single" w:sz="4" w:space="0" w:color="auto"/>
            </w:tcBorders>
            <w:shd w:val="clear" w:color="auto" w:fill="auto"/>
            <w:noWrap/>
            <w:vAlign w:val="bottom"/>
            <w:hideMark/>
          </w:tcPr>
          <w:p w14:paraId="4D91150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1.91%</w:t>
            </w:r>
          </w:p>
        </w:tc>
        <w:tc>
          <w:tcPr>
            <w:tcW w:w="1060" w:type="dxa"/>
            <w:tcBorders>
              <w:top w:val="nil"/>
              <w:left w:val="single" w:sz="4" w:space="0" w:color="auto"/>
            </w:tcBorders>
            <w:vAlign w:val="bottom"/>
          </w:tcPr>
          <w:p w14:paraId="05F1CA0C" w14:textId="51FE8955"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sz w:val="18"/>
                <w:szCs w:val="18"/>
                <w:lang w:val="en-GB" w:eastAsia="en-GB"/>
              </w:rPr>
              <w:t>1.87</w:t>
            </w:r>
            <w:r w:rsidRPr="00C921BC">
              <w:rPr>
                <w:rFonts w:ascii="Arial" w:hAnsi="Arial" w:cs="Arial"/>
                <w:sz w:val="18"/>
                <w:szCs w:val="18"/>
                <w:lang w:val="en-GB" w:eastAsia="en-GB"/>
              </w:rPr>
              <w:t>%</w:t>
            </w:r>
          </w:p>
        </w:tc>
        <w:tc>
          <w:tcPr>
            <w:tcW w:w="1060" w:type="dxa"/>
            <w:tcBorders>
              <w:top w:val="nil"/>
            </w:tcBorders>
            <w:vAlign w:val="bottom"/>
          </w:tcPr>
          <w:p w14:paraId="27E0D28D" w14:textId="442959D6"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2.78</w:t>
            </w:r>
            <w:r w:rsidRPr="00C921BC">
              <w:rPr>
                <w:rFonts w:ascii="Arial" w:hAnsi="Arial" w:cs="Arial"/>
                <w:color w:val="000000"/>
                <w:sz w:val="18"/>
                <w:szCs w:val="18"/>
                <w:lang w:val="en-GB" w:eastAsia="en-GB"/>
              </w:rPr>
              <w:t>%</w:t>
            </w:r>
          </w:p>
        </w:tc>
        <w:tc>
          <w:tcPr>
            <w:tcW w:w="1060" w:type="dxa"/>
            <w:tcBorders>
              <w:top w:val="nil"/>
              <w:right w:val="single" w:sz="4" w:space="0" w:color="auto"/>
            </w:tcBorders>
            <w:vAlign w:val="bottom"/>
          </w:tcPr>
          <w:p w14:paraId="0C6B4D6E" w14:textId="16E72CCA"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Pr>
                <w:rFonts w:ascii="Arial" w:hAnsi="Arial" w:cs="Arial"/>
                <w:color w:val="000000"/>
                <w:sz w:val="18"/>
                <w:szCs w:val="18"/>
                <w:lang w:val="en-GB" w:eastAsia="en-GB"/>
              </w:rPr>
              <w:t>2.47</w:t>
            </w:r>
            <w:r w:rsidRPr="00C921BC">
              <w:rPr>
                <w:rFonts w:ascii="Arial" w:hAnsi="Arial" w:cs="Arial"/>
                <w:color w:val="000000"/>
                <w:sz w:val="18"/>
                <w:szCs w:val="18"/>
                <w:lang w:val="en-GB" w:eastAsia="en-GB"/>
              </w:rPr>
              <w:t>%</w:t>
            </w:r>
          </w:p>
        </w:tc>
      </w:tr>
      <w:tr w:rsidR="00581F49" w:rsidRPr="00C921BC" w14:paraId="2A84CCD4" w14:textId="0B8635B4" w:rsidTr="00581F49">
        <w:trPr>
          <w:trHeight w:val="255"/>
        </w:trPr>
        <w:tc>
          <w:tcPr>
            <w:tcW w:w="1000" w:type="dxa"/>
            <w:tcBorders>
              <w:top w:val="nil"/>
              <w:left w:val="single" w:sz="4" w:space="0" w:color="auto"/>
              <w:bottom w:val="single" w:sz="4" w:space="0" w:color="auto"/>
              <w:right w:val="single" w:sz="8" w:space="0" w:color="auto"/>
            </w:tcBorders>
            <w:shd w:val="clear" w:color="auto" w:fill="auto"/>
            <w:noWrap/>
            <w:vAlign w:val="bottom"/>
            <w:hideMark/>
          </w:tcPr>
          <w:p w14:paraId="3EDEC6AA"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single" w:sz="4" w:space="0" w:color="auto"/>
              <w:right w:val="single" w:sz="4" w:space="0" w:color="auto"/>
            </w:tcBorders>
            <w:shd w:val="clear" w:color="auto" w:fill="auto"/>
            <w:noWrap/>
            <w:vAlign w:val="bottom"/>
            <w:hideMark/>
          </w:tcPr>
          <w:p w14:paraId="03783BC2"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988" w:type="dxa"/>
            <w:tcBorders>
              <w:left w:val="single" w:sz="4" w:space="0" w:color="auto"/>
              <w:bottom w:val="single" w:sz="4" w:space="0" w:color="auto"/>
            </w:tcBorders>
            <w:shd w:val="clear" w:color="000000" w:fill="FFC7CE"/>
            <w:noWrap/>
            <w:vAlign w:val="bottom"/>
            <w:hideMark/>
          </w:tcPr>
          <w:p w14:paraId="3699265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4.84%</w:t>
            </w:r>
          </w:p>
        </w:tc>
        <w:tc>
          <w:tcPr>
            <w:tcW w:w="1096" w:type="dxa"/>
            <w:tcBorders>
              <w:bottom w:val="single" w:sz="4" w:space="0" w:color="auto"/>
            </w:tcBorders>
            <w:shd w:val="clear" w:color="000000" w:fill="CCFFCC"/>
            <w:noWrap/>
            <w:vAlign w:val="bottom"/>
            <w:hideMark/>
          </w:tcPr>
          <w:p w14:paraId="2C60BF88"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-5.43%</w:t>
            </w:r>
          </w:p>
        </w:tc>
        <w:tc>
          <w:tcPr>
            <w:tcW w:w="1096" w:type="dxa"/>
            <w:tcBorders>
              <w:bottom w:val="single" w:sz="4" w:space="0" w:color="auto"/>
              <w:right w:val="single" w:sz="4" w:space="0" w:color="auto"/>
            </w:tcBorders>
            <w:shd w:val="clear" w:color="000000" w:fill="CCFFCC"/>
            <w:noWrap/>
            <w:vAlign w:val="bottom"/>
            <w:hideMark/>
          </w:tcPr>
          <w:p w14:paraId="16A09BC7" w14:textId="7777777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-5.59%</w:t>
            </w:r>
          </w:p>
        </w:tc>
        <w:tc>
          <w:tcPr>
            <w:tcW w:w="1060" w:type="dxa"/>
            <w:tcBorders>
              <w:left w:val="single" w:sz="4" w:space="0" w:color="auto"/>
              <w:bottom w:val="single" w:sz="4" w:space="0" w:color="auto"/>
            </w:tcBorders>
            <w:shd w:val="clear" w:color="000000" w:fill="FFC7CE"/>
            <w:vAlign w:val="bottom"/>
          </w:tcPr>
          <w:p w14:paraId="017E90BB" w14:textId="53D7BC67"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4.84%</w:t>
            </w:r>
          </w:p>
        </w:tc>
        <w:tc>
          <w:tcPr>
            <w:tcW w:w="1060" w:type="dxa"/>
            <w:tcBorders>
              <w:bottom w:val="single" w:sz="4" w:space="0" w:color="auto"/>
            </w:tcBorders>
            <w:shd w:val="clear" w:color="000000" w:fill="CCFFCC"/>
            <w:vAlign w:val="bottom"/>
          </w:tcPr>
          <w:p w14:paraId="6F831938" w14:textId="63C5BAC2"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-5.43%</w:t>
            </w:r>
          </w:p>
        </w:tc>
        <w:tc>
          <w:tcPr>
            <w:tcW w:w="1060" w:type="dxa"/>
            <w:tcBorders>
              <w:bottom w:val="single" w:sz="4" w:space="0" w:color="auto"/>
              <w:right w:val="single" w:sz="4" w:space="0" w:color="auto"/>
            </w:tcBorders>
            <w:shd w:val="clear" w:color="000000" w:fill="CCFFCC"/>
            <w:vAlign w:val="bottom"/>
          </w:tcPr>
          <w:p w14:paraId="36C6EB78" w14:textId="4CB56F84" w:rsidR="00CA4626" w:rsidRPr="00C921BC" w:rsidRDefault="00CA4626"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-5.59%</w:t>
            </w:r>
          </w:p>
        </w:tc>
      </w:tr>
    </w:tbl>
    <w:p w14:paraId="368E5AFA" w14:textId="77777777" w:rsidR="00C921BC" w:rsidRDefault="00C921BC" w:rsidP="003C3A6F">
      <w:pPr>
        <w:rPr>
          <w:szCs w:val="22"/>
          <w:lang w:val="en-CA"/>
        </w:rPr>
      </w:pPr>
    </w:p>
    <w:p w14:paraId="2607FB2A" w14:textId="7CE8196A" w:rsidR="00E351DF" w:rsidRDefault="00C921BC" w:rsidP="0018531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Cs w:val="22"/>
          <w:lang w:val="en-CA"/>
        </w:rPr>
      </w:pPr>
      <w:r>
        <w:rPr>
          <w:szCs w:val="22"/>
          <w:lang w:val="en-CA"/>
        </w:rPr>
        <w:t>Using 16 points:</w:t>
      </w:r>
    </w:p>
    <w:tbl>
      <w:tblPr>
        <w:tblW w:w="6860" w:type="dxa"/>
        <w:tblLook w:val="04A0" w:firstRow="1" w:lastRow="0" w:firstColumn="1" w:lastColumn="0" w:noHBand="0" w:noVBand="1"/>
      </w:tblPr>
      <w:tblGrid>
        <w:gridCol w:w="1000"/>
        <w:gridCol w:w="1780"/>
        <w:gridCol w:w="1020"/>
        <w:gridCol w:w="1020"/>
        <w:gridCol w:w="1020"/>
        <w:gridCol w:w="1020"/>
      </w:tblGrid>
      <w:tr w:rsidR="00C921BC" w:rsidRPr="00C921BC" w14:paraId="1D47E7C3" w14:textId="77777777" w:rsidTr="00581F49">
        <w:trPr>
          <w:trHeight w:val="255"/>
        </w:trPr>
        <w:tc>
          <w:tcPr>
            <w:tcW w:w="1000" w:type="dxa"/>
            <w:tcBorders>
              <w:top w:val="nil"/>
              <w:left w:val="nil"/>
              <w:bottom w:val="single" w:sz="4" w:space="0" w:color="auto"/>
              <w:right w:val="nil"/>
            </w:tcBorders>
            <w:shd w:val="clear" w:color="auto" w:fill="auto"/>
            <w:noWrap/>
            <w:vAlign w:val="bottom"/>
            <w:hideMark/>
          </w:tcPr>
          <w:p w14:paraId="551DE75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single" w:sz="4" w:space="0" w:color="auto"/>
              <w:right w:val="nil"/>
            </w:tcBorders>
            <w:shd w:val="clear" w:color="auto" w:fill="auto"/>
            <w:noWrap/>
            <w:vAlign w:val="bottom"/>
            <w:hideMark/>
          </w:tcPr>
          <w:p w14:paraId="7741120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4080" w:type="dxa"/>
            <w:gridSpan w:val="4"/>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165D887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r>
      <w:tr w:rsidR="00C921BC" w:rsidRPr="00C921BC" w14:paraId="522F4729" w14:textId="77777777" w:rsidTr="00581F49">
        <w:trPr>
          <w:trHeight w:val="255"/>
        </w:trPr>
        <w:tc>
          <w:tcPr>
            <w:tcW w:w="1000" w:type="dxa"/>
            <w:tcBorders>
              <w:top w:val="single" w:sz="4" w:space="0" w:color="auto"/>
              <w:left w:val="single" w:sz="4" w:space="0" w:color="auto"/>
              <w:bottom w:val="nil"/>
              <w:right w:val="nil"/>
            </w:tcBorders>
            <w:shd w:val="clear" w:color="auto" w:fill="auto"/>
            <w:noWrap/>
            <w:vAlign w:val="bottom"/>
            <w:hideMark/>
          </w:tcPr>
          <w:p w14:paraId="6A92EAB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4" w:space="0" w:color="auto"/>
              <w:left w:val="nil"/>
              <w:bottom w:val="nil"/>
              <w:right w:val="single" w:sz="4" w:space="0" w:color="auto"/>
            </w:tcBorders>
            <w:shd w:val="clear" w:color="auto" w:fill="auto"/>
            <w:noWrap/>
            <w:vAlign w:val="bottom"/>
            <w:hideMark/>
          </w:tcPr>
          <w:p w14:paraId="21438E9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020" w:type="dxa"/>
            <w:tcBorders>
              <w:top w:val="single" w:sz="4" w:space="0" w:color="auto"/>
              <w:left w:val="single" w:sz="4" w:space="0" w:color="auto"/>
              <w:bottom w:val="single" w:sz="4" w:space="0" w:color="auto"/>
            </w:tcBorders>
            <w:shd w:val="clear" w:color="auto" w:fill="auto"/>
            <w:noWrap/>
            <w:vAlign w:val="bottom"/>
            <w:hideMark/>
          </w:tcPr>
          <w:p w14:paraId="37C28A2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20" w:type="dxa"/>
            <w:tcBorders>
              <w:top w:val="single" w:sz="4" w:space="0" w:color="auto"/>
              <w:bottom w:val="single" w:sz="4" w:space="0" w:color="auto"/>
            </w:tcBorders>
            <w:shd w:val="clear" w:color="auto" w:fill="auto"/>
            <w:noWrap/>
            <w:vAlign w:val="bottom"/>
            <w:hideMark/>
          </w:tcPr>
          <w:p w14:paraId="3D3ADCB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U</w:t>
            </w:r>
          </w:p>
        </w:tc>
        <w:tc>
          <w:tcPr>
            <w:tcW w:w="1020" w:type="dxa"/>
            <w:tcBorders>
              <w:top w:val="single" w:sz="4" w:space="0" w:color="auto"/>
              <w:bottom w:val="single" w:sz="4" w:space="0" w:color="auto"/>
            </w:tcBorders>
            <w:shd w:val="clear" w:color="auto" w:fill="auto"/>
            <w:noWrap/>
            <w:vAlign w:val="bottom"/>
            <w:hideMark/>
          </w:tcPr>
          <w:p w14:paraId="1631936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V</w:t>
            </w:r>
          </w:p>
        </w:tc>
        <w:tc>
          <w:tcPr>
            <w:tcW w:w="1020" w:type="dxa"/>
            <w:tcBorders>
              <w:top w:val="single" w:sz="4" w:space="0" w:color="auto"/>
              <w:bottom w:val="single" w:sz="4" w:space="0" w:color="auto"/>
              <w:right w:val="single" w:sz="4" w:space="0" w:color="auto"/>
            </w:tcBorders>
            <w:shd w:val="clear" w:color="auto" w:fill="auto"/>
            <w:noWrap/>
            <w:vAlign w:val="bottom"/>
            <w:hideMark/>
          </w:tcPr>
          <w:p w14:paraId="06F077C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YUV</w:t>
            </w:r>
          </w:p>
        </w:tc>
      </w:tr>
      <w:tr w:rsidR="00C921BC" w:rsidRPr="00C921BC" w14:paraId="4D44FD0A" w14:textId="77777777" w:rsidTr="00581F49">
        <w:trPr>
          <w:trHeight w:val="255"/>
        </w:trPr>
        <w:tc>
          <w:tcPr>
            <w:tcW w:w="1000" w:type="dxa"/>
            <w:tcBorders>
              <w:top w:val="single" w:sz="8" w:space="0" w:color="auto"/>
              <w:left w:val="single" w:sz="4" w:space="0" w:color="auto"/>
              <w:bottom w:val="nil"/>
              <w:right w:val="single" w:sz="8" w:space="0" w:color="auto"/>
            </w:tcBorders>
            <w:shd w:val="clear" w:color="auto" w:fill="auto"/>
            <w:noWrap/>
            <w:vAlign w:val="bottom"/>
            <w:hideMark/>
          </w:tcPr>
          <w:p w14:paraId="7AC9C92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8" w:space="0" w:color="auto"/>
              <w:left w:val="nil"/>
              <w:bottom w:val="nil"/>
              <w:right w:val="single" w:sz="4" w:space="0" w:color="auto"/>
            </w:tcBorders>
            <w:shd w:val="clear" w:color="auto" w:fill="auto"/>
            <w:noWrap/>
            <w:vAlign w:val="bottom"/>
            <w:hideMark/>
          </w:tcPr>
          <w:p w14:paraId="2A36040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1020" w:type="dxa"/>
            <w:tcBorders>
              <w:top w:val="single" w:sz="4" w:space="0" w:color="auto"/>
              <w:left w:val="single" w:sz="4" w:space="0" w:color="auto"/>
            </w:tcBorders>
            <w:shd w:val="clear" w:color="auto" w:fill="auto"/>
            <w:noWrap/>
            <w:vAlign w:val="bottom"/>
            <w:hideMark/>
          </w:tcPr>
          <w:p w14:paraId="75446E8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-0.51%</w:t>
            </w:r>
          </w:p>
        </w:tc>
        <w:tc>
          <w:tcPr>
            <w:tcW w:w="1020" w:type="dxa"/>
            <w:tcBorders>
              <w:top w:val="single" w:sz="4" w:space="0" w:color="auto"/>
            </w:tcBorders>
            <w:shd w:val="clear" w:color="000000" w:fill="FFC7CE"/>
            <w:noWrap/>
            <w:vAlign w:val="bottom"/>
            <w:hideMark/>
          </w:tcPr>
          <w:p w14:paraId="5D504A6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3.77%</w:t>
            </w:r>
          </w:p>
        </w:tc>
        <w:tc>
          <w:tcPr>
            <w:tcW w:w="1020" w:type="dxa"/>
            <w:tcBorders>
              <w:top w:val="single" w:sz="4" w:space="0" w:color="auto"/>
            </w:tcBorders>
            <w:shd w:val="clear" w:color="000000" w:fill="FFC7CE"/>
            <w:noWrap/>
            <w:vAlign w:val="bottom"/>
            <w:hideMark/>
          </w:tcPr>
          <w:p w14:paraId="6C42BE2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4.05%</w:t>
            </w:r>
          </w:p>
        </w:tc>
        <w:tc>
          <w:tcPr>
            <w:tcW w:w="1020" w:type="dxa"/>
            <w:tcBorders>
              <w:top w:val="single" w:sz="4" w:space="0" w:color="auto"/>
              <w:bottom w:val="nil"/>
              <w:right w:val="single" w:sz="4" w:space="0" w:color="auto"/>
            </w:tcBorders>
            <w:shd w:val="clear" w:color="auto" w:fill="auto"/>
            <w:noWrap/>
            <w:vAlign w:val="bottom"/>
            <w:hideMark/>
          </w:tcPr>
          <w:p w14:paraId="578610F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0.02%</w:t>
            </w:r>
          </w:p>
        </w:tc>
      </w:tr>
      <w:tr w:rsidR="00C921BC" w:rsidRPr="00C921BC" w14:paraId="0FF4098E" w14:textId="77777777"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6AAC3C6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6C96181A"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1020" w:type="dxa"/>
            <w:tcBorders>
              <w:left w:val="single" w:sz="4" w:space="0" w:color="auto"/>
            </w:tcBorders>
            <w:shd w:val="clear" w:color="auto" w:fill="auto"/>
            <w:noWrap/>
            <w:vAlign w:val="bottom"/>
            <w:hideMark/>
          </w:tcPr>
          <w:p w14:paraId="552791BC"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2.44%</w:t>
            </w:r>
          </w:p>
        </w:tc>
        <w:tc>
          <w:tcPr>
            <w:tcW w:w="1020" w:type="dxa"/>
            <w:shd w:val="clear" w:color="000000" w:fill="FFC7CE"/>
            <w:noWrap/>
            <w:vAlign w:val="bottom"/>
            <w:hideMark/>
          </w:tcPr>
          <w:p w14:paraId="6A0EAF8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4.97%</w:t>
            </w:r>
          </w:p>
        </w:tc>
        <w:tc>
          <w:tcPr>
            <w:tcW w:w="1020" w:type="dxa"/>
            <w:shd w:val="clear" w:color="000000" w:fill="FFC7CE"/>
            <w:noWrap/>
            <w:vAlign w:val="bottom"/>
            <w:hideMark/>
          </w:tcPr>
          <w:p w14:paraId="50711D9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5.96%</w:t>
            </w:r>
          </w:p>
        </w:tc>
        <w:tc>
          <w:tcPr>
            <w:tcW w:w="1020" w:type="dxa"/>
            <w:tcBorders>
              <w:top w:val="nil"/>
              <w:bottom w:val="nil"/>
              <w:right w:val="single" w:sz="4" w:space="0" w:color="auto"/>
            </w:tcBorders>
            <w:shd w:val="clear" w:color="auto" w:fill="auto"/>
            <w:noWrap/>
            <w:vAlign w:val="bottom"/>
            <w:hideMark/>
          </w:tcPr>
          <w:p w14:paraId="1E892F9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-0.60%</w:t>
            </w:r>
          </w:p>
        </w:tc>
      </w:tr>
      <w:tr w:rsidR="00C921BC" w:rsidRPr="00C921BC" w14:paraId="58DC4D0C" w14:textId="77777777"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201F419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6A22F4E5"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1020" w:type="dxa"/>
            <w:tcBorders>
              <w:left w:val="single" w:sz="4" w:space="0" w:color="auto"/>
            </w:tcBorders>
            <w:shd w:val="clear" w:color="auto" w:fill="auto"/>
            <w:noWrap/>
            <w:vAlign w:val="bottom"/>
            <w:hideMark/>
          </w:tcPr>
          <w:p w14:paraId="5A19EF40"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1.39%</w:t>
            </w:r>
          </w:p>
        </w:tc>
        <w:tc>
          <w:tcPr>
            <w:tcW w:w="1020" w:type="dxa"/>
            <w:shd w:val="clear" w:color="000000" w:fill="CCFFCC"/>
            <w:noWrap/>
            <w:vAlign w:val="bottom"/>
            <w:hideMark/>
          </w:tcPr>
          <w:p w14:paraId="2FFC3FF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-4.75%</w:t>
            </w:r>
          </w:p>
        </w:tc>
        <w:tc>
          <w:tcPr>
            <w:tcW w:w="1020" w:type="dxa"/>
            <w:shd w:val="clear" w:color="auto" w:fill="auto"/>
            <w:noWrap/>
            <w:vAlign w:val="bottom"/>
            <w:hideMark/>
          </w:tcPr>
          <w:p w14:paraId="7B2EDF2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0.67%</w:t>
            </w:r>
          </w:p>
        </w:tc>
        <w:tc>
          <w:tcPr>
            <w:tcW w:w="1020" w:type="dxa"/>
            <w:tcBorders>
              <w:top w:val="nil"/>
              <w:bottom w:val="nil"/>
              <w:right w:val="single" w:sz="4" w:space="0" w:color="auto"/>
            </w:tcBorders>
            <w:shd w:val="clear" w:color="auto" w:fill="auto"/>
            <w:noWrap/>
            <w:vAlign w:val="bottom"/>
            <w:hideMark/>
          </w:tcPr>
          <w:p w14:paraId="50333DF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0.30%</w:t>
            </w:r>
          </w:p>
        </w:tc>
      </w:tr>
      <w:tr w:rsidR="00C921BC" w:rsidRPr="00C921BC" w14:paraId="087C47C8" w14:textId="77777777" w:rsidTr="00581F49">
        <w:trPr>
          <w:trHeight w:val="255"/>
        </w:trPr>
        <w:tc>
          <w:tcPr>
            <w:tcW w:w="1000" w:type="dxa"/>
            <w:tcBorders>
              <w:top w:val="single" w:sz="8" w:space="0" w:color="auto"/>
              <w:left w:val="single" w:sz="4" w:space="0" w:color="auto"/>
              <w:bottom w:val="nil"/>
              <w:right w:val="single" w:sz="8" w:space="0" w:color="auto"/>
            </w:tcBorders>
            <w:shd w:val="clear" w:color="auto" w:fill="auto"/>
            <w:noWrap/>
            <w:vAlign w:val="bottom"/>
            <w:hideMark/>
          </w:tcPr>
          <w:p w14:paraId="1684A0ED"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4" w:space="0" w:color="auto"/>
            </w:tcBorders>
            <w:shd w:val="clear" w:color="auto" w:fill="auto"/>
            <w:noWrap/>
            <w:vAlign w:val="bottom"/>
            <w:hideMark/>
          </w:tcPr>
          <w:p w14:paraId="791E563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1020" w:type="dxa"/>
            <w:tcBorders>
              <w:left w:val="single" w:sz="4" w:space="0" w:color="auto"/>
            </w:tcBorders>
            <w:shd w:val="clear" w:color="auto" w:fill="auto"/>
            <w:noWrap/>
            <w:vAlign w:val="bottom"/>
            <w:hideMark/>
          </w:tcPr>
          <w:p w14:paraId="1BDEB66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-0.75%</w:t>
            </w:r>
          </w:p>
        </w:tc>
        <w:tc>
          <w:tcPr>
            <w:tcW w:w="1020" w:type="dxa"/>
            <w:shd w:val="clear" w:color="000000" w:fill="FFC7CE"/>
            <w:noWrap/>
            <w:vAlign w:val="bottom"/>
            <w:hideMark/>
          </w:tcPr>
          <w:p w14:paraId="4A08644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3.99%</w:t>
            </w:r>
          </w:p>
        </w:tc>
        <w:tc>
          <w:tcPr>
            <w:tcW w:w="1020" w:type="dxa"/>
            <w:shd w:val="clear" w:color="000000" w:fill="FFC7CE"/>
            <w:noWrap/>
            <w:vAlign w:val="bottom"/>
            <w:hideMark/>
          </w:tcPr>
          <w:p w14:paraId="3EFB25D2"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3.40%</w:t>
            </w:r>
          </w:p>
        </w:tc>
        <w:tc>
          <w:tcPr>
            <w:tcW w:w="1020" w:type="dxa"/>
            <w:tcBorders>
              <w:top w:val="nil"/>
              <w:bottom w:val="nil"/>
              <w:right w:val="single" w:sz="4" w:space="0" w:color="auto"/>
            </w:tcBorders>
            <w:shd w:val="clear" w:color="auto" w:fill="auto"/>
            <w:noWrap/>
            <w:vAlign w:val="bottom"/>
            <w:hideMark/>
          </w:tcPr>
          <w:p w14:paraId="43E6CE11"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0.10%</w:t>
            </w:r>
          </w:p>
        </w:tc>
      </w:tr>
      <w:tr w:rsidR="00C921BC" w:rsidRPr="00C921BC" w14:paraId="11464289" w14:textId="77777777" w:rsidTr="00581F49">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22DA82D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33D990DA"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1020" w:type="dxa"/>
            <w:tcBorders>
              <w:left w:val="single" w:sz="4" w:space="0" w:color="auto"/>
            </w:tcBorders>
            <w:shd w:val="clear" w:color="auto" w:fill="auto"/>
            <w:noWrap/>
            <w:vAlign w:val="bottom"/>
            <w:hideMark/>
          </w:tcPr>
          <w:p w14:paraId="3C96B783"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-1.30%</w:t>
            </w:r>
          </w:p>
        </w:tc>
        <w:tc>
          <w:tcPr>
            <w:tcW w:w="1020" w:type="dxa"/>
            <w:shd w:val="clear" w:color="000000" w:fill="FFC7CE"/>
            <w:noWrap/>
            <w:vAlign w:val="bottom"/>
            <w:hideMark/>
          </w:tcPr>
          <w:p w14:paraId="7D0AFEE4"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5.78%</w:t>
            </w:r>
          </w:p>
        </w:tc>
        <w:tc>
          <w:tcPr>
            <w:tcW w:w="1020" w:type="dxa"/>
            <w:shd w:val="clear" w:color="000000" w:fill="FFC7CE"/>
            <w:noWrap/>
            <w:vAlign w:val="bottom"/>
            <w:hideMark/>
          </w:tcPr>
          <w:p w14:paraId="29E17D05"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5.30%</w:t>
            </w:r>
          </w:p>
        </w:tc>
        <w:tc>
          <w:tcPr>
            <w:tcW w:w="1020" w:type="dxa"/>
            <w:tcBorders>
              <w:top w:val="nil"/>
              <w:bottom w:val="nil"/>
              <w:right w:val="single" w:sz="4" w:space="0" w:color="auto"/>
            </w:tcBorders>
            <w:shd w:val="clear" w:color="auto" w:fill="auto"/>
            <w:noWrap/>
            <w:vAlign w:val="bottom"/>
            <w:hideMark/>
          </w:tcPr>
          <w:p w14:paraId="4A85FCF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-0.58%</w:t>
            </w:r>
          </w:p>
        </w:tc>
      </w:tr>
      <w:tr w:rsidR="00C921BC" w:rsidRPr="00C921BC" w14:paraId="6763F772" w14:textId="77777777" w:rsidTr="00581F49">
        <w:trPr>
          <w:trHeight w:val="255"/>
        </w:trPr>
        <w:tc>
          <w:tcPr>
            <w:tcW w:w="1000" w:type="dxa"/>
            <w:tcBorders>
              <w:top w:val="nil"/>
              <w:left w:val="single" w:sz="4" w:space="0" w:color="auto"/>
              <w:bottom w:val="single" w:sz="4" w:space="0" w:color="auto"/>
              <w:right w:val="single" w:sz="8" w:space="0" w:color="auto"/>
            </w:tcBorders>
            <w:shd w:val="clear" w:color="auto" w:fill="auto"/>
            <w:noWrap/>
            <w:vAlign w:val="bottom"/>
            <w:hideMark/>
          </w:tcPr>
          <w:p w14:paraId="4F733B17"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single" w:sz="4" w:space="0" w:color="auto"/>
              <w:right w:val="single" w:sz="4" w:space="0" w:color="auto"/>
            </w:tcBorders>
            <w:shd w:val="clear" w:color="auto" w:fill="auto"/>
            <w:noWrap/>
            <w:vAlign w:val="bottom"/>
            <w:hideMark/>
          </w:tcPr>
          <w:p w14:paraId="12AEB979"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1020" w:type="dxa"/>
            <w:tcBorders>
              <w:left w:val="single" w:sz="4" w:space="0" w:color="auto"/>
              <w:bottom w:val="single" w:sz="4" w:space="0" w:color="auto"/>
            </w:tcBorders>
            <w:shd w:val="clear" w:color="000000" w:fill="FFC7CE"/>
            <w:noWrap/>
            <w:vAlign w:val="bottom"/>
            <w:hideMark/>
          </w:tcPr>
          <w:p w14:paraId="540E21CF"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4.82%</w:t>
            </w:r>
          </w:p>
        </w:tc>
        <w:tc>
          <w:tcPr>
            <w:tcW w:w="1020" w:type="dxa"/>
            <w:tcBorders>
              <w:bottom w:val="single" w:sz="4" w:space="0" w:color="auto"/>
            </w:tcBorders>
            <w:shd w:val="clear" w:color="000000" w:fill="CCFFCC"/>
            <w:noWrap/>
            <w:vAlign w:val="bottom"/>
            <w:hideMark/>
          </w:tcPr>
          <w:p w14:paraId="3D33EDA6"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-5.45%</w:t>
            </w:r>
          </w:p>
        </w:tc>
        <w:tc>
          <w:tcPr>
            <w:tcW w:w="1020" w:type="dxa"/>
            <w:tcBorders>
              <w:bottom w:val="single" w:sz="4" w:space="0" w:color="auto"/>
            </w:tcBorders>
            <w:shd w:val="clear" w:color="000000" w:fill="CCFFCC"/>
            <w:noWrap/>
            <w:vAlign w:val="bottom"/>
            <w:hideMark/>
          </w:tcPr>
          <w:p w14:paraId="0C30BEEB"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-5.62%</w:t>
            </w:r>
          </w:p>
        </w:tc>
        <w:tc>
          <w:tcPr>
            <w:tcW w:w="1020" w:type="dxa"/>
            <w:tcBorders>
              <w:top w:val="nil"/>
              <w:bottom w:val="single" w:sz="4" w:space="0" w:color="auto"/>
              <w:right w:val="single" w:sz="4" w:space="0" w:color="auto"/>
            </w:tcBorders>
            <w:shd w:val="clear" w:color="auto" w:fill="auto"/>
            <w:noWrap/>
            <w:vAlign w:val="bottom"/>
            <w:hideMark/>
          </w:tcPr>
          <w:p w14:paraId="4518E708" w14:textId="77777777" w:rsidR="00C921BC" w:rsidRPr="00C921BC" w:rsidRDefault="00C921BC" w:rsidP="00C921B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-1.04%</w:t>
            </w:r>
          </w:p>
        </w:tc>
      </w:tr>
    </w:tbl>
    <w:p w14:paraId="3A7B0886" w14:textId="77777777" w:rsidR="00CA4626" w:rsidRDefault="00CA4626" w:rsidP="00CA4626">
      <w:pPr>
        <w:rPr>
          <w:szCs w:val="22"/>
          <w:lang w:val="en-CA"/>
        </w:rPr>
      </w:pPr>
    </w:p>
    <w:p w14:paraId="21DD1BAA" w14:textId="42D1C7C6" w:rsidR="00CA4626" w:rsidRDefault="00185312" w:rsidP="00CA4626">
      <w:pPr>
        <w:rPr>
          <w:szCs w:val="22"/>
          <w:lang w:val="en-CA"/>
        </w:rPr>
      </w:pPr>
      <w:r>
        <w:rPr>
          <w:szCs w:val="22"/>
          <w:lang w:val="en-CA"/>
        </w:rPr>
        <w:t>I</w:t>
      </w:r>
      <w:r w:rsidR="00CA4626">
        <w:rPr>
          <w:szCs w:val="22"/>
          <w:lang w:val="en-CA"/>
        </w:rPr>
        <w:t xml:space="preserve">t can also be seen </w:t>
      </w:r>
      <w:r>
        <w:rPr>
          <w:szCs w:val="22"/>
          <w:lang w:val="en-CA"/>
        </w:rPr>
        <w:t xml:space="preserve">in the 4-point table above </w:t>
      </w:r>
      <w:r w:rsidR="00CA4626">
        <w:rPr>
          <w:szCs w:val="22"/>
          <w:lang w:val="en-CA"/>
        </w:rPr>
        <w:t xml:space="preserve">that there </w:t>
      </w:r>
      <w:r>
        <w:rPr>
          <w:szCs w:val="22"/>
          <w:lang w:val="en-CA"/>
        </w:rPr>
        <w:t>are</w:t>
      </w:r>
      <w:r w:rsidR="00CA4626">
        <w:rPr>
          <w:szCs w:val="22"/>
          <w:lang w:val="en-CA"/>
        </w:rPr>
        <w:t xml:space="preserve"> disparit</w:t>
      </w:r>
      <w:r>
        <w:rPr>
          <w:szCs w:val="22"/>
          <w:lang w:val="en-CA"/>
        </w:rPr>
        <w:t>ies</w:t>
      </w:r>
      <w:r w:rsidR="00CA4626">
        <w:rPr>
          <w:szCs w:val="22"/>
          <w:lang w:val="en-CA"/>
        </w:rPr>
        <w:t xml:space="preserve"> in the figures calculated using cubic interpolation and piecewise cubic interpolation</w:t>
      </w:r>
      <w:r w:rsidR="003D7501">
        <w:rPr>
          <w:szCs w:val="22"/>
          <w:lang w:val="en-CA"/>
        </w:rPr>
        <w:t>;</w:t>
      </w:r>
      <w:r w:rsidR="00CA4626">
        <w:rPr>
          <w:szCs w:val="22"/>
          <w:lang w:val="en-CA"/>
        </w:rPr>
        <w:t xml:space="preserve"> this </w:t>
      </w:r>
      <w:r>
        <w:rPr>
          <w:szCs w:val="22"/>
          <w:lang w:val="en-CA"/>
        </w:rPr>
        <w:t xml:space="preserve">can </w:t>
      </w:r>
      <w:r w:rsidR="00CA4626">
        <w:rPr>
          <w:szCs w:val="22"/>
          <w:lang w:val="en-CA"/>
        </w:rPr>
        <w:t>provide some indication of the reliability of the 4-point BD rate calculation.</w:t>
      </w:r>
      <w:r w:rsidR="001F44D2">
        <w:rPr>
          <w:szCs w:val="22"/>
          <w:lang w:val="en-CA"/>
        </w:rPr>
        <w:t xml:space="preserve">  It is suggested that if the disparity is 10% then more points should be tested.</w:t>
      </w:r>
    </w:p>
    <w:p w14:paraId="2DC515F5" w14:textId="77777777" w:rsidR="00C921BC" w:rsidRDefault="00C921BC" w:rsidP="003C3A6F">
      <w:pPr>
        <w:rPr>
          <w:szCs w:val="22"/>
          <w:lang w:val="en-CA"/>
        </w:rPr>
      </w:pPr>
    </w:p>
    <w:p w14:paraId="6F23E74C" w14:textId="4F8E7634" w:rsidR="00C921BC" w:rsidRDefault="00C921BC" w:rsidP="003C3A6F">
      <w:pPr>
        <w:rPr>
          <w:szCs w:val="22"/>
          <w:lang w:val="en-CA"/>
        </w:rPr>
      </w:pPr>
      <w:r>
        <w:rPr>
          <w:szCs w:val="22"/>
          <w:lang w:val="en-CA"/>
        </w:rPr>
        <w:t xml:space="preserve">The plots for </w:t>
      </w:r>
      <w:proofErr w:type="spellStart"/>
      <w:r>
        <w:rPr>
          <w:szCs w:val="22"/>
          <w:lang w:val="en-CA"/>
        </w:rPr>
        <w:t>DaylightRoad</w:t>
      </w:r>
      <w:proofErr w:type="spellEnd"/>
      <w:r>
        <w:rPr>
          <w:szCs w:val="22"/>
          <w:lang w:val="en-CA"/>
        </w:rPr>
        <w:t xml:space="preserve"> help illustrate th</w:t>
      </w:r>
      <w:r w:rsidR="00185312">
        <w:rPr>
          <w:szCs w:val="22"/>
          <w:lang w:val="en-CA"/>
        </w:rPr>
        <w:t>e difference in the calculation using 4 points vs. 16 points.</w:t>
      </w:r>
    </w:p>
    <w:p w14:paraId="27599AA3" w14:textId="77777777" w:rsidR="00185312" w:rsidRDefault="00185312" w:rsidP="003C3A6F">
      <w:pPr>
        <w:rPr>
          <w:szCs w:val="22"/>
          <w:lang w:val="en-CA"/>
        </w:rPr>
      </w:pPr>
    </w:p>
    <w:p w14:paraId="338E1F5B" w14:textId="77777777" w:rsidR="00185312" w:rsidRDefault="00185312" w:rsidP="003C3A6F">
      <w:pPr>
        <w:rPr>
          <w:szCs w:val="22"/>
          <w:lang w:val="en-CA"/>
        </w:rPr>
      </w:pPr>
    </w:p>
    <w:p w14:paraId="497C93C6" w14:textId="77777777" w:rsidR="00A63CC8" w:rsidRDefault="00A63CC8" w:rsidP="003C3A6F">
      <w:pPr>
        <w:rPr>
          <w:szCs w:val="22"/>
          <w:lang w:val="en-CA"/>
        </w:rPr>
      </w:pPr>
    </w:p>
    <w:p w14:paraId="4F2B702A" w14:textId="507AD3E6" w:rsidR="004B08AD" w:rsidRDefault="004B08AD" w:rsidP="003C3A6F">
      <w:pPr>
        <w:rPr>
          <w:szCs w:val="22"/>
          <w:lang w:val="en-CA"/>
        </w:rPr>
      </w:pPr>
      <w:r>
        <w:rPr>
          <w:szCs w:val="22"/>
          <w:lang w:val="en-CA"/>
        </w:rPr>
        <w:lastRenderedPageBreak/>
        <w:t>Using 4 points (Y):</w:t>
      </w:r>
    </w:p>
    <w:p w14:paraId="4F6D4F1C" w14:textId="37AC31CD" w:rsidR="00C921BC" w:rsidRDefault="004B08AD" w:rsidP="003C3A6F">
      <w:pPr>
        <w:rPr>
          <w:szCs w:val="22"/>
          <w:lang w:val="en-CA"/>
        </w:rPr>
      </w:pPr>
      <w:r>
        <w:rPr>
          <w:noProof/>
          <w:lang w:val="en-GB" w:eastAsia="en-GB"/>
        </w:rPr>
        <w:drawing>
          <wp:inline distT="0" distB="0" distL="0" distR="0" wp14:anchorId="63FF6707" wp14:editId="74111A50">
            <wp:extent cx="5943600" cy="3925570"/>
            <wp:effectExtent l="0" t="0" r="0" b="17780"/>
            <wp:docPr id="28" name="Chart 28">
              <a:extLst xmlns:a="http://schemas.openxmlformats.org/drawingml/2006/main">
                <a:ext uri="{FF2B5EF4-FFF2-40B4-BE49-F238E27FC236}">
                  <a16:creationId xmlns:a16="http://schemas.microsoft.com/office/drawing/2014/main"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885CCDB" w14:textId="77777777" w:rsidR="00CA5085" w:rsidRDefault="00CA5085" w:rsidP="003C3A6F">
      <w:pPr>
        <w:rPr>
          <w:szCs w:val="22"/>
          <w:lang w:val="en-CA"/>
        </w:rPr>
      </w:pPr>
    </w:p>
    <w:p w14:paraId="131FF3D3" w14:textId="79E4E9D7" w:rsidR="004B08AD" w:rsidRDefault="004B08AD" w:rsidP="003C3A6F">
      <w:pPr>
        <w:rPr>
          <w:szCs w:val="22"/>
          <w:lang w:val="en-CA"/>
        </w:rPr>
      </w:pPr>
      <w:r>
        <w:rPr>
          <w:szCs w:val="22"/>
          <w:lang w:val="en-CA"/>
        </w:rPr>
        <w:t>Using 16 points (Y):</w:t>
      </w:r>
    </w:p>
    <w:p w14:paraId="4BD9B440" w14:textId="5D49F1ED" w:rsidR="004B08AD" w:rsidRDefault="004B08AD" w:rsidP="003C3A6F">
      <w:pPr>
        <w:rPr>
          <w:szCs w:val="22"/>
          <w:lang w:val="en-CA"/>
        </w:rPr>
      </w:pPr>
      <w:r>
        <w:rPr>
          <w:noProof/>
          <w:lang w:val="en-GB" w:eastAsia="en-GB"/>
        </w:rPr>
        <w:drawing>
          <wp:inline distT="0" distB="0" distL="0" distR="0" wp14:anchorId="78D3030F" wp14:editId="4BD4DE3D">
            <wp:extent cx="5943600" cy="3940810"/>
            <wp:effectExtent l="0" t="0" r="0" b="2540"/>
            <wp:docPr id="30" name="Chart 30">
              <a:extLst xmlns:a="http://schemas.openxmlformats.org/drawingml/2006/main">
                <a:ext uri="{FF2B5EF4-FFF2-40B4-BE49-F238E27FC236}">
                  <a16:creationId xmlns:a16="http://schemas.microsoft.com/office/drawing/2014/main" id="{00000000-0008-0000-0100-000072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DEBE134" w14:textId="77777777" w:rsidR="004B08AD" w:rsidRDefault="004B08AD" w:rsidP="003C3A6F">
      <w:pPr>
        <w:rPr>
          <w:szCs w:val="22"/>
          <w:lang w:val="en-CA"/>
        </w:rPr>
      </w:pPr>
    </w:p>
    <w:p w14:paraId="3D2B6AB9" w14:textId="354F3850" w:rsidR="004B08AD" w:rsidRDefault="004B08AD" w:rsidP="003C3A6F">
      <w:pPr>
        <w:rPr>
          <w:szCs w:val="22"/>
          <w:lang w:val="en-CA"/>
        </w:rPr>
      </w:pPr>
      <w:r>
        <w:rPr>
          <w:szCs w:val="22"/>
          <w:lang w:val="en-CA"/>
        </w:rPr>
        <w:lastRenderedPageBreak/>
        <w:t>It can be seen that LMCS has the effect of broadening the range of bit-rate</w:t>
      </w:r>
      <w:r w:rsidR="00C20271">
        <w:rPr>
          <w:szCs w:val="22"/>
          <w:lang w:val="en-CA"/>
        </w:rPr>
        <w:t>s for the QP range,</w:t>
      </w:r>
      <w:r>
        <w:rPr>
          <w:szCs w:val="22"/>
          <w:lang w:val="en-CA"/>
        </w:rPr>
        <w:t xml:space="preserve"> which causes the points in the plot to </w:t>
      </w:r>
      <w:r w:rsidR="00C20271">
        <w:rPr>
          <w:szCs w:val="22"/>
          <w:lang w:val="en-CA"/>
        </w:rPr>
        <w:t>be less aligned;</w:t>
      </w:r>
      <w:r>
        <w:rPr>
          <w:szCs w:val="22"/>
          <w:lang w:val="en-CA"/>
        </w:rPr>
        <w:t xml:space="preserve"> </w:t>
      </w:r>
      <w:proofErr w:type="gramStart"/>
      <w:r>
        <w:rPr>
          <w:szCs w:val="22"/>
          <w:lang w:val="en-CA"/>
        </w:rPr>
        <w:t>indeed</w:t>
      </w:r>
      <w:proofErr w:type="gramEnd"/>
      <w:r>
        <w:rPr>
          <w:szCs w:val="22"/>
          <w:lang w:val="en-CA"/>
        </w:rPr>
        <w:t xml:space="preserve"> at the higher QPs there is almost a shift of one QP (e.g. QP37 </w:t>
      </w:r>
      <w:r w:rsidRPr="004B08AD">
        <w:rPr>
          <w:szCs w:val="22"/>
          <w:lang w:val="en-CA"/>
        </w:rPr>
        <w:sym w:font="Wingdings" w:char="F0E0"/>
      </w:r>
      <w:r>
        <w:rPr>
          <w:szCs w:val="22"/>
          <w:lang w:val="en-CA"/>
        </w:rPr>
        <w:t xml:space="preserve"> QP36).</w:t>
      </w:r>
    </w:p>
    <w:p w14:paraId="272E0ECA" w14:textId="77777777" w:rsidR="004B08AD" w:rsidRDefault="004B08AD" w:rsidP="003C3A6F">
      <w:pPr>
        <w:rPr>
          <w:szCs w:val="22"/>
          <w:lang w:val="en-CA"/>
        </w:rPr>
      </w:pPr>
    </w:p>
    <w:p w14:paraId="1224080F" w14:textId="4560B7B6" w:rsidR="004B08AD" w:rsidRDefault="004B08AD" w:rsidP="003C3A6F">
      <w:pPr>
        <w:rPr>
          <w:szCs w:val="22"/>
          <w:lang w:val="en-CA"/>
        </w:rPr>
      </w:pPr>
      <w:r>
        <w:rPr>
          <w:szCs w:val="22"/>
          <w:lang w:val="en-CA"/>
        </w:rPr>
        <w:t>Inaccuracy in interpolation is evident in the chroma plots.</w:t>
      </w:r>
    </w:p>
    <w:p w14:paraId="1200D7BA" w14:textId="77777777" w:rsidR="004B08AD" w:rsidRDefault="004B08AD" w:rsidP="003C3A6F">
      <w:pPr>
        <w:rPr>
          <w:szCs w:val="22"/>
          <w:lang w:val="en-CA"/>
        </w:rPr>
      </w:pPr>
    </w:p>
    <w:p w14:paraId="2A74A35A" w14:textId="68D5C118" w:rsidR="004B08AD" w:rsidRDefault="004B08AD" w:rsidP="003C3A6F">
      <w:pPr>
        <w:rPr>
          <w:szCs w:val="22"/>
          <w:lang w:val="en-CA"/>
        </w:rPr>
      </w:pPr>
      <w:r>
        <w:rPr>
          <w:szCs w:val="22"/>
          <w:lang w:val="en-CA"/>
        </w:rPr>
        <w:t>Using 4 points (U):</w:t>
      </w:r>
    </w:p>
    <w:p w14:paraId="66626BFD" w14:textId="70F845C7" w:rsidR="004B08AD" w:rsidRDefault="004B08AD" w:rsidP="003C3A6F">
      <w:pPr>
        <w:rPr>
          <w:szCs w:val="22"/>
          <w:lang w:val="en-CA"/>
        </w:rPr>
      </w:pPr>
      <w:r>
        <w:rPr>
          <w:noProof/>
          <w:lang w:val="en-GB" w:eastAsia="en-GB"/>
        </w:rPr>
        <w:drawing>
          <wp:inline distT="0" distB="0" distL="0" distR="0" wp14:anchorId="7F99C944" wp14:editId="346BB8CF">
            <wp:extent cx="5943600" cy="3945255"/>
            <wp:effectExtent l="0" t="0" r="0" b="17145"/>
            <wp:docPr id="32" name="Chart 32">
              <a:extLst xmlns:a="http://schemas.openxmlformats.org/drawingml/2006/main">
                <a:ext uri="{FF2B5EF4-FFF2-40B4-BE49-F238E27FC236}">
                  <a16:creationId xmlns:a16="http://schemas.microsoft.com/office/drawing/2014/main" id="{00000000-0008-0000-0100-000073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B5D9D0B" w14:textId="77777777" w:rsidR="004B08AD" w:rsidRDefault="004B08AD" w:rsidP="003C3A6F">
      <w:pPr>
        <w:rPr>
          <w:szCs w:val="22"/>
          <w:lang w:val="en-CA"/>
        </w:rPr>
      </w:pPr>
    </w:p>
    <w:p w14:paraId="015E9B59" w14:textId="77777777" w:rsidR="004B08AD" w:rsidRDefault="004B08AD" w:rsidP="003C3A6F">
      <w:pPr>
        <w:rPr>
          <w:szCs w:val="22"/>
          <w:lang w:val="en-CA"/>
        </w:rPr>
      </w:pPr>
    </w:p>
    <w:p w14:paraId="07D24941" w14:textId="77777777" w:rsidR="004B08AD" w:rsidRDefault="004B08AD" w:rsidP="003C3A6F">
      <w:pPr>
        <w:rPr>
          <w:szCs w:val="22"/>
          <w:lang w:val="en-CA"/>
        </w:rPr>
      </w:pPr>
      <w:r>
        <w:rPr>
          <w:szCs w:val="22"/>
          <w:lang w:val="en-CA"/>
        </w:rPr>
        <w:t>Using 16 points (U):</w:t>
      </w:r>
    </w:p>
    <w:p w14:paraId="5FB3E5A2" w14:textId="29510A06" w:rsidR="004B08AD" w:rsidRDefault="004B08AD" w:rsidP="003C3A6F">
      <w:pPr>
        <w:rPr>
          <w:szCs w:val="22"/>
          <w:lang w:val="en-CA"/>
        </w:rPr>
      </w:pPr>
      <w:r>
        <w:rPr>
          <w:noProof/>
          <w:lang w:val="en-GB" w:eastAsia="en-GB"/>
        </w:rPr>
        <w:lastRenderedPageBreak/>
        <w:drawing>
          <wp:inline distT="0" distB="0" distL="0" distR="0" wp14:anchorId="25CAE78D" wp14:editId="680E2CD1">
            <wp:extent cx="5943600" cy="3959225"/>
            <wp:effectExtent l="0" t="0" r="0" b="3175"/>
            <wp:docPr id="33" name="Chart 33">
              <a:extLst xmlns:a="http://schemas.openxmlformats.org/drawingml/2006/main">
                <a:ext uri="{FF2B5EF4-FFF2-40B4-BE49-F238E27FC236}">
                  <a16:creationId xmlns:a16="http://schemas.microsoft.com/office/drawing/2014/main" id="{00000000-0008-0000-0100-000073343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AD1C824" w14:textId="77777777" w:rsidR="004B08AD" w:rsidRDefault="004B08AD" w:rsidP="003C3A6F">
      <w:pPr>
        <w:rPr>
          <w:szCs w:val="22"/>
          <w:lang w:val="en-CA"/>
        </w:rPr>
      </w:pPr>
    </w:p>
    <w:p w14:paraId="6CF7F5E6" w14:textId="53F5A13C" w:rsidR="004B08AD" w:rsidRDefault="004B08AD" w:rsidP="003C3A6F">
      <w:pPr>
        <w:rPr>
          <w:szCs w:val="22"/>
          <w:lang w:val="en-CA"/>
        </w:rPr>
      </w:pPr>
      <w:r>
        <w:rPr>
          <w:szCs w:val="22"/>
          <w:lang w:val="en-CA"/>
        </w:rPr>
        <w:t xml:space="preserve">This has the effect of reporting a chroma loss instead of a chroma gain.  It can also be seen that the plot is non-monotonic around QP34 to QP33 and in some cases it was necessary to </w:t>
      </w:r>
      <w:r w:rsidR="00C20271">
        <w:rPr>
          <w:szCs w:val="22"/>
          <w:lang w:val="en-CA"/>
        </w:rPr>
        <w:t>modify (</w:t>
      </w:r>
      <w:r>
        <w:rPr>
          <w:szCs w:val="22"/>
          <w:lang w:val="en-CA"/>
        </w:rPr>
        <w:t>swap</w:t>
      </w:r>
      <w:r w:rsidR="00C20271">
        <w:rPr>
          <w:szCs w:val="22"/>
          <w:lang w:val="en-CA"/>
        </w:rPr>
        <w:t xml:space="preserve"> over)</w:t>
      </w:r>
      <w:r>
        <w:rPr>
          <w:szCs w:val="22"/>
          <w:lang w:val="en-CA"/>
        </w:rPr>
        <w:t xml:space="preserve"> these values for the BD-rate calculation to</w:t>
      </w:r>
      <w:r w:rsidR="00F906AB">
        <w:rPr>
          <w:szCs w:val="22"/>
          <w:lang w:val="en-CA"/>
        </w:rPr>
        <w:t xml:space="preserve"> work (highlighted in yellow in the accompanying spreadsheet), this illustrates one risk in using so many points.</w:t>
      </w:r>
      <w:r w:rsidR="00135CD9">
        <w:rPr>
          <w:szCs w:val="22"/>
          <w:lang w:val="en-CA"/>
        </w:rPr>
        <w:t xml:space="preserve">  At lower QPs the curve becomes more linear</w:t>
      </w:r>
      <w:r w:rsidR="00C20271">
        <w:rPr>
          <w:szCs w:val="22"/>
          <w:lang w:val="en-CA"/>
        </w:rPr>
        <w:t>, as expected</w:t>
      </w:r>
      <w:r w:rsidR="00135CD9">
        <w:rPr>
          <w:szCs w:val="22"/>
          <w:lang w:val="en-CA"/>
        </w:rPr>
        <w:t>.</w:t>
      </w:r>
    </w:p>
    <w:p w14:paraId="0ED527B7" w14:textId="77777777" w:rsidR="00176435" w:rsidRDefault="00176435" w:rsidP="003C3A6F">
      <w:pPr>
        <w:rPr>
          <w:szCs w:val="22"/>
          <w:lang w:val="en-CA"/>
        </w:rPr>
      </w:pPr>
    </w:p>
    <w:p w14:paraId="3F302088" w14:textId="41CE8377" w:rsidR="00135CD9" w:rsidRDefault="00135CD9" w:rsidP="00135CD9">
      <w:pPr>
        <w:pStyle w:val="Heading2"/>
        <w:rPr>
          <w:lang w:val="en-CA"/>
        </w:rPr>
      </w:pPr>
      <w:r>
        <w:rPr>
          <w:lang w:val="en-CA"/>
        </w:rPr>
        <w:t>Use of Combined YUV PSNR</w:t>
      </w:r>
    </w:p>
    <w:p w14:paraId="345CDBD9" w14:textId="31DC0C47" w:rsidR="00135CD9" w:rsidRDefault="00227017" w:rsidP="003C3A6F">
      <w:pPr>
        <w:rPr>
          <w:szCs w:val="22"/>
          <w:lang w:val="en-CA"/>
        </w:rPr>
      </w:pPr>
      <w:r>
        <w:rPr>
          <w:szCs w:val="22"/>
          <w:lang w:val="en-CA"/>
        </w:rPr>
        <w:t>It has been proposed in [2] that combined YUV BD rate numbers should be used and these are shown again below for the 16-point tool-off test:</w:t>
      </w:r>
    </w:p>
    <w:p w14:paraId="7D549B70" w14:textId="77777777" w:rsidR="00227017" w:rsidRDefault="00227017" w:rsidP="003C3A6F">
      <w:pPr>
        <w:rPr>
          <w:szCs w:val="22"/>
          <w:lang w:val="en-CA"/>
        </w:rPr>
      </w:pPr>
    </w:p>
    <w:tbl>
      <w:tblPr>
        <w:tblW w:w="6764" w:type="dxa"/>
        <w:tblLook w:val="04A0" w:firstRow="1" w:lastRow="0" w:firstColumn="1" w:lastColumn="0" w:noHBand="0" w:noVBand="1"/>
      </w:tblPr>
      <w:tblGrid>
        <w:gridCol w:w="1640"/>
        <w:gridCol w:w="1182"/>
        <w:gridCol w:w="1314"/>
        <w:gridCol w:w="1314"/>
        <w:gridCol w:w="1314"/>
      </w:tblGrid>
      <w:tr w:rsidR="00227017" w:rsidRPr="00227017" w14:paraId="06FBAB15" w14:textId="77777777" w:rsidTr="0038584B">
        <w:trPr>
          <w:trHeight w:val="255"/>
        </w:trPr>
        <w:tc>
          <w:tcPr>
            <w:tcW w:w="1640" w:type="dxa"/>
            <w:tcBorders>
              <w:top w:val="nil"/>
              <w:left w:val="nil"/>
              <w:bottom w:val="nil"/>
              <w:right w:val="single" w:sz="4" w:space="0" w:color="auto"/>
            </w:tcBorders>
            <w:shd w:val="clear" w:color="auto" w:fill="auto"/>
            <w:noWrap/>
            <w:vAlign w:val="center"/>
            <w:hideMark/>
          </w:tcPr>
          <w:p w14:paraId="3163E403"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5124" w:type="dxa"/>
            <w:gridSpan w:val="4"/>
            <w:tcBorders>
              <w:top w:val="single" w:sz="4" w:space="0" w:color="auto"/>
              <w:left w:val="single" w:sz="4" w:space="0" w:color="auto"/>
              <w:bottom w:val="nil"/>
              <w:right w:val="single" w:sz="4" w:space="0" w:color="auto"/>
            </w:tcBorders>
            <w:shd w:val="clear" w:color="auto" w:fill="auto"/>
            <w:noWrap/>
            <w:vAlign w:val="center"/>
            <w:hideMark/>
          </w:tcPr>
          <w:p w14:paraId="602F05BA" w14:textId="1162E590" w:rsidR="00227017" w:rsidRPr="00227017" w:rsidRDefault="00227017" w:rsidP="00AE7CF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7017">
              <w:rPr>
                <w:rFonts w:ascii="Arial" w:hAnsi="Arial" w:cs="Arial"/>
                <w:b/>
                <w:bCs/>
                <w:color w:val="000000"/>
                <w:sz w:val="18"/>
                <w:szCs w:val="18"/>
                <w:lang w:val="en-GB" w:eastAsia="en-GB"/>
              </w:rPr>
              <w:t>Over VTM6.1</w:t>
            </w:r>
          </w:p>
        </w:tc>
      </w:tr>
      <w:tr w:rsidR="00227017" w:rsidRPr="00227017" w14:paraId="6F1C48DC" w14:textId="77777777" w:rsidTr="0038584B">
        <w:trPr>
          <w:trHeight w:val="255"/>
        </w:trPr>
        <w:tc>
          <w:tcPr>
            <w:tcW w:w="1640" w:type="dxa"/>
            <w:tcBorders>
              <w:top w:val="nil"/>
              <w:left w:val="nil"/>
              <w:bottom w:val="nil"/>
              <w:right w:val="single" w:sz="4" w:space="0" w:color="auto"/>
            </w:tcBorders>
            <w:shd w:val="clear" w:color="auto" w:fill="auto"/>
            <w:noWrap/>
            <w:vAlign w:val="center"/>
            <w:hideMark/>
          </w:tcPr>
          <w:p w14:paraId="7FDEF76D"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p>
        </w:tc>
        <w:tc>
          <w:tcPr>
            <w:tcW w:w="1182" w:type="dxa"/>
            <w:tcBorders>
              <w:top w:val="nil"/>
              <w:left w:val="single" w:sz="4" w:space="0" w:color="auto"/>
              <w:bottom w:val="single" w:sz="8" w:space="0" w:color="auto"/>
              <w:right w:val="nil"/>
            </w:tcBorders>
            <w:shd w:val="clear" w:color="auto" w:fill="auto"/>
            <w:noWrap/>
            <w:vAlign w:val="center"/>
            <w:hideMark/>
          </w:tcPr>
          <w:p w14:paraId="27C716A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Y</w:t>
            </w:r>
          </w:p>
        </w:tc>
        <w:tc>
          <w:tcPr>
            <w:tcW w:w="1314" w:type="dxa"/>
            <w:tcBorders>
              <w:top w:val="nil"/>
              <w:left w:val="nil"/>
              <w:bottom w:val="single" w:sz="8" w:space="0" w:color="auto"/>
              <w:right w:val="nil"/>
            </w:tcBorders>
            <w:shd w:val="clear" w:color="auto" w:fill="auto"/>
            <w:noWrap/>
            <w:vAlign w:val="center"/>
            <w:hideMark/>
          </w:tcPr>
          <w:p w14:paraId="1BBC902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U</w:t>
            </w:r>
          </w:p>
        </w:tc>
        <w:tc>
          <w:tcPr>
            <w:tcW w:w="1314" w:type="dxa"/>
            <w:tcBorders>
              <w:top w:val="nil"/>
              <w:left w:val="nil"/>
              <w:bottom w:val="single" w:sz="8" w:space="0" w:color="auto"/>
              <w:right w:val="single" w:sz="4" w:space="0" w:color="auto"/>
            </w:tcBorders>
            <w:shd w:val="clear" w:color="auto" w:fill="auto"/>
            <w:noWrap/>
            <w:vAlign w:val="center"/>
            <w:hideMark/>
          </w:tcPr>
          <w:p w14:paraId="2BF23A2D"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V</w:t>
            </w:r>
          </w:p>
        </w:tc>
        <w:tc>
          <w:tcPr>
            <w:tcW w:w="1314" w:type="dxa"/>
            <w:tcBorders>
              <w:top w:val="nil"/>
              <w:left w:val="nil"/>
              <w:bottom w:val="single" w:sz="8" w:space="0" w:color="auto"/>
              <w:right w:val="single" w:sz="4" w:space="0" w:color="auto"/>
            </w:tcBorders>
            <w:shd w:val="clear" w:color="auto" w:fill="auto"/>
            <w:noWrap/>
            <w:vAlign w:val="center"/>
            <w:hideMark/>
          </w:tcPr>
          <w:p w14:paraId="06AE915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YUV</w:t>
            </w:r>
          </w:p>
        </w:tc>
      </w:tr>
      <w:tr w:rsidR="00227017" w:rsidRPr="00227017" w14:paraId="0CF1C357"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2B240B4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A1</w:t>
            </w:r>
          </w:p>
        </w:tc>
        <w:tc>
          <w:tcPr>
            <w:tcW w:w="1182" w:type="dxa"/>
            <w:tcBorders>
              <w:top w:val="nil"/>
              <w:left w:val="single" w:sz="4" w:space="0" w:color="auto"/>
              <w:bottom w:val="nil"/>
              <w:right w:val="nil"/>
            </w:tcBorders>
            <w:shd w:val="clear" w:color="auto" w:fill="auto"/>
            <w:noWrap/>
            <w:vAlign w:val="center"/>
            <w:hideMark/>
          </w:tcPr>
          <w:p w14:paraId="20D2215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1.11%</w:t>
            </w:r>
          </w:p>
        </w:tc>
        <w:tc>
          <w:tcPr>
            <w:tcW w:w="1314" w:type="dxa"/>
            <w:tcBorders>
              <w:top w:val="nil"/>
              <w:left w:val="nil"/>
              <w:bottom w:val="nil"/>
              <w:right w:val="nil"/>
            </w:tcBorders>
            <w:shd w:val="clear" w:color="auto" w:fill="auto"/>
            <w:noWrap/>
            <w:vAlign w:val="center"/>
            <w:hideMark/>
          </w:tcPr>
          <w:p w14:paraId="3855484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1.33%</w:t>
            </w:r>
          </w:p>
        </w:tc>
        <w:tc>
          <w:tcPr>
            <w:tcW w:w="1314" w:type="dxa"/>
            <w:tcBorders>
              <w:top w:val="single" w:sz="8" w:space="0" w:color="auto"/>
              <w:left w:val="nil"/>
              <w:bottom w:val="nil"/>
              <w:right w:val="single" w:sz="4" w:space="0" w:color="auto"/>
            </w:tcBorders>
            <w:shd w:val="clear" w:color="000000" w:fill="FFC7CE"/>
            <w:noWrap/>
            <w:vAlign w:val="center"/>
            <w:hideMark/>
          </w:tcPr>
          <w:p w14:paraId="3AC22DB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227017">
              <w:rPr>
                <w:rFonts w:ascii="Arial" w:hAnsi="Arial" w:cs="Arial"/>
                <w:sz w:val="18"/>
                <w:szCs w:val="18"/>
                <w:lang w:val="en-GB" w:eastAsia="en-GB"/>
              </w:rPr>
              <w:t>3.56%</w:t>
            </w:r>
          </w:p>
        </w:tc>
        <w:tc>
          <w:tcPr>
            <w:tcW w:w="1314" w:type="dxa"/>
            <w:tcBorders>
              <w:top w:val="nil"/>
              <w:left w:val="nil"/>
              <w:bottom w:val="nil"/>
              <w:right w:val="single" w:sz="4" w:space="0" w:color="auto"/>
            </w:tcBorders>
            <w:shd w:val="clear" w:color="auto" w:fill="auto"/>
            <w:noWrap/>
            <w:vAlign w:val="center"/>
            <w:hideMark/>
          </w:tcPr>
          <w:p w14:paraId="4661D87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-0.09%</w:t>
            </w:r>
          </w:p>
        </w:tc>
      </w:tr>
      <w:tr w:rsidR="00227017" w:rsidRPr="00227017" w14:paraId="5088708C"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31DFA79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A2</w:t>
            </w:r>
          </w:p>
        </w:tc>
        <w:tc>
          <w:tcPr>
            <w:tcW w:w="1182" w:type="dxa"/>
            <w:tcBorders>
              <w:top w:val="nil"/>
              <w:left w:val="single" w:sz="4" w:space="0" w:color="auto"/>
              <w:bottom w:val="nil"/>
              <w:right w:val="nil"/>
            </w:tcBorders>
            <w:shd w:val="clear" w:color="auto" w:fill="auto"/>
            <w:noWrap/>
            <w:vAlign w:val="center"/>
            <w:hideMark/>
          </w:tcPr>
          <w:p w14:paraId="6C2C19A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0.92%</w:t>
            </w:r>
          </w:p>
        </w:tc>
        <w:tc>
          <w:tcPr>
            <w:tcW w:w="1314" w:type="dxa"/>
            <w:tcBorders>
              <w:top w:val="nil"/>
              <w:left w:val="nil"/>
              <w:bottom w:val="nil"/>
              <w:right w:val="nil"/>
            </w:tcBorders>
            <w:shd w:val="clear" w:color="auto" w:fill="auto"/>
            <w:noWrap/>
            <w:vAlign w:val="center"/>
            <w:hideMark/>
          </w:tcPr>
          <w:p w14:paraId="72E1DDE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1.44%</w:t>
            </w:r>
          </w:p>
        </w:tc>
        <w:tc>
          <w:tcPr>
            <w:tcW w:w="1314" w:type="dxa"/>
            <w:tcBorders>
              <w:top w:val="nil"/>
              <w:left w:val="nil"/>
              <w:bottom w:val="nil"/>
              <w:right w:val="single" w:sz="4" w:space="0" w:color="auto"/>
            </w:tcBorders>
            <w:shd w:val="clear" w:color="auto" w:fill="auto"/>
            <w:noWrap/>
            <w:vAlign w:val="center"/>
            <w:hideMark/>
          </w:tcPr>
          <w:p w14:paraId="5E0BFCC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1.03%</w:t>
            </w:r>
          </w:p>
        </w:tc>
        <w:tc>
          <w:tcPr>
            <w:tcW w:w="1314" w:type="dxa"/>
            <w:tcBorders>
              <w:top w:val="nil"/>
              <w:left w:val="nil"/>
              <w:bottom w:val="nil"/>
              <w:right w:val="single" w:sz="4" w:space="0" w:color="auto"/>
            </w:tcBorders>
            <w:shd w:val="clear" w:color="auto" w:fill="auto"/>
            <w:noWrap/>
            <w:vAlign w:val="center"/>
            <w:hideMark/>
          </w:tcPr>
          <w:p w14:paraId="0CEE42B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-0.51%</w:t>
            </w:r>
          </w:p>
        </w:tc>
      </w:tr>
      <w:tr w:rsidR="00227017" w:rsidRPr="00227017" w14:paraId="4D18D0CA"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1D5295B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B</w:t>
            </w:r>
          </w:p>
        </w:tc>
        <w:tc>
          <w:tcPr>
            <w:tcW w:w="1182" w:type="dxa"/>
            <w:tcBorders>
              <w:top w:val="nil"/>
              <w:left w:val="single" w:sz="4" w:space="0" w:color="auto"/>
              <w:bottom w:val="nil"/>
              <w:right w:val="nil"/>
            </w:tcBorders>
            <w:shd w:val="clear" w:color="auto" w:fill="auto"/>
            <w:noWrap/>
            <w:vAlign w:val="center"/>
            <w:hideMark/>
          </w:tcPr>
          <w:p w14:paraId="04461B59"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0.52%</w:t>
            </w:r>
          </w:p>
        </w:tc>
        <w:tc>
          <w:tcPr>
            <w:tcW w:w="1314" w:type="dxa"/>
            <w:tcBorders>
              <w:top w:val="nil"/>
              <w:left w:val="nil"/>
              <w:bottom w:val="nil"/>
              <w:right w:val="nil"/>
            </w:tcBorders>
            <w:shd w:val="clear" w:color="auto" w:fill="auto"/>
            <w:noWrap/>
            <w:vAlign w:val="center"/>
            <w:hideMark/>
          </w:tcPr>
          <w:p w14:paraId="1093C99A"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-0.08%</w:t>
            </w:r>
          </w:p>
        </w:tc>
        <w:tc>
          <w:tcPr>
            <w:tcW w:w="1314" w:type="dxa"/>
            <w:tcBorders>
              <w:top w:val="nil"/>
              <w:left w:val="nil"/>
              <w:bottom w:val="nil"/>
              <w:right w:val="single" w:sz="4" w:space="0" w:color="auto"/>
            </w:tcBorders>
            <w:shd w:val="clear" w:color="auto" w:fill="auto"/>
            <w:noWrap/>
            <w:vAlign w:val="center"/>
            <w:hideMark/>
          </w:tcPr>
          <w:p w14:paraId="10A9C92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0.21%</w:t>
            </w:r>
          </w:p>
        </w:tc>
        <w:tc>
          <w:tcPr>
            <w:tcW w:w="1314" w:type="dxa"/>
            <w:tcBorders>
              <w:top w:val="nil"/>
              <w:left w:val="nil"/>
              <w:bottom w:val="nil"/>
              <w:right w:val="single" w:sz="4" w:space="0" w:color="auto"/>
            </w:tcBorders>
            <w:shd w:val="clear" w:color="auto" w:fill="auto"/>
            <w:noWrap/>
            <w:vAlign w:val="center"/>
            <w:hideMark/>
          </w:tcPr>
          <w:p w14:paraId="5C95A298"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-0.33%</w:t>
            </w:r>
          </w:p>
        </w:tc>
      </w:tr>
      <w:tr w:rsidR="00227017" w:rsidRPr="00227017" w14:paraId="369F5ADD"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4C0EA2A2"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C</w:t>
            </w:r>
          </w:p>
        </w:tc>
        <w:tc>
          <w:tcPr>
            <w:tcW w:w="1182" w:type="dxa"/>
            <w:tcBorders>
              <w:top w:val="nil"/>
              <w:left w:val="single" w:sz="4" w:space="0" w:color="auto"/>
              <w:bottom w:val="nil"/>
              <w:right w:val="nil"/>
            </w:tcBorders>
            <w:shd w:val="clear" w:color="auto" w:fill="auto"/>
            <w:noWrap/>
            <w:vAlign w:val="center"/>
            <w:hideMark/>
          </w:tcPr>
          <w:p w14:paraId="6882051A"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0.29%</w:t>
            </w:r>
          </w:p>
        </w:tc>
        <w:tc>
          <w:tcPr>
            <w:tcW w:w="1314" w:type="dxa"/>
            <w:tcBorders>
              <w:top w:val="nil"/>
              <w:left w:val="nil"/>
              <w:bottom w:val="nil"/>
              <w:right w:val="nil"/>
            </w:tcBorders>
            <w:shd w:val="clear" w:color="auto" w:fill="auto"/>
            <w:noWrap/>
            <w:vAlign w:val="center"/>
            <w:hideMark/>
          </w:tcPr>
          <w:p w14:paraId="5F0AB7F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-2.27%</w:t>
            </w:r>
          </w:p>
        </w:tc>
        <w:tc>
          <w:tcPr>
            <w:tcW w:w="1314" w:type="dxa"/>
            <w:tcBorders>
              <w:top w:val="nil"/>
              <w:left w:val="nil"/>
              <w:bottom w:val="nil"/>
              <w:right w:val="single" w:sz="4" w:space="0" w:color="auto"/>
            </w:tcBorders>
            <w:shd w:val="clear" w:color="auto" w:fill="auto"/>
            <w:noWrap/>
            <w:vAlign w:val="center"/>
            <w:hideMark/>
          </w:tcPr>
          <w:p w14:paraId="39418DA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-2.38%</w:t>
            </w:r>
          </w:p>
        </w:tc>
        <w:tc>
          <w:tcPr>
            <w:tcW w:w="1314" w:type="dxa"/>
            <w:tcBorders>
              <w:top w:val="nil"/>
              <w:left w:val="nil"/>
              <w:bottom w:val="nil"/>
              <w:right w:val="single" w:sz="4" w:space="0" w:color="auto"/>
            </w:tcBorders>
            <w:shd w:val="clear" w:color="auto" w:fill="auto"/>
            <w:noWrap/>
            <w:vAlign w:val="center"/>
            <w:hideMark/>
          </w:tcPr>
          <w:p w14:paraId="22E3F53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-0.21%</w:t>
            </w:r>
          </w:p>
        </w:tc>
      </w:tr>
      <w:tr w:rsidR="00227017" w:rsidRPr="00227017" w14:paraId="0DC40376"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1A6DA90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E</w:t>
            </w:r>
          </w:p>
        </w:tc>
        <w:tc>
          <w:tcPr>
            <w:tcW w:w="1182" w:type="dxa"/>
            <w:tcBorders>
              <w:top w:val="nil"/>
              <w:left w:val="single" w:sz="4" w:space="0" w:color="auto"/>
              <w:bottom w:val="nil"/>
              <w:right w:val="nil"/>
            </w:tcBorders>
            <w:shd w:val="clear" w:color="auto" w:fill="auto"/>
            <w:noWrap/>
            <w:vAlign w:val="center"/>
            <w:hideMark/>
          </w:tcPr>
          <w:p w14:paraId="7BF9413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0.06%</w:t>
            </w:r>
          </w:p>
        </w:tc>
        <w:tc>
          <w:tcPr>
            <w:tcW w:w="1314" w:type="dxa"/>
            <w:tcBorders>
              <w:top w:val="nil"/>
              <w:left w:val="nil"/>
              <w:bottom w:val="nil"/>
              <w:right w:val="nil"/>
            </w:tcBorders>
            <w:shd w:val="clear" w:color="auto" w:fill="auto"/>
            <w:noWrap/>
            <w:vAlign w:val="center"/>
            <w:hideMark/>
          </w:tcPr>
          <w:p w14:paraId="24488BA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-3.14%</w:t>
            </w:r>
          </w:p>
        </w:tc>
        <w:tc>
          <w:tcPr>
            <w:tcW w:w="1314" w:type="dxa"/>
            <w:tcBorders>
              <w:top w:val="nil"/>
              <w:left w:val="nil"/>
              <w:bottom w:val="nil"/>
              <w:right w:val="single" w:sz="4" w:space="0" w:color="auto"/>
            </w:tcBorders>
            <w:shd w:val="clear" w:color="auto" w:fill="auto"/>
            <w:noWrap/>
            <w:vAlign w:val="center"/>
            <w:hideMark/>
          </w:tcPr>
          <w:p w14:paraId="0E21DB5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-3.01%</w:t>
            </w:r>
          </w:p>
        </w:tc>
        <w:tc>
          <w:tcPr>
            <w:tcW w:w="1314" w:type="dxa"/>
            <w:tcBorders>
              <w:top w:val="nil"/>
              <w:left w:val="nil"/>
              <w:bottom w:val="nil"/>
              <w:right w:val="single" w:sz="4" w:space="0" w:color="auto"/>
            </w:tcBorders>
            <w:shd w:val="clear" w:color="auto" w:fill="auto"/>
            <w:noWrap/>
            <w:vAlign w:val="center"/>
            <w:hideMark/>
          </w:tcPr>
          <w:p w14:paraId="43E83408"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-0.35%</w:t>
            </w:r>
          </w:p>
        </w:tc>
      </w:tr>
      <w:tr w:rsidR="00227017" w:rsidRPr="00227017" w14:paraId="4EC66E31"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33C58EEC"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227017">
              <w:rPr>
                <w:rFonts w:ascii="Arial" w:hAnsi="Arial" w:cs="Arial"/>
                <w:b/>
                <w:bCs/>
                <w:color w:val="000000"/>
                <w:sz w:val="18"/>
                <w:szCs w:val="18"/>
                <w:lang w:val="en-GB" w:eastAsia="en-GB"/>
              </w:rPr>
              <w:t xml:space="preserve">Overall </w:t>
            </w:r>
          </w:p>
        </w:tc>
        <w:tc>
          <w:tcPr>
            <w:tcW w:w="1182" w:type="dxa"/>
            <w:tcBorders>
              <w:top w:val="single" w:sz="8" w:space="0" w:color="auto"/>
              <w:left w:val="single" w:sz="4" w:space="0" w:color="auto"/>
              <w:bottom w:val="nil"/>
              <w:right w:val="nil"/>
            </w:tcBorders>
            <w:shd w:val="clear" w:color="auto" w:fill="auto"/>
            <w:noWrap/>
            <w:vAlign w:val="center"/>
            <w:hideMark/>
          </w:tcPr>
          <w:p w14:paraId="3D08D16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0.56%</w:t>
            </w:r>
          </w:p>
        </w:tc>
        <w:tc>
          <w:tcPr>
            <w:tcW w:w="1314" w:type="dxa"/>
            <w:tcBorders>
              <w:top w:val="single" w:sz="8" w:space="0" w:color="auto"/>
              <w:left w:val="nil"/>
              <w:bottom w:val="nil"/>
              <w:right w:val="nil"/>
            </w:tcBorders>
            <w:shd w:val="clear" w:color="auto" w:fill="auto"/>
            <w:noWrap/>
            <w:vAlign w:val="center"/>
            <w:hideMark/>
          </w:tcPr>
          <w:p w14:paraId="1655EB7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-0.59%</w:t>
            </w:r>
          </w:p>
        </w:tc>
        <w:tc>
          <w:tcPr>
            <w:tcW w:w="1314" w:type="dxa"/>
            <w:tcBorders>
              <w:top w:val="single" w:sz="8" w:space="0" w:color="auto"/>
              <w:left w:val="nil"/>
              <w:bottom w:val="nil"/>
              <w:right w:val="single" w:sz="4" w:space="0" w:color="auto"/>
            </w:tcBorders>
            <w:shd w:val="clear" w:color="auto" w:fill="auto"/>
            <w:noWrap/>
            <w:vAlign w:val="center"/>
            <w:hideMark/>
          </w:tcPr>
          <w:p w14:paraId="793794B6"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-0.30%</w:t>
            </w:r>
          </w:p>
        </w:tc>
        <w:tc>
          <w:tcPr>
            <w:tcW w:w="1314" w:type="dxa"/>
            <w:tcBorders>
              <w:top w:val="single" w:sz="8" w:space="0" w:color="auto"/>
              <w:left w:val="nil"/>
              <w:bottom w:val="nil"/>
              <w:right w:val="single" w:sz="4" w:space="0" w:color="auto"/>
            </w:tcBorders>
            <w:shd w:val="clear" w:color="auto" w:fill="auto"/>
            <w:noWrap/>
            <w:vAlign w:val="center"/>
            <w:hideMark/>
          </w:tcPr>
          <w:p w14:paraId="645111C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-0.30%</w:t>
            </w:r>
          </w:p>
        </w:tc>
      </w:tr>
      <w:tr w:rsidR="00227017" w:rsidRPr="00227017" w14:paraId="530FD40E" w14:textId="77777777" w:rsidTr="0038584B">
        <w:trPr>
          <w:trHeight w:val="255"/>
        </w:trPr>
        <w:tc>
          <w:tcPr>
            <w:tcW w:w="1640" w:type="dxa"/>
            <w:tcBorders>
              <w:top w:val="single" w:sz="8" w:space="0" w:color="auto"/>
              <w:left w:val="single" w:sz="8" w:space="0" w:color="auto"/>
              <w:bottom w:val="nil"/>
              <w:right w:val="single" w:sz="4" w:space="0" w:color="auto"/>
            </w:tcBorders>
            <w:shd w:val="clear" w:color="auto" w:fill="auto"/>
            <w:noWrap/>
            <w:vAlign w:val="center"/>
            <w:hideMark/>
          </w:tcPr>
          <w:p w14:paraId="2D7E3D5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D</w:t>
            </w:r>
          </w:p>
        </w:tc>
        <w:tc>
          <w:tcPr>
            <w:tcW w:w="1182" w:type="dxa"/>
            <w:tcBorders>
              <w:top w:val="single" w:sz="8" w:space="0" w:color="auto"/>
              <w:left w:val="single" w:sz="4" w:space="0" w:color="auto"/>
              <w:bottom w:val="nil"/>
              <w:right w:val="nil"/>
            </w:tcBorders>
            <w:shd w:val="clear" w:color="auto" w:fill="auto"/>
            <w:noWrap/>
            <w:vAlign w:val="center"/>
            <w:hideMark/>
          </w:tcPr>
          <w:p w14:paraId="5F052AB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0.17%</w:t>
            </w:r>
          </w:p>
        </w:tc>
        <w:tc>
          <w:tcPr>
            <w:tcW w:w="1314" w:type="dxa"/>
            <w:tcBorders>
              <w:top w:val="single" w:sz="8" w:space="0" w:color="auto"/>
              <w:left w:val="nil"/>
              <w:bottom w:val="nil"/>
              <w:right w:val="nil"/>
            </w:tcBorders>
            <w:shd w:val="clear" w:color="auto" w:fill="auto"/>
            <w:noWrap/>
            <w:vAlign w:val="center"/>
            <w:hideMark/>
          </w:tcPr>
          <w:p w14:paraId="6445B4E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-2.16%</w:t>
            </w:r>
          </w:p>
        </w:tc>
        <w:tc>
          <w:tcPr>
            <w:tcW w:w="1314" w:type="dxa"/>
            <w:tcBorders>
              <w:top w:val="single" w:sz="8" w:space="0" w:color="auto"/>
              <w:left w:val="nil"/>
              <w:bottom w:val="nil"/>
              <w:right w:val="single" w:sz="4" w:space="0" w:color="auto"/>
            </w:tcBorders>
            <w:shd w:val="clear" w:color="auto" w:fill="auto"/>
            <w:noWrap/>
            <w:vAlign w:val="center"/>
            <w:hideMark/>
          </w:tcPr>
          <w:p w14:paraId="613AFC9B"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-2.19%</w:t>
            </w:r>
          </w:p>
        </w:tc>
        <w:tc>
          <w:tcPr>
            <w:tcW w:w="1314" w:type="dxa"/>
            <w:tcBorders>
              <w:top w:val="single" w:sz="8" w:space="0" w:color="auto"/>
              <w:left w:val="nil"/>
              <w:bottom w:val="nil"/>
              <w:right w:val="single" w:sz="4" w:space="0" w:color="auto"/>
            </w:tcBorders>
            <w:shd w:val="clear" w:color="auto" w:fill="auto"/>
            <w:noWrap/>
            <w:vAlign w:val="center"/>
            <w:hideMark/>
          </w:tcPr>
          <w:p w14:paraId="2EF9A099"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-0.27%</w:t>
            </w:r>
          </w:p>
        </w:tc>
      </w:tr>
      <w:tr w:rsidR="00227017" w:rsidRPr="00227017" w14:paraId="2066A1D4" w14:textId="77777777" w:rsidTr="0038584B">
        <w:trPr>
          <w:trHeight w:val="255"/>
        </w:trPr>
        <w:tc>
          <w:tcPr>
            <w:tcW w:w="1640" w:type="dxa"/>
            <w:tcBorders>
              <w:top w:val="nil"/>
              <w:left w:val="single" w:sz="8" w:space="0" w:color="auto"/>
              <w:bottom w:val="nil"/>
              <w:right w:val="single" w:sz="4" w:space="0" w:color="auto"/>
            </w:tcBorders>
            <w:shd w:val="clear" w:color="auto" w:fill="auto"/>
            <w:noWrap/>
            <w:vAlign w:val="center"/>
            <w:hideMark/>
          </w:tcPr>
          <w:p w14:paraId="2146ED9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F</w:t>
            </w:r>
          </w:p>
        </w:tc>
        <w:tc>
          <w:tcPr>
            <w:tcW w:w="1182" w:type="dxa"/>
            <w:tcBorders>
              <w:top w:val="nil"/>
              <w:left w:val="single" w:sz="4" w:space="0" w:color="auto"/>
              <w:bottom w:val="nil"/>
              <w:right w:val="nil"/>
            </w:tcBorders>
            <w:shd w:val="clear" w:color="auto" w:fill="auto"/>
            <w:noWrap/>
            <w:vAlign w:val="center"/>
            <w:hideMark/>
          </w:tcPr>
          <w:p w14:paraId="391463F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0.39%</w:t>
            </w:r>
          </w:p>
        </w:tc>
        <w:tc>
          <w:tcPr>
            <w:tcW w:w="1314" w:type="dxa"/>
            <w:tcBorders>
              <w:top w:val="nil"/>
              <w:left w:val="nil"/>
              <w:bottom w:val="nil"/>
              <w:right w:val="nil"/>
            </w:tcBorders>
            <w:shd w:val="clear" w:color="auto" w:fill="auto"/>
            <w:noWrap/>
            <w:vAlign w:val="center"/>
            <w:hideMark/>
          </w:tcPr>
          <w:p w14:paraId="5E4AB19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-1.23%</w:t>
            </w:r>
          </w:p>
        </w:tc>
        <w:tc>
          <w:tcPr>
            <w:tcW w:w="1314" w:type="dxa"/>
            <w:tcBorders>
              <w:top w:val="nil"/>
              <w:left w:val="nil"/>
              <w:bottom w:val="nil"/>
              <w:right w:val="single" w:sz="4" w:space="0" w:color="auto"/>
            </w:tcBorders>
            <w:shd w:val="clear" w:color="auto" w:fill="auto"/>
            <w:noWrap/>
            <w:vAlign w:val="center"/>
            <w:hideMark/>
          </w:tcPr>
          <w:p w14:paraId="728D0CE1"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-1.22%</w:t>
            </w:r>
          </w:p>
        </w:tc>
        <w:tc>
          <w:tcPr>
            <w:tcW w:w="1314" w:type="dxa"/>
            <w:tcBorders>
              <w:top w:val="nil"/>
              <w:left w:val="nil"/>
              <w:bottom w:val="nil"/>
              <w:right w:val="single" w:sz="4" w:space="0" w:color="auto"/>
            </w:tcBorders>
            <w:shd w:val="clear" w:color="auto" w:fill="auto"/>
            <w:noWrap/>
            <w:vAlign w:val="center"/>
            <w:hideMark/>
          </w:tcPr>
          <w:p w14:paraId="28341810"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0.04%</w:t>
            </w:r>
          </w:p>
        </w:tc>
      </w:tr>
      <w:tr w:rsidR="00227017" w:rsidRPr="00227017" w14:paraId="0F9A638F" w14:textId="77777777" w:rsidTr="0038584B">
        <w:trPr>
          <w:trHeight w:val="255"/>
        </w:trPr>
        <w:tc>
          <w:tcPr>
            <w:tcW w:w="1640" w:type="dxa"/>
            <w:tcBorders>
              <w:top w:val="nil"/>
              <w:left w:val="single" w:sz="8" w:space="0" w:color="auto"/>
              <w:bottom w:val="single" w:sz="8" w:space="0" w:color="auto"/>
              <w:right w:val="single" w:sz="4" w:space="0" w:color="auto"/>
            </w:tcBorders>
            <w:shd w:val="clear" w:color="auto" w:fill="auto"/>
            <w:noWrap/>
            <w:vAlign w:val="center"/>
            <w:hideMark/>
          </w:tcPr>
          <w:p w14:paraId="1C5AF665"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Class TGM</w:t>
            </w:r>
          </w:p>
        </w:tc>
        <w:tc>
          <w:tcPr>
            <w:tcW w:w="1182" w:type="dxa"/>
            <w:tcBorders>
              <w:top w:val="nil"/>
              <w:left w:val="single" w:sz="4" w:space="0" w:color="auto"/>
              <w:bottom w:val="single" w:sz="4" w:space="0" w:color="auto"/>
              <w:right w:val="nil"/>
            </w:tcBorders>
            <w:shd w:val="clear" w:color="auto" w:fill="auto"/>
            <w:noWrap/>
            <w:vAlign w:val="center"/>
            <w:hideMark/>
          </w:tcPr>
          <w:p w14:paraId="68AB32E4"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0.67%</w:t>
            </w:r>
          </w:p>
        </w:tc>
        <w:tc>
          <w:tcPr>
            <w:tcW w:w="1314" w:type="dxa"/>
            <w:tcBorders>
              <w:top w:val="nil"/>
              <w:left w:val="nil"/>
              <w:bottom w:val="single" w:sz="4" w:space="0" w:color="auto"/>
              <w:right w:val="nil"/>
            </w:tcBorders>
            <w:shd w:val="clear" w:color="auto" w:fill="auto"/>
            <w:noWrap/>
            <w:vAlign w:val="center"/>
            <w:hideMark/>
          </w:tcPr>
          <w:p w14:paraId="0ACC497F"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0.10%</w:t>
            </w:r>
          </w:p>
        </w:tc>
        <w:tc>
          <w:tcPr>
            <w:tcW w:w="1314" w:type="dxa"/>
            <w:tcBorders>
              <w:top w:val="nil"/>
              <w:left w:val="nil"/>
              <w:bottom w:val="single" w:sz="4" w:space="0" w:color="auto"/>
              <w:right w:val="single" w:sz="4" w:space="0" w:color="auto"/>
            </w:tcBorders>
            <w:shd w:val="clear" w:color="auto" w:fill="auto"/>
            <w:noWrap/>
            <w:vAlign w:val="center"/>
            <w:hideMark/>
          </w:tcPr>
          <w:p w14:paraId="5A2C397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0.28%</w:t>
            </w:r>
          </w:p>
        </w:tc>
        <w:tc>
          <w:tcPr>
            <w:tcW w:w="1314" w:type="dxa"/>
            <w:tcBorders>
              <w:top w:val="nil"/>
              <w:left w:val="nil"/>
              <w:bottom w:val="single" w:sz="4" w:space="0" w:color="auto"/>
              <w:right w:val="single" w:sz="4" w:space="0" w:color="auto"/>
            </w:tcBorders>
            <w:shd w:val="clear" w:color="auto" w:fill="auto"/>
            <w:noWrap/>
            <w:vAlign w:val="center"/>
            <w:hideMark/>
          </w:tcPr>
          <w:p w14:paraId="6DA684FE" w14:textId="77777777" w:rsidR="00227017" w:rsidRPr="00227017" w:rsidRDefault="00227017" w:rsidP="002270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227017">
              <w:rPr>
                <w:rFonts w:ascii="Arial" w:hAnsi="Arial" w:cs="Arial"/>
                <w:color w:val="000000"/>
                <w:sz w:val="18"/>
                <w:szCs w:val="18"/>
                <w:lang w:val="en-GB" w:eastAsia="en-GB"/>
              </w:rPr>
              <w:t>0.50%</w:t>
            </w:r>
          </w:p>
        </w:tc>
      </w:tr>
    </w:tbl>
    <w:p w14:paraId="1CEF6790" w14:textId="77777777" w:rsidR="00227017" w:rsidRDefault="00227017" w:rsidP="003C3A6F">
      <w:pPr>
        <w:rPr>
          <w:szCs w:val="22"/>
          <w:lang w:val="en-CA"/>
        </w:rPr>
      </w:pPr>
    </w:p>
    <w:p w14:paraId="696AD086" w14:textId="010E9490" w:rsidR="00135CD9" w:rsidRDefault="00557095" w:rsidP="003C3A6F">
      <w:pPr>
        <w:rPr>
          <w:szCs w:val="22"/>
          <w:lang w:val="en-CA"/>
        </w:rPr>
      </w:pPr>
      <w:r>
        <w:rPr>
          <w:szCs w:val="22"/>
          <w:lang w:val="en-CA"/>
        </w:rPr>
        <w:t>In many cases this would seem to be a useful measure but f</w:t>
      </w:r>
      <w:r w:rsidR="00227017">
        <w:rPr>
          <w:szCs w:val="22"/>
          <w:lang w:val="en-CA"/>
        </w:rPr>
        <w:t>or class A this shows a gain in YUV when the separate Y</w:t>
      </w:r>
      <w:r w:rsidR="00A437AA">
        <w:rPr>
          <w:szCs w:val="22"/>
          <w:lang w:val="en-CA"/>
        </w:rPr>
        <w:t>, U</w:t>
      </w:r>
      <w:r w:rsidR="00227017">
        <w:rPr>
          <w:szCs w:val="22"/>
          <w:lang w:val="en-CA"/>
        </w:rPr>
        <w:t xml:space="preserve"> and V calculations each</w:t>
      </w:r>
      <w:r w:rsidR="00DF5C1D">
        <w:rPr>
          <w:szCs w:val="22"/>
          <w:lang w:val="en-CA"/>
        </w:rPr>
        <w:t xml:space="preserve"> show a loss.  Looking in more detail:</w:t>
      </w:r>
    </w:p>
    <w:p w14:paraId="7BBE34FF" w14:textId="77777777" w:rsidR="00227017" w:rsidRDefault="00227017" w:rsidP="00227017">
      <w:pPr>
        <w:rPr>
          <w:szCs w:val="22"/>
          <w:lang w:val="en-CA"/>
        </w:rPr>
      </w:pPr>
    </w:p>
    <w:p w14:paraId="4B041884" w14:textId="18F54893" w:rsidR="00227017" w:rsidRDefault="00227017" w:rsidP="00227017">
      <w:pPr>
        <w:rPr>
          <w:szCs w:val="22"/>
          <w:lang w:val="en-CA"/>
        </w:rPr>
      </w:pPr>
    </w:p>
    <w:tbl>
      <w:tblPr>
        <w:tblW w:w="6860" w:type="dxa"/>
        <w:tblLook w:val="04A0" w:firstRow="1" w:lastRow="0" w:firstColumn="1" w:lastColumn="0" w:noHBand="0" w:noVBand="1"/>
      </w:tblPr>
      <w:tblGrid>
        <w:gridCol w:w="1000"/>
        <w:gridCol w:w="1780"/>
        <w:gridCol w:w="1020"/>
        <w:gridCol w:w="1020"/>
        <w:gridCol w:w="1020"/>
        <w:gridCol w:w="1020"/>
      </w:tblGrid>
      <w:tr w:rsidR="00227017" w:rsidRPr="00C921BC" w14:paraId="26666488" w14:textId="77777777" w:rsidTr="00CA4626">
        <w:trPr>
          <w:trHeight w:val="255"/>
        </w:trPr>
        <w:tc>
          <w:tcPr>
            <w:tcW w:w="1000" w:type="dxa"/>
            <w:tcBorders>
              <w:top w:val="nil"/>
              <w:left w:val="nil"/>
              <w:bottom w:val="nil"/>
              <w:right w:val="nil"/>
            </w:tcBorders>
            <w:shd w:val="clear" w:color="auto" w:fill="auto"/>
            <w:noWrap/>
            <w:vAlign w:val="bottom"/>
            <w:hideMark/>
          </w:tcPr>
          <w:p w14:paraId="772D5FC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val="en-GB" w:eastAsia="en-GB"/>
              </w:rPr>
            </w:pPr>
          </w:p>
        </w:tc>
        <w:tc>
          <w:tcPr>
            <w:tcW w:w="1780" w:type="dxa"/>
            <w:tcBorders>
              <w:top w:val="nil"/>
              <w:left w:val="nil"/>
              <w:bottom w:val="nil"/>
              <w:right w:val="nil"/>
            </w:tcBorders>
            <w:shd w:val="clear" w:color="auto" w:fill="auto"/>
            <w:noWrap/>
            <w:vAlign w:val="bottom"/>
            <w:hideMark/>
          </w:tcPr>
          <w:p w14:paraId="22C0881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val="en-GB" w:eastAsia="en-GB"/>
              </w:rPr>
            </w:pPr>
          </w:p>
        </w:tc>
        <w:tc>
          <w:tcPr>
            <w:tcW w:w="4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14:paraId="4F3103AA"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val="en-GB" w:eastAsia="en-GB"/>
              </w:rPr>
            </w:pPr>
            <w:r w:rsidRPr="00C921BC">
              <w:rPr>
                <w:rFonts w:ascii="Arial" w:hAnsi="Arial" w:cs="Arial"/>
                <w:b/>
                <w:bCs/>
                <w:color w:val="000000"/>
                <w:sz w:val="18"/>
                <w:szCs w:val="18"/>
                <w:lang w:val="en-GB" w:eastAsia="en-GB"/>
              </w:rPr>
              <w:t>BD-rate (piecewise cubic)</w:t>
            </w:r>
          </w:p>
        </w:tc>
      </w:tr>
      <w:tr w:rsidR="00227017" w:rsidRPr="00C921BC" w14:paraId="28C66C30" w14:textId="77777777" w:rsidTr="00671F9B">
        <w:trPr>
          <w:trHeight w:val="255"/>
        </w:trPr>
        <w:tc>
          <w:tcPr>
            <w:tcW w:w="1000" w:type="dxa"/>
            <w:tcBorders>
              <w:top w:val="single" w:sz="8" w:space="0" w:color="auto"/>
              <w:left w:val="single" w:sz="8" w:space="0" w:color="auto"/>
              <w:bottom w:val="single" w:sz="4" w:space="0" w:color="auto"/>
              <w:right w:val="nil"/>
            </w:tcBorders>
            <w:shd w:val="clear" w:color="auto" w:fill="auto"/>
            <w:noWrap/>
            <w:vAlign w:val="bottom"/>
            <w:hideMark/>
          </w:tcPr>
          <w:p w14:paraId="412B6BB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single" w:sz="8" w:space="0" w:color="auto"/>
              <w:left w:val="nil"/>
              <w:bottom w:val="single" w:sz="4" w:space="0" w:color="auto"/>
              <w:right w:val="nil"/>
            </w:tcBorders>
            <w:shd w:val="clear" w:color="auto" w:fill="auto"/>
            <w:noWrap/>
            <w:vAlign w:val="bottom"/>
            <w:hideMark/>
          </w:tcPr>
          <w:p w14:paraId="39D0B2D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020" w:type="dxa"/>
            <w:tcBorders>
              <w:top w:val="nil"/>
              <w:left w:val="single" w:sz="8" w:space="0" w:color="auto"/>
              <w:bottom w:val="single" w:sz="4" w:space="0" w:color="auto"/>
              <w:right w:val="nil"/>
            </w:tcBorders>
            <w:shd w:val="clear" w:color="auto" w:fill="auto"/>
            <w:noWrap/>
            <w:vAlign w:val="bottom"/>
            <w:hideMark/>
          </w:tcPr>
          <w:p w14:paraId="166A782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w:t>
            </w:r>
          </w:p>
        </w:tc>
        <w:tc>
          <w:tcPr>
            <w:tcW w:w="1020" w:type="dxa"/>
            <w:tcBorders>
              <w:top w:val="nil"/>
              <w:left w:val="nil"/>
              <w:bottom w:val="single" w:sz="4" w:space="0" w:color="auto"/>
              <w:right w:val="nil"/>
            </w:tcBorders>
            <w:shd w:val="clear" w:color="auto" w:fill="auto"/>
            <w:noWrap/>
            <w:vAlign w:val="bottom"/>
            <w:hideMark/>
          </w:tcPr>
          <w:p w14:paraId="0D90BFB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U</w:t>
            </w:r>
          </w:p>
        </w:tc>
        <w:tc>
          <w:tcPr>
            <w:tcW w:w="1020" w:type="dxa"/>
            <w:tcBorders>
              <w:top w:val="nil"/>
              <w:left w:val="nil"/>
              <w:bottom w:val="single" w:sz="4" w:space="0" w:color="auto"/>
              <w:right w:val="nil"/>
            </w:tcBorders>
            <w:shd w:val="clear" w:color="auto" w:fill="auto"/>
            <w:noWrap/>
            <w:vAlign w:val="bottom"/>
            <w:hideMark/>
          </w:tcPr>
          <w:p w14:paraId="0517D53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V</w:t>
            </w:r>
          </w:p>
        </w:tc>
        <w:tc>
          <w:tcPr>
            <w:tcW w:w="1020" w:type="dxa"/>
            <w:tcBorders>
              <w:top w:val="nil"/>
              <w:left w:val="nil"/>
              <w:bottom w:val="single" w:sz="4" w:space="0" w:color="auto"/>
              <w:right w:val="single" w:sz="8" w:space="0" w:color="auto"/>
            </w:tcBorders>
            <w:shd w:val="clear" w:color="auto" w:fill="auto"/>
            <w:noWrap/>
            <w:vAlign w:val="bottom"/>
            <w:hideMark/>
          </w:tcPr>
          <w:p w14:paraId="7E5BF4A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YUV</w:t>
            </w:r>
          </w:p>
        </w:tc>
      </w:tr>
      <w:tr w:rsidR="00227017" w:rsidRPr="00C921BC" w14:paraId="50BDD0A9" w14:textId="77777777" w:rsidTr="00671F9B">
        <w:trPr>
          <w:trHeight w:val="255"/>
        </w:trPr>
        <w:tc>
          <w:tcPr>
            <w:tcW w:w="1000" w:type="dxa"/>
            <w:tcBorders>
              <w:top w:val="single" w:sz="4" w:space="0" w:color="auto"/>
              <w:left w:val="single" w:sz="4" w:space="0" w:color="auto"/>
              <w:bottom w:val="nil"/>
              <w:right w:val="single" w:sz="8" w:space="0" w:color="auto"/>
            </w:tcBorders>
            <w:shd w:val="clear" w:color="auto" w:fill="auto"/>
            <w:noWrap/>
            <w:vAlign w:val="bottom"/>
            <w:hideMark/>
          </w:tcPr>
          <w:p w14:paraId="5F313119"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A1</w:t>
            </w:r>
          </w:p>
        </w:tc>
        <w:tc>
          <w:tcPr>
            <w:tcW w:w="1780" w:type="dxa"/>
            <w:tcBorders>
              <w:top w:val="single" w:sz="4" w:space="0" w:color="auto"/>
              <w:left w:val="nil"/>
              <w:bottom w:val="nil"/>
              <w:right w:val="single" w:sz="4" w:space="0" w:color="auto"/>
            </w:tcBorders>
            <w:shd w:val="clear" w:color="auto" w:fill="auto"/>
            <w:noWrap/>
            <w:vAlign w:val="bottom"/>
            <w:hideMark/>
          </w:tcPr>
          <w:p w14:paraId="7D3566B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Tango2</w:t>
            </w:r>
          </w:p>
        </w:tc>
        <w:tc>
          <w:tcPr>
            <w:tcW w:w="1020" w:type="dxa"/>
            <w:tcBorders>
              <w:top w:val="single" w:sz="4" w:space="0" w:color="auto"/>
              <w:left w:val="single" w:sz="4" w:space="0" w:color="auto"/>
              <w:bottom w:val="nil"/>
              <w:right w:val="nil"/>
            </w:tcBorders>
            <w:shd w:val="clear" w:color="auto" w:fill="auto"/>
            <w:noWrap/>
            <w:vAlign w:val="bottom"/>
            <w:hideMark/>
          </w:tcPr>
          <w:p w14:paraId="04B37EF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-0.51%</w:t>
            </w:r>
          </w:p>
        </w:tc>
        <w:tc>
          <w:tcPr>
            <w:tcW w:w="1020" w:type="dxa"/>
            <w:tcBorders>
              <w:top w:val="single" w:sz="4" w:space="0" w:color="auto"/>
              <w:left w:val="nil"/>
              <w:bottom w:val="nil"/>
              <w:right w:val="nil"/>
            </w:tcBorders>
            <w:shd w:val="clear" w:color="000000" w:fill="FFC7CE"/>
            <w:noWrap/>
            <w:vAlign w:val="bottom"/>
            <w:hideMark/>
          </w:tcPr>
          <w:p w14:paraId="751B5C0A"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3.77%</w:t>
            </w:r>
          </w:p>
        </w:tc>
        <w:tc>
          <w:tcPr>
            <w:tcW w:w="1020" w:type="dxa"/>
            <w:tcBorders>
              <w:top w:val="single" w:sz="4" w:space="0" w:color="auto"/>
              <w:left w:val="nil"/>
              <w:bottom w:val="nil"/>
              <w:right w:val="nil"/>
            </w:tcBorders>
            <w:shd w:val="clear" w:color="000000" w:fill="FFC7CE"/>
            <w:noWrap/>
            <w:vAlign w:val="bottom"/>
            <w:hideMark/>
          </w:tcPr>
          <w:p w14:paraId="35A6EB5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4.05%</w:t>
            </w:r>
          </w:p>
        </w:tc>
        <w:tc>
          <w:tcPr>
            <w:tcW w:w="1020" w:type="dxa"/>
            <w:tcBorders>
              <w:top w:val="single" w:sz="4" w:space="0" w:color="auto"/>
              <w:left w:val="nil"/>
              <w:bottom w:val="nil"/>
              <w:right w:val="single" w:sz="4" w:space="0" w:color="auto"/>
            </w:tcBorders>
            <w:shd w:val="clear" w:color="auto" w:fill="auto"/>
            <w:noWrap/>
            <w:vAlign w:val="bottom"/>
            <w:hideMark/>
          </w:tcPr>
          <w:p w14:paraId="5F9E235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0.02%</w:t>
            </w:r>
          </w:p>
        </w:tc>
      </w:tr>
      <w:tr w:rsidR="00227017" w:rsidRPr="00C921BC" w14:paraId="2A55F4D7" w14:textId="77777777" w:rsidTr="00671F9B">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1CFAD55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5DD80ED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FoodMarket4</w:t>
            </w:r>
          </w:p>
        </w:tc>
        <w:tc>
          <w:tcPr>
            <w:tcW w:w="1020" w:type="dxa"/>
            <w:tcBorders>
              <w:left w:val="single" w:sz="4" w:space="0" w:color="auto"/>
              <w:bottom w:val="nil"/>
              <w:right w:val="nil"/>
            </w:tcBorders>
            <w:shd w:val="clear" w:color="auto" w:fill="auto"/>
            <w:noWrap/>
            <w:vAlign w:val="bottom"/>
            <w:hideMark/>
          </w:tcPr>
          <w:p w14:paraId="44BD9DC7"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2.44%</w:t>
            </w:r>
          </w:p>
        </w:tc>
        <w:tc>
          <w:tcPr>
            <w:tcW w:w="1020" w:type="dxa"/>
            <w:tcBorders>
              <w:left w:val="nil"/>
              <w:bottom w:val="nil"/>
              <w:right w:val="nil"/>
            </w:tcBorders>
            <w:shd w:val="clear" w:color="000000" w:fill="FFC7CE"/>
            <w:noWrap/>
            <w:vAlign w:val="bottom"/>
            <w:hideMark/>
          </w:tcPr>
          <w:p w14:paraId="395AAF1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4.97%</w:t>
            </w:r>
          </w:p>
        </w:tc>
        <w:tc>
          <w:tcPr>
            <w:tcW w:w="1020" w:type="dxa"/>
            <w:tcBorders>
              <w:left w:val="nil"/>
              <w:bottom w:val="nil"/>
              <w:right w:val="nil"/>
            </w:tcBorders>
            <w:shd w:val="clear" w:color="000000" w:fill="FFC7CE"/>
            <w:noWrap/>
            <w:vAlign w:val="bottom"/>
            <w:hideMark/>
          </w:tcPr>
          <w:p w14:paraId="66FAD57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5.96%</w:t>
            </w:r>
          </w:p>
        </w:tc>
        <w:tc>
          <w:tcPr>
            <w:tcW w:w="1020" w:type="dxa"/>
            <w:tcBorders>
              <w:left w:val="nil"/>
              <w:bottom w:val="nil"/>
              <w:right w:val="single" w:sz="4" w:space="0" w:color="auto"/>
            </w:tcBorders>
            <w:shd w:val="clear" w:color="auto" w:fill="auto"/>
            <w:noWrap/>
            <w:vAlign w:val="bottom"/>
            <w:hideMark/>
          </w:tcPr>
          <w:p w14:paraId="3FDD5D6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-0.60%</w:t>
            </w:r>
          </w:p>
        </w:tc>
      </w:tr>
      <w:tr w:rsidR="00227017" w:rsidRPr="00C921BC" w14:paraId="6FB7B248" w14:textId="77777777" w:rsidTr="00671F9B">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3E9EB89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6A1B720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CampfireParty2</w:t>
            </w:r>
          </w:p>
        </w:tc>
        <w:tc>
          <w:tcPr>
            <w:tcW w:w="1020" w:type="dxa"/>
            <w:tcBorders>
              <w:left w:val="single" w:sz="4" w:space="0" w:color="auto"/>
              <w:bottom w:val="nil"/>
              <w:right w:val="nil"/>
            </w:tcBorders>
            <w:shd w:val="clear" w:color="auto" w:fill="auto"/>
            <w:noWrap/>
            <w:vAlign w:val="bottom"/>
            <w:hideMark/>
          </w:tcPr>
          <w:p w14:paraId="39F38C0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1.39%</w:t>
            </w:r>
          </w:p>
        </w:tc>
        <w:tc>
          <w:tcPr>
            <w:tcW w:w="1020" w:type="dxa"/>
            <w:tcBorders>
              <w:left w:val="nil"/>
              <w:bottom w:val="nil"/>
              <w:right w:val="nil"/>
            </w:tcBorders>
            <w:shd w:val="clear" w:color="000000" w:fill="CCFFCC"/>
            <w:noWrap/>
            <w:vAlign w:val="bottom"/>
            <w:hideMark/>
          </w:tcPr>
          <w:p w14:paraId="4F50D06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-4.75%</w:t>
            </w:r>
          </w:p>
        </w:tc>
        <w:tc>
          <w:tcPr>
            <w:tcW w:w="1020" w:type="dxa"/>
            <w:tcBorders>
              <w:left w:val="nil"/>
              <w:bottom w:val="nil"/>
              <w:right w:val="nil"/>
            </w:tcBorders>
            <w:shd w:val="clear" w:color="auto" w:fill="auto"/>
            <w:noWrap/>
            <w:vAlign w:val="bottom"/>
            <w:hideMark/>
          </w:tcPr>
          <w:p w14:paraId="6A58A92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0.67%</w:t>
            </w:r>
          </w:p>
        </w:tc>
        <w:tc>
          <w:tcPr>
            <w:tcW w:w="1020" w:type="dxa"/>
            <w:tcBorders>
              <w:left w:val="nil"/>
              <w:bottom w:val="nil"/>
              <w:right w:val="single" w:sz="4" w:space="0" w:color="auto"/>
            </w:tcBorders>
            <w:shd w:val="clear" w:color="auto" w:fill="auto"/>
            <w:noWrap/>
            <w:vAlign w:val="bottom"/>
            <w:hideMark/>
          </w:tcPr>
          <w:p w14:paraId="665F43C4"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0.30%</w:t>
            </w:r>
          </w:p>
        </w:tc>
      </w:tr>
      <w:tr w:rsidR="00227017" w:rsidRPr="00C921BC" w14:paraId="3FF54685" w14:textId="77777777" w:rsidTr="00671F9B">
        <w:trPr>
          <w:trHeight w:val="255"/>
        </w:trPr>
        <w:tc>
          <w:tcPr>
            <w:tcW w:w="1000" w:type="dxa"/>
            <w:tcBorders>
              <w:top w:val="single" w:sz="8" w:space="0" w:color="auto"/>
              <w:left w:val="single" w:sz="4" w:space="0" w:color="auto"/>
              <w:bottom w:val="nil"/>
              <w:right w:val="single" w:sz="8" w:space="0" w:color="auto"/>
            </w:tcBorders>
            <w:shd w:val="clear" w:color="auto" w:fill="auto"/>
            <w:noWrap/>
            <w:vAlign w:val="bottom"/>
            <w:hideMark/>
          </w:tcPr>
          <w:p w14:paraId="753F6C90"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Class A2</w:t>
            </w:r>
          </w:p>
        </w:tc>
        <w:tc>
          <w:tcPr>
            <w:tcW w:w="1780" w:type="dxa"/>
            <w:tcBorders>
              <w:top w:val="nil"/>
              <w:left w:val="nil"/>
              <w:bottom w:val="nil"/>
              <w:right w:val="single" w:sz="4" w:space="0" w:color="auto"/>
            </w:tcBorders>
            <w:shd w:val="clear" w:color="auto" w:fill="auto"/>
            <w:noWrap/>
            <w:vAlign w:val="bottom"/>
            <w:hideMark/>
          </w:tcPr>
          <w:p w14:paraId="1D34CC9F"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CatRobot1</w:t>
            </w:r>
          </w:p>
        </w:tc>
        <w:tc>
          <w:tcPr>
            <w:tcW w:w="1020" w:type="dxa"/>
            <w:tcBorders>
              <w:left w:val="single" w:sz="4" w:space="0" w:color="auto"/>
              <w:bottom w:val="nil"/>
              <w:right w:val="nil"/>
            </w:tcBorders>
            <w:shd w:val="clear" w:color="auto" w:fill="auto"/>
            <w:noWrap/>
            <w:vAlign w:val="bottom"/>
            <w:hideMark/>
          </w:tcPr>
          <w:p w14:paraId="0D9AB06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-0.75%</w:t>
            </w:r>
          </w:p>
        </w:tc>
        <w:tc>
          <w:tcPr>
            <w:tcW w:w="1020" w:type="dxa"/>
            <w:tcBorders>
              <w:left w:val="nil"/>
              <w:bottom w:val="nil"/>
              <w:right w:val="nil"/>
            </w:tcBorders>
            <w:shd w:val="clear" w:color="000000" w:fill="FFC7CE"/>
            <w:noWrap/>
            <w:vAlign w:val="bottom"/>
            <w:hideMark/>
          </w:tcPr>
          <w:p w14:paraId="026F161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3.99%</w:t>
            </w:r>
          </w:p>
        </w:tc>
        <w:tc>
          <w:tcPr>
            <w:tcW w:w="1020" w:type="dxa"/>
            <w:tcBorders>
              <w:left w:val="nil"/>
              <w:bottom w:val="nil"/>
              <w:right w:val="nil"/>
            </w:tcBorders>
            <w:shd w:val="clear" w:color="000000" w:fill="FFC7CE"/>
            <w:noWrap/>
            <w:vAlign w:val="bottom"/>
            <w:hideMark/>
          </w:tcPr>
          <w:p w14:paraId="7AAE8D86"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3.40%</w:t>
            </w:r>
          </w:p>
        </w:tc>
        <w:tc>
          <w:tcPr>
            <w:tcW w:w="1020" w:type="dxa"/>
            <w:tcBorders>
              <w:left w:val="nil"/>
              <w:bottom w:val="nil"/>
              <w:right w:val="single" w:sz="4" w:space="0" w:color="auto"/>
            </w:tcBorders>
            <w:shd w:val="clear" w:color="auto" w:fill="auto"/>
            <w:noWrap/>
            <w:vAlign w:val="bottom"/>
            <w:hideMark/>
          </w:tcPr>
          <w:p w14:paraId="157837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0.10%</w:t>
            </w:r>
          </w:p>
        </w:tc>
      </w:tr>
      <w:tr w:rsidR="00227017" w:rsidRPr="00C921BC" w14:paraId="3C581666" w14:textId="77777777" w:rsidTr="00671F9B">
        <w:trPr>
          <w:trHeight w:val="255"/>
        </w:trPr>
        <w:tc>
          <w:tcPr>
            <w:tcW w:w="1000" w:type="dxa"/>
            <w:tcBorders>
              <w:top w:val="nil"/>
              <w:left w:val="single" w:sz="4" w:space="0" w:color="auto"/>
              <w:bottom w:val="nil"/>
              <w:right w:val="single" w:sz="8" w:space="0" w:color="auto"/>
            </w:tcBorders>
            <w:shd w:val="clear" w:color="auto" w:fill="auto"/>
            <w:noWrap/>
            <w:vAlign w:val="bottom"/>
            <w:hideMark/>
          </w:tcPr>
          <w:p w14:paraId="3F9F382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nil"/>
              <w:right w:val="single" w:sz="4" w:space="0" w:color="auto"/>
            </w:tcBorders>
            <w:shd w:val="clear" w:color="auto" w:fill="auto"/>
            <w:noWrap/>
            <w:vAlign w:val="bottom"/>
            <w:hideMark/>
          </w:tcPr>
          <w:p w14:paraId="5A3B0AB6"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DaylightRoad2</w:t>
            </w:r>
          </w:p>
        </w:tc>
        <w:tc>
          <w:tcPr>
            <w:tcW w:w="1020" w:type="dxa"/>
            <w:tcBorders>
              <w:left w:val="single" w:sz="4" w:space="0" w:color="auto"/>
              <w:bottom w:val="nil"/>
              <w:right w:val="nil"/>
            </w:tcBorders>
            <w:shd w:val="clear" w:color="auto" w:fill="auto"/>
            <w:noWrap/>
            <w:vAlign w:val="bottom"/>
            <w:hideMark/>
          </w:tcPr>
          <w:p w14:paraId="2616C554"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-1.30%</w:t>
            </w:r>
          </w:p>
        </w:tc>
        <w:tc>
          <w:tcPr>
            <w:tcW w:w="1020" w:type="dxa"/>
            <w:tcBorders>
              <w:left w:val="nil"/>
              <w:bottom w:val="nil"/>
              <w:right w:val="nil"/>
            </w:tcBorders>
            <w:shd w:val="clear" w:color="000000" w:fill="FFC7CE"/>
            <w:noWrap/>
            <w:vAlign w:val="bottom"/>
            <w:hideMark/>
          </w:tcPr>
          <w:p w14:paraId="529CFFDB"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5.78%</w:t>
            </w:r>
          </w:p>
        </w:tc>
        <w:tc>
          <w:tcPr>
            <w:tcW w:w="1020" w:type="dxa"/>
            <w:tcBorders>
              <w:left w:val="nil"/>
              <w:bottom w:val="nil"/>
              <w:right w:val="nil"/>
            </w:tcBorders>
            <w:shd w:val="clear" w:color="000000" w:fill="FFC7CE"/>
            <w:noWrap/>
            <w:vAlign w:val="bottom"/>
            <w:hideMark/>
          </w:tcPr>
          <w:p w14:paraId="6C105451"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5.30%</w:t>
            </w:r>
          </w:p>
        </w:tc>
        <w:tc>
          <w:tcPr>
            <w:tcW w:w="1020" w:type="dxa"/>
            <w:tcBorders>
              <w:left w:val="nil"/>
              <w:bottom w:val="nil"/>
              <w:right w:val="single" w:sz="4" w:space="0" w:color="auto"/>
            </w:tcBorders>
            <w:shd w:val="clear" w:color="auto" w:fill="auto"/>
            <w:noWrap/>
            <w:vAlign w:val="bottom"/>
            <w:hideMark/>
          </w:tcPr>
          <w:p w14:paraId="497F8682"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-0.58%</w:t>
            </w:r>
          </w:p>
        </w:tc>
      </w:tr>
      <w:tr w:rsidR="00227017" w:rsidRPr="00C921BC" w14:paraId="5248DD21" w14:textId="77777777" w:rsidTr="00671F9B">
        <w:trPr>
          <w:trHeight w:val="255"/>
        </w:trPr>
        <w:tc>
          <w:tcPr>
            <w:tcW w:w="1000" w:type="dxa"/>
            <w:tcBorders>
              <w:top w:val="nil"/>
              <w:left w:val="single" w:sz="4" w:space="0" w:color="auto"/>
              <w:bottom w:val="single" w:sz="4" w:space="0" w:color="auto"/>
              <w:right w:val="single" w:sz="8" w:space="0" w:color="auto"/>
            </w:tcBorders>
            <w:shd w:val="clear" w:color="auto" w:fill="auto"/>
            <w:noWrap/>
            <w:vAlign w:val="bottom"/>
            <w:hideMark/>
          </w:tcPr>
          <w:p w14:paraId="1A6013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 </w:t>
            </w:r>
          </w:p>
        </w:tc>
        <w:tc>
          <w:tcPr>
            <w:tcW w:w="1780" w:type="dxa"/>
            <w:tcBorders>
              <w:top w:val="nil"/>
              <w:left w:val="nil"/>
              <w:bottom w:val="single" w:sz="4" w:space="0" w:color="auto"/>
              <w:right w:val="single" w:sz="4" w:space="0" w:color="auto"/>
            </w:tcBorders>
            <w:shd w:val="clear" w:color="auto" w:fill="auto"/>
            <w:noWrap/>
            <w:vAlign w:val="bottom"/>
            <w:hideMark/>
          </w:tcPr>
          <w:p w14:paraId="72D83A03"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ParkRunning3</w:t>
            </w:r>
          </w:p>
        </w:tc>
        <w:tc>
          <w:tcPr>
            <w:tcW w:w="1020" w:type="dxa"/>
            <w:tcBorders>
              <w:left w:val="single" w:sz="4" w:space="0" w:color="auto"/>
              <w:bottom w:val="single" w:sz="4" w:space="0" w:color="auto"/>
              <w:right w:val="nil"/>
            </w:tcBorders>
            <w:shd w:val="clear" w:color="000000" w:fill="FFC7CE"/>
            <w:noWrap/>
            <w:vAlign w:val="bottom"/>
            <w:hideMark/>
          </w:tcPr>
          <w:p w14:paraId="6C36673E"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4.82%</w:t>
            </w:r>
          </w:p>
        </w:tc>
        <w:tc>
          <w:tcPr>
            <w:tcW w:w="1020" w:type="dxa"/>
            <w:tcBorders>
              <w:left w:val="nil"/>
              <w:bottom w:val="single" w:sz="4" w:space="0" w:color="auto"/>
              <w:right w:val="nil"/>
            </w:tcBorders>
            <w:shd w:val="clear" w:color="000000" w:fill="CCFFCC"/>
            <w:noWrap/>
            <w:vAlign w:val="bottom"/>
            <w:hideMark/>
          </w:tcPr>
          <w:p w14:paraId="7E23B3ED"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-5.45%</w:t>
            </w:r>
          </w:p>
        </w:tc>
        <w:tc>
          <w:tcPr>
            <w:tcW w:w="1020" w:type="dxa"/>
            <w:tcBorders>
              <w:left w:val="nil"/>
              <w:bottom w:val="single" w:sz="4" w:space="0" w:color="auto"/>
              <w:right w:val="nil"/>
            </w:tcBorders>
            <w:shd w:val="clear" w:color="000000" w:fill="CCFFCC"/>
            <w:noWrap/>
            <w:vAlign w:val="bottom"/>
            <w:hideMark/>
          </w:tcPr>
          <w:p w14:paraId="3ABA756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val="en-GB" w:eastAsia="en-GB"/>
              </w:rPr>
            </w:pPr>
            <w:r w:rsidRPr="00C921BC">
              <w:rPr>
                <w:rFonts w:ascii="Arial" w:hAnsi="Arial" w:cs="Arial"/>
                <w:sz w:val="18"/>
                <w:szCs w:val="18"/>
                <w:lang w:val="en-GB" w:eastAsia="en-GB"/>
              </w:rPr>
              <w:t>-5.62%</w:t>
            </w:r>
          </w:p>
        </w:tc>
        <w:tc>
          <w:tcPr>
            <w:tcW w:w="1020" w:type="dxa"/>
            <w:tcBorders>
              <w:left w:val="nil"/>
              <w:bottom w:val="single" w:sz="4" w:space="0" w:color="auto"/>
              <w:right w:val="single" w:sz="4" w:space="0" w:color="auto"/>
            </w:tcBorders>
            <w:shd w:val="clear" w:color="auto" w:fill="auto"/>
            <w:noWrap/>
            <w:vAlign w:val="bottom"/>
            <w:hideMark/>
          </w:tcPr>
          <w:p w14:paraId="1E37807C" w14:textId="77777777" w:rsidR="00227017" w:rsidRPr="00C921BC" w:rsidRDefault="00227017" w:rsidP="00CA46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val="en-GB" w:eastAsia="en-GB"/>
              </w:rPr>
            </w:pPr>
            <w:r w:rsidRPr="00C921BC">
              <w:rPr>
                <w:rFonts w:ascii="Arial" w:hAnsi="Arial" w:cs="Arial"/>
                <w:color w:val="000000"/>
                <w:sz w:val="18"/>
                <w:szCs w:val="18"/>
                <w:lang w:val="en-GB" w:eastAsia="en-GB"/>
              </w:rPr>
              <w:t>-1.04%</w:t>
            </w:r>
          </w:p>
        </w:tc>
      </w:tr>
    </w:tbl>
    <w:p w14:paraId="50580AC9" w14:textId="77777777" w:rsidR="00227017" w:rsidRDefault="00227017" w:rsidP="00227017">
      <w:pPr>
        <w:rPr>
          <w:szCs w:val="22"/>
          <w:lang w:val="en-CA"/>
        </w:rPr>
      </w:pPr>
    </w:p>
    <w:p w14:paraId="72BC8B75" w14:textId="459FA9AF" w:rsidR="00227017" w:rsidRDefault="004E0B21" w:rsidP="00227017">
      <w:pPr>
        <w:rPr>
          <w:szCs w:val="22"/>
          <w:lang w:val="en-CA"/>
        </w:rPr>
      </w:pPr>
      <w:r>
        <w:rPr>
          <w:szCs w:val="22"/>
          <w:lang w:val="en-CA"/>
        </w:rPr>
        <w:t>Taking the example of</w:t>
      </w:r>
      <w:r w:rsidR="00227017">
        <w:rPr>
          <w:szCs w:val="22"/>
          <w:lang w:val="en-CA"/>
        </w:rPr>
        <w:t xml:space="preserve"> </w:t>
      </w:r>
      <w:proofErr w:type="spellStart"/>
      <w:r w:rsidR="0007798B">
        <w:rPr>
          <w:szCs w:val="22"/>
          <w:lang w:val="en-CA"/>
        </w:rPr>
        <w:t>FoodMarket</w:t>
      </w:r>
      <w:proofErr w:type="spellEnd"/>
      <w:r w:rsidR="00227017">
        <w:rPr>
          <w:szCs w:val="22"/>
          <w:lang w:val="en-CA"/>
        </w:rPr>
        <w:t xml:space="preserve"> </w:t>
      </w:r>
      <w:r>
        <w:rPr>
          <w:szCs w:val="22"/>
          <w:lang w:val="en-CA"/>
        </w:rPr>
        <w:t xml:space="preserve">this may be </w:t>
      </w:r>
      <w:proofErr w:type="gramStart"/>
      <w:r>
        <w:rPr>
          <w:szCs w:val="22"/>
          <w:lang w:val="en-CA"/>
        </w:rPr>
        <w:t>due to the fact that</w:t>
      </w:r>
      <w:proofErr w:type="gramEnd"/>
      <w:r>
        <w:rPr>
          <w:szCs w:val="22"/>
          <w:lang w:val="en-CA"/>
        </w:rPr>
        <w:t xml:space="preserve"> the final </w:t>
      </w:r>
      <w:r w:rsidR="00AE0610">
        <w:rPr>
          <w:szCs w:val="22"/>
          <w:lang w:val="en-CA"/>
        </w:rPr>
        <w:t>figure</w:t>
      </w:r>
      <w:r>
        <w:rPr>
          <w:szCs w:val="22"/>
          <w:lang w:val="en-CA"/>
        </w:rPr>
        <w:t xml:space="preserve"> is calculated by averaging the </w:t>
      </w:r>
      <w:r w:rsidR="00AE0610">
        <w:rPr>
          <w:szCs w:val="22"/>
          <w:lang w:val="en-CA"/>
        </w:rPr>
        <w:t>PSNR</w:t>
      </w:r>
      <w:r>
        <w:rPr>
          <w:szCs w:val="22"/>
          <w:lang w:val="en-CA"/>
        </w:rPr>
        <w:t xml:space="preserve"> for each POC rather than calculating the average difference for the whole sequence.  For this sequence the </w:t>
      </w:r>
      <w:r w:rsidR="0007798B">
        <w:rPr>
          <w:szCs w:val="22"/>
          <w:lang w:val="en-CA"/>
        </w:rPr>
        <w:t>PSNR</w:t>
      </w:r>
      <w:r>
        <w:rPr>
          <w:szCs w:val="22"/>
          <w:lang w:val="en-CA"/>
        </w:rPr>
        <w:t xml:space="preserve"> varies as can be seen below:</w:t>
      </w:r>
    </w:p>
    <w:p w14:paraId="222A8DC0" w14:textId="60CF6624" w:rsidR="004E0B21" w:rsidRDefault="0007798B" w:rsidP="00227017">
      <w:pPr>
        <w:rPr>
          <w:szCs w:val="22"/>
          <w:lang w:val="en-CA"/>
        </w:rPr>
      </w:pPr>
      <w:r>
        <w:rPr>
          <w:noProof/>
          <w:lang w:val="en-GB" w:eastAsia="en-GB"/>
        </w:rPr>
        <w:drawing>
          <wp:inline distT="0" distB="0" distL="0" distR="0" wp14:anchorId="0F8E6366" wp14:editId="063716BD">
            <wp:extent cx="4794250" cy="2743200"/>
            <wp:effectExtent l="0" t="0" r="635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5A8FE30" w14:textId="77777777" w:rsidR="004E0B21" w:rsidRDefault="004E0B21" w:rsidP="00227017">
      <w:pPr>
        <w:rPr>
          <w:szCs w:val="22"/>
          <w:lang w:val="en-CA"/>
        </w:rPr>
      </w:pPr>
    </w:p>
    <w:p w14:paraId="54E38173" w14:textId="56B5E81A" w:rsidR="002F23BD" w:rsidRDefault="00652705" w:rsidP="00227017">
      <w:pPr>
        <w:rPr>
          <w:szCs w:val="22"/>
          <w:lang w:val="en-CA"/>
        </w:rPr>
      </w:pPr>
      <w:r>
        <w:rPr>
          <w:szCs w:val="22"/>
          <w:lang w:val="en-CA"/>
        </w:rPr>
        <w:t xml:space="preserve">Averaging these </w:t>
      </w:r>
      <w:r w:rsidR="00972BD4">
        <w:rPr>
          <w:szCs w:val="22"/>
          <w:lang w:val="en-CA"/>
        </w:rPr>
        <w:t>pe</w:t>
      </w:r>
      <w:r w:rsidR="00B01312">
        <w:rPr>
          <w:szCs w:val="22"/>
          <w:lang w:val="en-CA"/>
        </w:rPr>
        <w:t>r</w:t>
      </w:r>
      <w:r w:rsidR="00972BD4">
        <w:rPr>
          <w:szCs w:val="22"/>
          <w:lang w:val="en-CA"/>
        </w:rPr>
        <w:t xml:space="preserve">-POC </w:t>
      </w:r>
      <w:r>
        <w:rPr>
          <w:szCs w:val="22"/>
          <w:lang w:val="en-CA"/>
        </w:rPr>
        <w:t xml:space="preserve">PSNR values </w:t>
      </w:r>
      <w:r w:rsidR="00B01312">
        <w:rPr>
          <w:szCs w:val="22"/>
          <w:lang w:val="en-CA"/>
        </w:rPr>
        <w:t xml:space="preserve">(which is what VTM currently does) </w:t>
      </w:r>
      <w:r>
        <w:rPr>
          <w:szCs w:val="22"/>
          <w:lang w:val="en-CA"/>
        </w:rPr>
        <w:t xml:space="preserve">gives 40.81dB whereas averaging the (back calculated) </w:t>
      </w:r>
      <w:r w:rsidR="00B01312">
        <w:rPr>
          <w:szCs w:val="22"/>
          <w:lang w:val="en-CA"/>
        </w:rPr>
        <w:t xml:space="preserve">per-POC </w:t>
      </w:r>
      <w:r>
        <w:rPr>
          <w:szCs w:val="22"/>
          <w:lang w:val="en-CA"/>
        </w:rPr>
        <w:t>MSE values and then calculating the PSNR gives 41.74dB.</w:t>
      </w:r>
      <w:r w:rsidR="00CA739F">
        <w:rPr>
          <w:szCs w:val="22"/>
          <w:lang w:val="en-CA"/>
        </w:rPr>
        <w:t xml:space="preserve"> This discrepancy is also found in each of the individual Y, U</w:t>
      </w:r>
      <w:r w:rsidR="00A437AA">
        <w:rPr>
          <w:szCs w:val="22"/>
          <w:lang w:val="en-CA"/>
        </w:rPr>
        <w:t>, and V</w:t>
      </w:r>
      <w:r w:rsidR="00CA739F">
        <w:rPr>
          <w:szCs w:val="22"/>
          <w:lang w:val="en-CA"/>
        </w:rPr>
        <w:t xml:space="preserve"> PSNR values</w:t>
      </w:r>
      <w:r w:rsidR="004A36A8">
        <w:rPr>
          <w:szCs w:val="22"/>
          <w:lang w:val="en-CA"/>
        </w:rPr>
        <w:t xml:space="preserve">.  </w:t>
      </w:r>
    </w:p>
    <w:p w14:paraId="46CB778E" w14:textId="0B302BCB" w:rsidR="002F23BD" w:rsidRDefault="00A92107" w:rsidP="00227017">
      <w:pPr>
        <w:rPr>
          <w:szCs w:val="22"/>
          <w:lang w:val="en-CA"/>
        </w:rPr>
      </w:pPr>
      <w:r>
        <w:rPr>
          <w:szCs w:val="22"/>
          <w:lang w:val="en-CA"/>
        </w:rPr>
        <w:t xml:space="preserve">Looking at the BD rate for each POC </w:t>
      </w:r>
      <w:proofErr w:type="gramStart"/>
      <w:r>
        <w:rPr>
          <w:szCs w:val="22"/>
          <w:lang w:val="en-CA"/>
        </w:rPr>
        <w:t>it can be seen that the</w:t>
      </w:r>
      <w:proofErr w:type="gramEnd"/>
      <w:r>
        <w:rPr>
          <w:szCs w:val="22"/>
          <w:lang w:val="en-CA"/>
        </w:rPr>
        <w:t xml:space="preserve"> tool has a chroma loss for the first half of the sequence but a chroma gain for the second half of the sequence, whereas the opposite is the case for </w:t>
      </w:r>
      <w:proofErr w:type="spellStart"/>
      <w:r>
        <w:rPr>
          <w:szCs w:val="22"/>
          <w:lang w:val="en-CA"/>
        </w:rPr>
        <w:t>luma</w:t>
      </w:r>
      <w:proofErr w:type="spellEnd"/>
      <w:r w:rsidR="00AE7CF8">
        <w:rPr>
          <w:szCs w:val="22"/>
          <w:lang w:val="en-CA"/>
        </w:rPr>
        <w:t xml:space="preserve">; the combined YUV BD rate does not have </w:t>
      </w:r>
      <w:r w:rsidR="007E4582">
        <w:rPr>
          <w:szCs w:val="22"/>
          <w:lang w:val="en-CA"/>
        </w:rPr>
        <w:t>such a</w:t>
      </w:r>
      <w:r w:rsidR="00AE7CF8">
        <w:rPr>
          <w:szCs w:val="22"/>
          <w:lang w:val="en-CA"/>
        </w:rPr>
        <w:t xml:space="preserve"> variation</w:t>
      </w:r>
      <w:r>
        <w:rPr>
          <w:szCs w:val="22"/>
          <w:lang w:val="en-CA"/>
        </w:rPr>
        <w:t>:</w:t>
      </w:r>
    </w:p>
    <w:p w14:paraId="7389A795" w14:textId="77777777" w:rsidR="007E4582" w:rsidRDefault="007E4582" w:rsidP="00227017">
      <w:pPr>
        <w:rPr>
          <w:szCs w:val="22"/>
          <w:lang w:val="en-CA"/>
        </w:rPr>
      </w:pPr>
    </w:p>
    <w:p w14:paraId="1AF74781" w14:textId="154FFF88" w:rsidR="00A0248A" w:rsidRDefault="00A0248A" w:rsidP="00227017">
      <w:pPr>
        <w:rPr>
          <w:szCs w:val="22"/>
          <w:lang w:val="en-CA"/>
        </w:rPr>
      </w:pPr>
      <w:r>
        <w:rPr>
          <w:noProof/>
          <w:lang w:val="en-GB" w:eastAsia="en-GB"/>
        </w:rPr>
        <w:lastRenderedPageBreak/>
        <w:drawing>
          <wp:inline distT="0" distB="0" distL="0" distR="0" wp14:anchorId="390AC9A4" wp14:editId="3BCECF68">
            <wp:extent cx="5720955" cy="3609974"/>
            <wp:effectExtent l="0" t="0" r="13335" b="10160"/>
            <wp:docPr id="31" name="Chart 31">
              <a:extLst xmlns:a="http://schemas.openxmlformats.org/drawingml/2006/main">
                <a:ext uri="{FF2B5EF4-FFF2-40B4-BE49-F238E27FC236}">
                  <a16:creationId xmlns:a16="http://schemas.microsoft.com/office/drawing/2014/main" id="{00000000-0008-0000-04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2EEF05A" w14:textId="4C26EDD7" w:rsidR="007E4582" w:rsidRDefault="007E4582" w:rsidP="00227017">
      <w:pPr>
        <w:rPr>
          <w:szCs w:val="22"/>
          <w:lang w:val="en-CA"/>
        </w:rPr>
      </w:pPr>
    </w:p>
    <w:p w14:paraId="6912CBAA" w14:textId="77777777" w:rsidR="00A92107" w:rsidRDefault="00A92107" w:rsidP="00227017">
      <w:pPr>
        <w:rPr>
          <w:szCs w:val="22"/>
          <w:lang w:val="en-CA"/>
        </w:rPr>
      </w:pPr>
    </w:p>
    <w:p w14:paraId="0F2C370E" w14:textId="30C445CF" w:rsidR="004E0B21" w:rsidRDefault="00020C18" w:rsidP="00227017">
      <w:pPr>
        <w:rPr>
          <w:szCs w:val="22"/>
          <w:lang w:val="en-CA"/>
        </w:rPr>
      </w:pPr>
      <w:r>
        <w:rPr>
          <w:szCs w:val="22"/>
          <w:lang w:val="en-CA"/>
        </w:rPr>
        <w:t xml:space="preserve">For objective measurement of such sequences it might be appropriate for them to be split into </w:t>
      </w:r>
      <w:r w:rsidR="00A9586B">
        <w:rPr>
          <w:szCs w:val="22"/>
          <w:lang w:val="en-CA"/>
        </w:rPr>
        <w:t>sub-</w:t>
      </w:r>
      <w:r>
        <w:rPr>
          <w:szCs w:val="22"/>
          <w:lang w:val="en-CA"/>
        </w:rPr>
        <w:t>parts.</w:t>
      </w:r>
    </w:p>
    <w:p w14:paraId="3B6D51B3" w14:textId="786D2F5C" w:rsidR="00031F88" w:rsidRDefault="00031F88" w:rsidP="00227017">
      <w:pPr>
        <w:rPr>
          <w:szCs w:val="22"/>
          <w:lang w:val="en-CA"/>
        </w:rPr>
      </w:pPr>
      <w:r>
        <w:rPr>
          <w:szCs w:val="22"/>
          <w:lang w:val="en-CA"/>
        </w:rPr>
        <w:t>Currently low QP tests only use the first 100 frames of a sequence so for some sequences it would not be valid to make comparisons with CTC tests which use frames from the full length of the sequence.</w:t>
      </w:r>
      <w:r w:rsidR="00570ECE">
        <w:rPr>
          <w:szCs w:val="22"/>
          <w:lang w:val="en-CA"/>
        </w:rPr>
        <w:t xml:space="preserve">  Consideration should be given to changing low QP so that, for example, every 32</w:t>
      </w:r>
      <w:r w:rsidR="00570ECE" w:rsidRPr="00570ECE">
        <w:rPr>
          <w:szCs w:val="22"/>
          <w:vertAlign w:val="superscript"/>
          <w:lang w:val="en-CA"/>
        </w:rPr>
        <w:t>nd</w:t>
      </w:r>
      <w:r w:rsidR="00570ECE">
        <w:rPr>
          <w:szCs w:val="22"/>
          <w:lang w:val="en-CA"/>
        </w:rPr>
        <w:t xml:space="preserve"> frame is used across the whole sequence in AI instead of every 8</w:t>
      </w:r>
      <w:r w:rsidR="00570ECE" w:rsidRPr="00570ECE">
        <w:rPr>
          <w:szCs w:val="22"/>
          <w:vertAlign w:val="superscript"/>
          <w:lang w:val="en-CA"/>
        </w:rPr>
        <w:t>th</w:t>
      </w:r>
      <w:r w:rsidR="00570ECE">
        <w:rPr>
          <w:szCs w:val="22"/>
          <w:lang w:val="en-CA"/>
        </w:rPr>
        <w:t xml:space="preserve"> frame for the first 100 frames; RA could test a group of 17 frames every 64 across the whole sequence (although this would increase the effect of I-frames).</w:t>
      </w:r>
    </w:p>
    <w:p w14:paraId="704863D3" w14:textId="77777777" w:rsidR="00652705" w:rsidRDefault="00652705" w:rsidP="00227017">
      <w:pPr>
        <w:rPr>
          <w:szCs w:val="22"/>
          <w:lang w:val="en-CA"/>
        </w:rPr>
      </w:pPr>
    </w:p>
    <w:p w14:paraId="18B4DCEF" w14:textId="3FEDE972" w:rsidR="00897273" w:rsidRDefault="00897273" w:rsidP="00897273">
      <w:pPr>
        <w:pStyle w:val="Heading1"/>
        <w:rPr>
          <w:lang w:val="en-CA"/>
        </w:rPr>
      </w:pPr>
      <w:r>
        <w:rPr>
          <w:lang w:val="en-CA"/>
        </w:rPr>
        <w:t>Conclusion</w:t>
      </w:r>
    </w:p>
    <w:p w14:paraId="2329FD2C" w14:textId="172E41DD" w:rsidR="009E3CC6" w:rsidRDefault="001831F7" w:rsidP="003C3A6F">
      <w:pPr>
        <w:rPr>
          <w:szCs w:val="22"/>
          <w:lang w:val="en-CA"/>
        </w:rPr>
      </w:pPr>
      <w:r>
        <w:rPr>
          <w:szCs w:val="22"/>
          <w:lang w:val="en-CA"/>
        </w:rPr>
        <w:t xml:space="preserve">Analysis of this example tool shows that the current method of BD rate calculation can give unreliable results </w:t>
      </w:r>
      <w:r w:rsidR="00504BB8">
        <w:rPr>
          <w:szCs w:val="22"/>
          <w:lang w:val="en-CA"/>
        </w:rPr>
        <w:t>where the effective quantization points are modified</w:t>
      </w:r>
      <w:r>
        <w:rPr>
          <w:szCs w:val="22"/>
          <w:lang w:val="en-CA"/>
        </w:rPr>
        <w:t xml:space="preserve"> and that using more points in the calculation should improve the reliability</w:t>
      </w:r>
      <w:r w:rsidR="00581F49">
        <w:rPr>
          <w:szCs w:val="22"/>
          <w:lang w:val="en-CA"/>
        </w:rPr>
        <w:t>; i</w:t>
      </w:r>
      <w:r w:rsidR="00A64620">
        <w:rPr>
          <w:szCs w:val="22"/>
          <w:lang w:val="en-CA"/>
        </w:rPr>
        <w:t>t is likely that this</w:t>
      </w:r>
      <w:r w:rsidR="00581F49">
        <w:rPr>
          <w:szCs w:val="22"/>
          <w:lang w:val="en-CA"/>
        </w:rPr>
        <w:t xml:space="preserve"> only affects a few tools.  </w:t>
      </w:r>
      <w:r w:rsidR="009E3CC6">
        <w:rPr>
          <w:szCs w:val="22"/>
          <w:lang w:val="en-CA"/>
        </w:rPr>
        <w:t>Figures are already reported for two different interpolation methods and if there is</w:t>
      </w:r>
      <w:r w:rsidR="00280849">
        <w:rPr>
          <w:szCs w:val="22"/>
          <w:lang w:val="en-CA"/>
        </w:rPr>
        <w:t>, say,</w:t>
      </w:r>
      <w:r w:rsidR="009E3CC6">
        <w:rPr>
          <w:szCs w:val="22"/>
          <w:lang w:val="en-CA"/>
        </w:rPr>
        <w:t xml:space="preserve"> a </w:t>
      </w:r>
      <w:r w:rsidR="00280849">
        <w:rPr>
          <w:szCs w:val="22"/>
          <w:lang w:val="en-CA"/>
        </w:rPr>
        <w:t xml:space="preserve">10% </w:t>
      </w:r>
      <w:r w:rsidR="009E3CC6">
        <w:rPr>
          <w:szCs w:val="22"/>
          <w:lang w:val="en-CA"/>
        </w:rPr>
        <w:t xml:space="preserve">disparity between these that </w:t>
      </w:r>
      <w:r w:rsidR="00280849">
        <w:rPr>
          <w:szCs w:val="22"/>
          <w:lang w:val="en-CA"/>
        </w:rPr>
        <w:t>w</w:t>
      </w:r>
      <w:r w:rsidR="009E3CC6">
        <w:rPr>
          <w:szCs w:val="22"/>
          <w:lang w:val="en-CA"/>
        </w:rPr>
        <w:t>ould indicate that more points should be tested.</w:t>
      </w:r>
    </w:p>
    <w:p w14:paraId="7299767D" w14:textId="77777777" w:rsidR="009E3CC6" w:rsidRDefault="001831F7" w:rsidP="003C3A6F">
      <w:pPr>
        <w:rPr>
          <w:szCs w:val="22"/>
          <w:lang w:val="en-CA"/>
        </w:rPr>
      </w:pPr>
      <w:r>
        <w:rPr>
          <w:szCs w:val="22"/>
          <w:lang w:val="en-CA"/>
        </w:rPr>
        <w:t xml:space="preserve">The use of a combined YUV metric </w:t>
      </w:r>
      <w:r w:rsidR="00D202F1">
        <w:rPr>
          <w:szCs w:val="22"/>
          <w:lang w:val="en-CA"/>
        </w:rPr>
        <w:t>would</w:t>
      </w:r>
      <w:r>
        <w:rPr>
          <w:szCs w:val="22"/>
          <w:lang w:val="en-CA"/>
        </w:rPr>
        <w:t xml:space="preserve"> be useful </w:t>
      </w:r>
      <w:r w:rsidR="00031F88">
        <w:rPr>
          <w:szCs w:val="22"/>
          <w:lang w:val="en-CA"/>
        </w:rPr>
        <w:t xml:space="preserve">for </w:t>
      </w:r>
      <w:r w:rsidR="00D202F1">
        <w:rPr>
          <w:szCs w:val="22"/>
          <w:lang w:val="en-CA"/>
        </w:rPr>
        <w:t xml:space="preserve">evaluating </w:t>
      </w:r>
      <w:r w:rsidR="00031F88">
        <w:rPr>
          <w:szCs w:val="22"/>
          <w:lang w:val="en-CA"/>
        </w:rPr>
        <w:t xml:space="preserve">tools which have </w:t>
      </w:r>
      <w:r w:rsidR="00D202F1">
        <w:rPr>
          <w:szCs w:val="22"/>
          <w:lang w:val="en-CA"/>
        </w:rPr>
        <w:t xml:space="preserve">a </w:t>
      </w:r>
      <w:r w:rsidR="00031F88">
        <w:rPr>
          <w:szCs w:val="22"/>
          <w:lang w:val="en-CA"/>
        </w:rPr>
        <w:t xml:space="preserve">significant </w:t>
      </w:r>
      <w:r w:rsidR="00D202F1">
        <w:rPr>
          <w:szCs w:val="22"/>
          <w:lang w:val="en-CA"/>
        </w:rPr>
        <w:t xml:space="preserve">performance difference between </w:t>
      </w:r>
      <w:proofErr w:type="spellStart"/>
      <w:r w:rsidR="00D202F1">
        <w:rPr>
          <w:szCs w:val="22"/>
          <w:lang w:val="en-CA"/>
        </w:rPr>
        <w:t>luma</w:t>
      </w:r>
      <w:proofErr w:type="spellEnd"/>
      <w:r w:rsidR="00D202F1">
        <w:rPr>
          <w:szCs w:val="22"/>
          <w:lang w:val="en-CA"/>
        </w:rPr>
        <w:t xml:space="preserve"> and chroma</w:t>
      </w:r>
      <w:r w:rsidR="009E3CC6">
        <w:rPr>
          <w:szCs w:val="22"/>
          <w:lang w:val="en-CA"/>
        </w:rPr>
        <w:t>, although the separate Y, U and V metrics are still important for subjective understanding</w:t>
      </w:r>
      <w:r w:rsidR="00D202F1">
        <w:rPr>
          <w:szCs w:val="22"/>
          <w:lang w:val="en-CA"/>
        </w:rPr>
        <w:t xml:space="preserve">.  </w:t>
      </w:r>
    </w:p>
    <w:p w14:paraId="71778F55" w14:textId="51969697" w:rsidR="00AA1135" w:rsidRDefault="00AA1135" w:rsidP="003C3A6F">
      <w:pPr>
        <w:rPr>
          <w:szCs w:val="22"/>
          <w:lang w:val="en-CA"/>
        </w:rPr>
      </w:pPr>
      <w:r>
        <w:rPr>
          <w:szCs w:val="22"/>
          <w:lang w:val="en-CA"/>
        </w:rPr>
        <w:t>Only All Intra tests have been analysed as this keeps the QP unchanged throughout the sequence.</w:t>
      </w:r>
    </w:p>
    <w:p w14:paraId="03BF03CA" w14:textId="3FCA0D0E" w:rsidR="00AA1135" w:rsidRDefault="00AA1135" w:rsidP="003C3A6F">
      <w:pPr>
        <w:rPr>
          <w:szCs w:val="22"/>
          <w:lang w:val="en-CA"/>
        </w:rPr>
      </w:pPr>
      <w:r>
        <w:rPr>
          <w:szCs w:val="22"/>
          <w:lang w:val="en-CA"/>
        </w:rPr>
        <w:t>To conclude, it is proposed that</w:t>
      </w:r>
      <w:r w:rsidR="009D4BD5">
        <w:rPr>
          <w:szCs w:val="22"/>
          <w:lang w:val="en-CA"/>
        </w:rPr>
        <w:t>:</w:t>
      </w:r>
    </w:p>
    <w:p w14:paraId="2861F507" w14:textId="18749B0D" w:rsidR="00570ECE" w:rsidRDefault="00AA1135" w:rsidP="00AA1135">
      <w:pPr>
        <w:pStyle w:val="ListParagraph"/>
        <w:numPr>
          <w:ilvl w:val="0"/>
          <w:numId w:val="16"/>
        </w:numPr>
        <w:rPr>
          <w:szCs w:val="22"/>
          <w:lang w:val="en-CA"/>
        </w:rPr>
      </w:pPr>
      <w:r>
        <w:rPr>
          <w:szCs w:val="22"/>
          <w:lang w:val="en-CA"/>
        </w:rPr>
        <w:t>If the differences between the reported piecewise cubic and cubic interpolation methods for BD-rate differ by 10%, the tool should be tested at more QP points.</w:t>
      </w:r>
    </w:p>
    <w:p w14:paraId="4C6D1352" w14:textId="5636F109" w:rsidR="009D4BD5" w:rsidRDefault="009D4BD5" w:rsidP="009D4BD5">
      <w:pPr>
        <w:pStyle w:val="ListParagraph"/>
        <w:numPr>
          <w:ilvl w:val="1"/>
          <w:numId w:val="16"/>
        </w:numPr>
        <w:rPr>
          <w:szCs w:val="22"/>
          <w:lang w:val="en-CA"/>
        </w:rPr>
      </w:pPr>
      <w:r>
        <w:rPr>
          <w:szCs w:val="22"/>
          <w:lang w:val="en-CA"/>
        </w:rPr>
        <w:t>It is likely that only a few tools will be affected – AHG13 can confirm.</w:t>
      </w:r>
    </w:p>
    <w:p w14:paraId="09BEEF85" w14:textId="3F5365E1" w:rsidR="00AA1135" w:rsidRDefault="009D4BD5" w:rsidP="00AA1135">
      <w:pPr>
        <w:pStyle w:val="ListParagraph"/>
        <w:numPr>
          <w:ilvl w:val="0"/>
          <w:numId w:val="16"/>
        </w:numPr>
        <w:rPr>
          <w:szCs w:val="22"/>
          <w:lang w:val="en-CA"/>
        </w:rPr>
      </w:pPr>
      <w:r>
        <w:rPr>
          <w:szCs w:val="22"/>
          <w:lang w:val="en-CA"/>
        </w:rPr>
        <w:t xml:space="preserve">YUV </w:t>
      </w:r>
      <w:r w:rsidR="00AB4ED1">
        <w:rPr>
          <w:szCs w:val="22"/>
          <w:lang w:val="en-CA"/>
        </w:rPr>
        <w:t>BD-rate is</w:t>
      </w:r>
      <w:r>
        <w:rPr>
          <w:szCs w:val="22"/>
          <w:lang w:val="en-CA"/>
        </w:rPr>
        <w:t xml:space="preserve"> </w:t>
      </w:r>
      <w:r w:rsidR="00AA1135">
        <w:rPr>
          <w:szCs w:val="22"/>
          <w:lang w:val="en-CA"/>
        </w:rPr>
        <w:t>added to the spreadsheets.</w:t>
      </w:r>
    </w:p>
    <w:p w14:paraId="0B274928" w14:textId="77777777" w:rsidR="00AB4ED1" w:rsidRPr="00AB4ED1" w:rsidRDefault="00AA1135" w:rsidP="00AB4ED1">
      <w:pPr>
        <w:pStyle w:val="ListParagraph"/>
        <w:numPr>
          <w:ilvl w:val="0"/>
          <w:numId w:val="16"/>
        </w:numPr>
        <w:rPr>
          <w:szCs w:val="22"/>
          <w:lang w:val="en-GB"/>
        </w:rPr>
      </w:pPr>
      <w:r>
        <w:rPr>
          <w:szCs w:val="22"/>
          <w:lang w:val="en-CA"/>
        </w:rPr>
        <w:t xml:space="preserve">If YUV metrics differ </w:t>
      </w:r>
      <w:bookmarkStart w:id="0" w:name="_GoBack"/>
      <w:bookmarkEnd w:id="0"/>
      <w:r>
        <w:rPr>
          <w:szCs w:val="22"/>
          <w:lang w:val="en-CA"/>
        </w:rPr>
        <w:t xml:space="preserve">from Y, U and V metrics, then </w:t>
      </w:r>
      <w:r w:rsidR="00AB4ED1" w:rsidRPr="00AB4ED1">
        <w:rPr>
          <w:szCs w:val="22"/>
          <w:lang w:val="en-GB"/>
        </w:rPr>
        <w:t>they should be justified</w:t>
      </w:r>
    </w:p>
    <w:p w14:paraId="7D2E4850" w14:textId="77777777" w:rsidR="00AB4ED1" w:rsidRPr="00AB4ED1" w:rsidRDefault="00AB4ED1" w:rsidP="00AB4ED1">
      <w:pPr>
        <w:pStyle w:val="ListParagraph"/>
        <w:numPr>
          <w:ilvl w:val="1"/>
          <w:numId w:val="16"/>
        </w:numPr>
        <w:rPr>
          <w:szCs w:val="22"/>
          <w:lang w:val="en-GB"/>
        </w:rPr>
      </w:pPr>
      <w:r w:rsidRPr="00AB4ED1">
        <w:rPr>
          <w:szCs w:val="22"/>
          <w:lang w:val="en-GB"/>
        </w:rPr>
        <w:t>E.g. monochrome testing</w:t>
      </w:r>
    </w:p>
    <w:p w14:paraId="73991B85" w14:textId="77777777" w:rsidR="00AB4ED1" w:rsidRPr="00AB4ED1" w:rsidRDefault="00AB4ED1" w:rsidP="00AB4ED1">
      <w:pPr>
        <w:pStyle w:val="ListParagraph"/>
        <w:numPr>
          <w:ilvl w:val="1"/>
          <w:numId w:val="16"/>
        </w:numPr>
        <w:rPr>
          <w:szCs w:val="22"/>
          <w:lang w:val="en-GB"/>
        </w:rPr>
      </w:pPr>
      <w:r w:rsidRPr="00AB4ED1">
        <w:rPr>
          <w:szCs w:val="22"/>
          <w:lang w:val="en-GB"/>
        </w:rPr>
        <w:lastRenderedPageBreak/>
        <w:t xml:space="preserve">E.g. </w:t>
      </w:r>
      <w:proofErr w:type="spellStart"/>
      <w:r w:rsidRPr="00AB4ED1">
        <w:rPr>
          <w:szCs w:val="22"/>
          <w:lang w:val="en-GB"/>
        </w:rPr>
        <w:t>luma</w:t>
      </w:r>
      <w:proofErr w:type="spellEnd"/>
      <w:r w:rsidRPr="00AB4ED1">
        <w:rPr>
          <w:szCs w:val="22"/>
          <w:lang w:val="en-GB"/>
        </w:rPr>
        <w:t>/chroma QP/lambda testing</w:t>
      </w:r>
    </w:p>
    <w:p w14:paraId="24D79ECF" w14:textId="48738E93" w:rsidR="00AA1135" w:rsidRPr="00AB4ED1" w:rsidRDefault="00AB4ED1" w:rsidP="00AB4ED1">
      <w:pPr>
        <w:pStyle w:val="ListParagraph"/>
        <w:numPr>
          <w:ilvl w:val="1"/>
          <w:numId w:val="16"/>
        </w:numPr>
        <w:rPr>
          <w:szCs w:val="22"/>
          <w:lang w:val="en-GB"/>
        </w:rPr>
      </w:pPr>
      <w:r w:rsidRPr="00AB4ED1">
        <w:rPr>
          <w:szCs w:val="22"/>
          <w:lang w:val="en-GB"/>
        </w:rPr>
        <w:t>E.g. per-POC BD-rates should be examined</w:t>
      </w:r>
    </w:p>
    <w:p w14:paraId="22BC3A47" w14:textId="77777777" w:rsidR="00AB4ED1" w:rsidRDefault="00AB4ED1" w:rsidP="00AB4ED1">
      <w:pPr>
        <w:pStyle w:val="ListParagraph"/>
        <w:numPr>
          <w:ilvl w:val="0"/>
          <w:numId w:val="16"/>
        </w:numPr>
        <w:rPr>
          <w:szCs w:val="22"/>
          <w:lang w:val="en-CA"/>
        </w:rPr>
      </w:pPr>
      <w:r>
        <w:rPr>
          <w:szCs w:val="22"/>
          <w:lang w:val="en-CA"/>
        </w:rPr>
        <w:t>YUV metrics are added to the per-POC lines in the software.</w:t>
      </w:r>
    </w:p>
    <w:p w14:paraId="4A88DEB5" w14:textId="2F1A65B2" w:rsidR="00AA1135" w:rsidRPr="00AB4ED1" w:rsidRDefault="00121418" w:rsidP="00AB4ED1">
      <w:pPr>
        <w:pStyle w:val="ListParagraph"/>
        <w:numPr>
          <w:ilvl w:val="0"/>
          <w:numId w:val="16"/>
        </w:numPr>
        <w:rPr>
          <w:szCs w:val="22"/>
          <w:lang w:val="en-CA"/>
        </w:rPr>
      </w:pPr>
      <w:r w:rsidRPr="00AB4ED1">
        <w:rPr>
          <w:szCs w:val="22"/>
          <w:lang w:val="en-CA"/>
        </w:rPr>
        <w:t>The impact of s</w:t>
      </w:r>
      <w:r w:rsidR="00AA1135" w:rsidRPr="00AB4ED1">
        <w:rPr>
          <w:szCs w:val="22"/>
          <w:lang w:val="en-CA"/>
        </w:rPr>
        <w:t>equences</w:t>
      </w:r>
      <w:r w:rsidRPr="00AB4ED1">
        <w:rPr>
          <w:szCs w:val="22"/>
          <w:lang w:val="en-CA"/>
        </w:rPr>
        <w:t xml:space="preserve"> </w:t>
      </w:r>
      <w:r w:rsidR="00AA1135" w:rsidRPr="00AB4ED1">
        <w:rPr>
          <w:szCs w:val="22"/>
          <w:lang w:val="en-CA"/>
        </w:rPr>
        <w:t>that have a change in PSNR</w:t>
      </w:r>
      <w:r w:rsidR="009D4BD5" w:rsidRPr="00AB4ED1">
        <w:rPr>
          <w:szCs w:val="22"/>
          <w:lang w:val="en-CA"/>
        </w:rPr>
        <w:t>, bit-rate or BD-rate</w:t>
      </w:r>
      <w:r w:rsidR="00AA1135" w:rsidRPr="00AB4ED1">
        <w:rPr>
          <w:szCs w:val="22"/>
          <w:lang w:val="en-CA"/>
        </w:rPr>
        <w:t xml:space="preserve"> from one end to the other </w:t>
      </w:r>
      <w:r w:rsidRPr="00AB4ED1">
        <w:rPr>
          <w:szCs w:val="22"/>
          <w:lang w:val="en-CA"/>
        </w:rPr>
        <w:t>should be studied further</w:t>
      </w:r>
      <w:r w:rsidR="00AA1135" w:rsidRPr="00AB4ED1">
        <w:rPr>
          <w:szCs w:val="22"/>
          <w:lang w:val="en-CA"/>
        </w:rPr>
        <w:t>.</w:t>
      </w:r>
    </w:p>
    <w:p w14:paraId="222ABEEB" w14:textId="6C5C422F" w:rsidR="009D4BD5" w:rsidRPr="00121418" w:rsidRDefault="009D4BD5" w:rsidP="00121418">
      <w:pPr>
        <w:pStyle w:val="ListParagraph"/>
        <w:numPr>
          <w:ilvl w:val="1"/>
          <w:numId w:val="16"/>
        </w:numPr>
        <w:rPr>
          <w:szCs w:val="22"/>
          <w:lang w:val="en-CA"/>
        </w:rPr>
      </w:pPr>
      <w:r>
        <w:rPr>
          <w:szCs w:val="22"/>
          <w:lang w:val="en-CA"/>
        </w:rPr>
        <w:t>A plot of VTM6.1 PSNRs for each POC of each sequence at each QP for AI, RA and LB is included in this contribution.</w:t>
      </w:r>
      <w:r w:rsidRPr="00121418">
        <w:rPr>
          <w:szCs w:val="22"/>
          <w:lang w:val="en-CA"/>
        </w:rPr>
        <w:t xml:space="preserve"> </w:t>
      </w:r>
    </w:p>
    <w:p w14:paraId="540911F2" w14:textId="649B1C6E" w:rsidR="00AA1135" w:rsidRDefault="00AA1135" w:rsidP="00AA1135">
      <w:pPr>
        <w:pStyle w:val="ListParagraph"/>
        <w:numPr>
          <w:ilvl w:val="0"/>
          <w:numId w:val="16"/>
        </w:numPr>
        <w:rPr>
          <w:szCs w:val="22"/>
          <w:lang w:val="en-CA"/>
        </w:rPr>
      </w:pPr>
      <w:r>
        <w:rPr>
          <w:szCs w:val="22"/>
          <w:lang w:val="en-CA"/>
        </w:rPr>
        <w:t>To increase diversity in the source data, low QP CTCs should be changed, especially for intra, to cover more than just the first 100 frames:</w:t>
      </w:r>
    </w:p>
    <w:p w14:paraId="7CDF4993" w14:textId="4A056E39" w:rsidR="00AA1135" w:rsidRDefault="00AA1135" w:rsidP="00AA1135">
      <w:pPr>
        <w:pStyle w:val="ListParagraph"/>
        <w:numPr>
          <w:ilvl w:val="1"/>
          <w:numId w:val="16"/>
        </w:numPr>
        <w:rPr>
          <w:szCs w:val="22"/>
          <w:lang w:val="en-CA"/>
        </w:rPr>
      </w:pPr>
      <w:r>
        <w:rPr>
          <w:szCs w:val="22"/>
          <w:lang w:val="en-CA"/>
        </w:rPr>
        <w:t>AI: code every 32</w:t>
      </w:r>
      <w:r w:rsidRPr="00AA1135">
        <w:rPr>
          <w:szCs w:val="22"/>
          <w:vertAlign w:val="superscript"/>
          <w:lang w:val="en-CA"/>
        </w:rPr>
        <w:t>nd</w:t>
      </w:r>
      <w:r>
        <w:rPr>
          <w:szCs w:val="22"/>
          <w:lang w:val="en-CA"/>
        </w:rPr>
        <w:t xml:space="preserve"> frame of the source data, over all frames.</w:t>
      </w:r>
    </w:p>
    <w:p w14:paraId="4D625154" w14:textId="3D28C7E5" w:rsidR="00AA1135" w:rsidRPr="00AA1135" w:rsidRDefault="00AA1135" w:rsidP="00AA1135">
      <w:pPr>
        <w:pStyle w:val="ListParagraph"/>
        <w:numPr>
          <w:ilvl w:val="1"/>
          <w:numId w:val="16"/>
        </w:numPr>
        <w:rPr>
          <w:szCs w:val="22"/>
          <w:lang w:val="en-CA"/>
        </w:rPr>
      </w:pPr>
      <w:r>
        <w:rPr>
          <w:szCs w:val="22"/>
          <w:lang w:val="en-CA"/>
        </w:rPr>
        <w:t>RA: for every 64 frames (=intra period), code the first 17 frames.</w:t>
      </w:r>
    </w:p>
    <w:p w14:paraId="7C232A71" w14:textId="77777777" w:rsidR="00A437AA" w:rsidRPr="005B217D" w:rsidRDefault="00A437AA" w:rsidP="003C3A6F">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78BE31A8" w:rsidR="00342FF4" w:rsidRPr="005B217D" w:rsidRDefault="00C13B82" w:rsidP="009234A5">
      <w:pPr>
        <w:rPr>
          <w:szCs w:val="22"/>
          <w:lang w:val="en-CA"/>
        </w:rPr>
      </w:pPr>
      <w:r>
        <w:rPr>
          <w:b/>
          <w:szCs w:val="22"/>
          <w:lang w:eastAsia="ja-JP"/>
        </w:rPr>
        <w:t>Sony</w:t>
      </w:r>
      <w:r>
        <w:rPr>
          <w:b/>
          <w:szCs w:val="22"/>
        </w:rPr>
        <w:t xml:space="preserve"> Corporation or Sony Group companies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0A5849F" w14:textId="77777777" w:rsidR="00751F8B" w:rsidRDefault="00751F8B" w:rsidP="009234A5">
      <w:pPr>
        <w:rPr>
          <w:szCs w:val="22"/>
          <w:lang w:val="en-CA"/>
        </w:rPr>
      </w:pPr>
    </w:p>
    <w:p w14:paraId="5899C159" w14:textId="77777777" w:rsidR="004C5C5E" w:rsidRPr="00331727" w:rsidRDefault="004C5C5E" w:rsidP="004C5C5E">
      <w:pPr>
        <w:pStyle w:val="Heading1"/>
        <w:ind w:left="432" w:hanging="432"/>
        <w:rPr>
          <w:lang w:val="en-CA"/>
        </w:rPr>
      </w:pPr>
      <w:r>
        <w:rPr>
          <w:lang w:val="en-CA"/>
        </w:rPr>
        <w:t>References</w:t>
      </w:r>
    </w:p>
    <w:p w14:paraId="12FE3FD8" w14:textId="58C33A02" w:rsidR="004C5C5E" w:rsidRDefault="00365A90"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 xml:space="preserve"> </w:t>
      </w:r>
      <w:r w:rsidR="004C5C5E">
        <w:rPr>
          <w:lang w:val="en-CA"/>
        </w:rPr>
        <w:t>“</w:t>
      </w:r>
      <w:r w:rsidR="003D7AA6">
        <w:rPr>
          <w:lang w:val="en-CA"/>
        </w:rPr>
        <w:t>On interpolation for BD rate computation</w:t>
      </w:r>
      <w:r w:rsidR="00FF500E">
        <w:rPr>
          <w:lang w:val="en-CA"/>
        </w:rPr>
        <w:t>”, JVET-</w:t>
      </w:r>
      <w:r w:rsidR="003D7AA6">
        <w:rPr>
          <w:lang w:val="en-CA"/>
        </w:rPr>
        <w:t>N</w:t>
      </w:r>
      <w:r w:rsidR="00FF500E">
        <w:rPr>
          <w:lang w:val="en-CA"/>
        </w:rPr>
        <w:t>0</w:t>
      </w:r>
      <w:r w:rsidR="003D7AA6">
        <w:rPr>
          <w:lang w:val="en-CA"/>
        </w:rPr>
        <w:t>331</w:t>
      </w:r>
      <w:r w:rsidR="00FF500E">
        <w:rPr>
          <w:lang w:val="en-CA"/>
        </w:rPr>
        <w:t xml:space="preserve">, </w:t>
      </w:r>
      <w:r w:rsidR="008D3C64">
        <w:rPr>
          <w:lang w:val="en-CA"/>
        </w:rPr>
        <w:t xml:space="preserve">F. </w:t>
      </w:r>
      <w:proofErr w:type="spellStart"/>
      <w:r w:rsidR="003D7AA6">
        <w:rPr>
          <w:szCs w:val="22"/>
          <w:lang w:val="fr-FR"/>
        </w:rPr>
        <w:t>Bossen</w:t>
      </w:r>
      <w:proofErr w:type="spellEnd"/>
    </w:p>
    <w:p w14:paraId="58D9BEC8" w14:textId="6908000E" w:rsidR="00DE36CD" w:rsidRPr="008D3C64" w:rsidRDefault="003D7AA6" w:rsidP="004C5C5E">
      <w:pPr>
        <w:pStyle w:val="ListParagraph"/>
        <w:numPr>
          <w:ilvl w:val="0"/>
          <w:numId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 xml:space="preserve"> </w:t>
      </w:r>
      <w:r w:rsidR="00DE36CD" w:rsidRPr="00DE36CD">
        <w:rPr>
          <w:lang w:val="en-CA"/>
        </w:rPr>
        <w:t>“</w:t>
      </w:r>
      <w:r>
        <w:rPr>
          <w:lang w:val="en-CA"/>
        </w:rPr>
        <w:t xml:space="preserve">On reporting combined YUV BD rates”, JVET-N0341, </w:t>
      </w:r>
      <w:r w:rsidR="008D3C64">
        <w:rPr>
          <w:lang w:val="en-CA"/>
        </w:rPr>
        <w:t xml:space="preserve">F. </w:t>
      </w:r>
      <w:proofErr w:type="spellStart"/>
      <w:r>
        <w:rPr>
          <w:szCs w:val="22"/>
          <w:lang w:val="fr-FR"/>
        </w:rPr>
        <w:t>Bossen</w:t>
      </w:r>
      <w:proofErr w:type="spellEnd"/>
    </w:p>
    <w:p w14:paraId="5AB12308" w14:textId="6DC1DA3D" w:rsidR="004C5C5E" w:rsidRPr="0068570D" w:rsidRDefault="008D3C64" w:rsidP="009234A5">
      <w:pPr>
        <w:pStyle w:val="ListParagraph"/>
        <w:numPr>
          <w:ilvl w:val="0"/>
          <w:numId w:val="12"/>
        </w:numPr>
        <w:overflowPunct/>
        <w:autoSpaceDE/>
        <w:autoSpaceDN/>
        <w:adjustRightInd/>
        <w:spacing w:before="0"/>
        <w:textAlignment w:val="auto"/>
        <w:rPr>
          <w:lang w:val="en-CA"/>
        </w:rPr>
      </w:pPr>
      <w:r w:rsidRPr="008D3C64">
        <w:rPr>
          <w:lang w:val="en-CA"/>
        </w:rPr>
        <w:t xml:space="preserve"> “JVET common test conditions and software reference configurations for SDR video”, JVET-M1010, F. </w:t>
      </w:r>
      <w:proofErr w:type="spellStart"/>
      <w:r w:rsidRPr="008D3C64">
        <w:rPr>
          <w:lang w:val="en-CA"/>
        </w:rPr>
        <w:t>Bossen</w:t>
      </w:r>
      <w:proofErr w:type="spellEnd"/>
      <w:r w:rsidRPr="008D3C64">
        <w:rPr>
          <w:lang w:val="en-CA"/>
        </w:rPr>
        <w:t xml:space="preserve">, J. Boyce, X. Li, V. </w:t>
      </w:r>
      <w:proofErr w:type="spellStart"/>
      <w:r w:rsidRPr="008D3C64">
        <w:rPr>
          <w:lang w:val="en-CA"/>
        </w:rPr>
        <w:t>Seregin</w:t>
      </w:r>
      <w:proofErr w:type="spellEnd"/>
      <w:r w:rsidRPr="008D3C64">
        <w:rPr>
          <w:lang w:val="en-CA"/>
        </w:rPr>
        <w:t>, K. Sühring,</w:t>
      </w:r>
    </w:p>
    <w:sectPr w:rsidR="004C5C5E" w:rsidRPr="0068570D"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30B6C7" w14:textId="77777777" w:rsidR="00FE19EC" w:rsidRDefault="00FE19EC">
      <w:r>
        <w:separator/>
      </w:r>
    </w:p>
  </w:endnote>
  <w:endnote w:type="continuationSeparator" w:id="0">
    <w:p w14:paraId="3FF7E543" w14:textId="77777777" w:rsidR="00FE19EC" w:rsidRDefault="00FE1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46FA24C7" w:rsidR="00CA4626" w:rsidRPr="00C00DDE" w:rsidRDefault="00CA4626"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D202F1">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B4ED1">
      <w:rPr>
        <w:rStyle w:val="PageNumber"/>
        <w:noProof/>
      </w:rPr>
      <w:t>2019-10-03</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DA7A3F" w14:textId="77777777" w:rsidR="00FE19EC" w:rsidRDefault="00FE19EC">
      <w:r>
        <w:separator/>
      </w:r>
    </w:p>
  </w:footnote>
  <w:footnote w:type="continuationSeparator" w:id="0">
    <w:p w14:paraId="489A2016" w14:textId="77777777" w:rsidR="00FE19EC" w:rsidRDefault="00FE19E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5D258E"/>
    <w:multiLevelType w:val="hybridMultilevel"/>
    <w:tmpl w:val="C012E72C"/>
    <w:lvl w:ilvl="0" w:tplc="4A9CCCFA">
      <w:start w:val="1"/>
      <w:numFmt w:val="bullet"/>
      <w:lvlText w:val="•"/>
      <w:lvlJc w:val="left"/>
      <w:pPr>
        <w:tabs>
          <w:tab w:val="num" w:pos="720"/>
        </w:tabs>
        <w:ind w:left="720" w:hanging="360"/>
      </w:pPr>
      <w:rPr>
        <w:rFonts w:ascii="Arial" w:hAnsi="Arial" w:hint="default"/>
      </w:rPr>
    </w:lvl>
    <w:lvl w:ilvl="1" w:tplc="30CEBE58">
      <w:start w:val="190"/>
      <w:numFmt w:val="bullet"/>
      <w:lvlText w:val="•"/>
      <w:lvlJc w:val="left"/>
      <w:pPr>
        <w:tabs>
          <w:tab w:val="num" w:pos="1440"/>
        </w:tabs>
        <w:ind w:left="1440" w:hanging="360"/>
      </w:pPr>
      <w:rPr>
        <w:rFonts w:ascii="Arial" w:hAnsi="Arial" w:hint="default"/>
      </w:rPr>
    </w:lvl>
    <w:lvl w:ilvl="2" w:tplc="E9A02F5A" w:tentative="1">
      <w:start w:val="1"/>
      <w:numFmt w:val="bullet"/>
      <w:lvlText w:val="•"/>
      <w:lvlJc w:val="left"/>
      <w:pPr>
        <w:tabs>
          <w:tab w:val="num" w:pos="2160"/>
        </w:tabs>
        <w:ind w:left="2160" w:hanging="360"/>
      </w:pPr>
      <w:rPr>
        <w:rFonts w:ascii="Arial" w:hAnsi="Arial" w:hint="default"/>
      </w:rPr>
    </w:lvl>
    <w:lvl w:ilvl="3" w:tplc="FE8A774E" w:tentative="1">
      <w:start w:val="1"/>
      <w:numFmt w:val="bullet"/>
      <w:lvlText w:val="•"/>
      <w:lvlJc w:val="left"/>
      <w:pPr>
        <w:tabs>
          <w:tab w:val="num" w:pos="2880"/>
        </w:tabs>
        <w:ind w:left="2880" w:hanging="360"/>
      </w:pPr>
      <w:rPr>
        <w:rFonts w:ascii="Arial" w:hAnsi="Arial" w:hint="default"/>
      </w:rPr>
    </w:lvl>
    <w:lvl w:ilvl="4" w:tplc="7F6AA94E" w:tentative="1">
      <w:start w:val="1"/>
      <w:numFmt w:val="bullet"/>
      <w:lvlText w:val="•"/>
      <w:lvlJc w:val="left"/>
      <w:pPr>
        <w:tabs>
          <w:tab w:val="num" w:pos="3600"/>
        </w:tabs>
        <w:ind w:left="3600" w:hanging="360"/>
      </w:pPr>
      <w:rPr>
        <w:rFonts w:ascii="Arial" w:hAnsi="Arial" w:hint="default"/>
      </w:rPr>
    </w:lvl>
    <w:lvl w:ilvl="5" w:tplc="A3769372" w:tentative="1">
      <w:start w:val="1"/>
      <w:numFmt w:val="bullet"/>
      <w:lvlText w:val="•"/>
      <w:lvlJc w:val="left"/>
      <w:pPr>
        <w:tabs>
          <w:tab w:val="num" w:pos="4320"/>
        </w:tabs>
        <w:ind w:left="4320" w:hanging="360"/>
      </w:pPr>
      <w:rPr>
        <w:rFonts w:ascii="Arial" w:hAnsi="Arial" w:hint="default"/>
      </w:rPr>
    </w:lvl>
    <w:lvl w:ilvl="6" w:tplc="F6781AC4" w:tentative="1">
      <w:start w:val="1"/>
      <w:numFmt w:val="bullet"/>
      <w:lvlText w:val="•"/>
      <w:lvlJc w:val="left"/>
      <w:pPr>
        <w:tabs>
          <w:tab w:val="num" w:pos="5040"/>
        </w:tabs>
        <w:ind w:left="5040" w:hanging="360"/>
      </w:pPr>
      <w:rPr>
        <w:rFonts w:ascii="Arial" w:hAnsi="Arial" w:hint="default"/>
      </w:rPr>
    </w:lvl>
    <w:lvl w:ilvl="7" w:tplc="1C903522" w:tentative="1">
      <w:start w:val="1"/>
      <w:numFmt w:val="bullet"/>
      <w:lvlText w:val="•"/>
      <w:lvlJc w:val="left"/>
      <w:pPr>
        <w:tabs>
          <w:tab w:val="num" w:pos="5760"/>
        </w:tabs>
        <w:ind w:left="5760" w:hanging="360"/>
      </w:pPr>
      <w:rPr>
        <w:rFonts w:ascii="Arial" w:hAnsi="Arial" w:hint="default"/>
      </w:rPr>
    </w:lvl>
    <w:lvl w:ilvl="8" w:tplc="CA6AF6F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4901B2"/>
    <w:multiLevelType w:val="hybridMultilevel"/>
    <w:tmpl w:val="7778A4A0"/>
    <w:lvl w:ilvl="0" w:tplc="502C2E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A821884"/>
    <w:multiLevelType w:val="hybridMultilevel"/>
    <w:tmpl w:val="66EA84EC"/>
    <w:lvl w:ilvl="0" w:tplc="38C443C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EF6483C"/>
    <w:multiLevelType w:val="hybridMultilevel"/>
    <w:tmpl w:val="EFBE07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5"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4"/>
  </w:num>
  <w:num w:numId="3">
    <w:abstractNumId w:val="11"/>
  </w:num>
  <w:num w:numId="4">
    <w:abstractNumId w:val="9"/>
  </w:num>
  <w:num w:numId="5">
    <w:abstractNumId w:val="10"/>
  </w:num>
  <w:num w:numId="6">
    <w:abstractNumId w:val="5"/>
  </w:num>
  <w:num w:numId="7">
    <w:abstractNumId w:val="6"/>
  </w:num>
  <w:num w:numId="8">
    <w:abstractNumId w:val="5"/>
  </w:num>
  <w:num w:numId="9">
    <w:abstractNumId w:val="1"/>
  </w:num>
  <w:num w:numId="10">
    <w:abstractNumId w:val="4"/>
  </w:num>
  <w:num w:numId="11">
    <w:abstractNumId w:val="2"/>
  </w:num>
  <w:num w:numId="12">
    <w:abstractNumId w:val="8"/>
  </w:num>
  <w:num w:numId="13">
    <w:abstractNumId w:val="13"/>
  </w:num>
  <w:num w:numId="14">
    <w:abstractNumId w:val="15"/>
  </w:num>
  <w:num w:numId="15">
    <w:abstractNumId w:val="7"/>
  </w:num>
  <w:num w:numId="16">
    <w:abstractNumId w:val="12"/>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172D8"/>
    <w:rsid w:val="00020C18"/>
    <w:rsid w:val="000308A3"/>
    <w:rsid w:val="00031F88"/>
    <w:rsid w:val="000458BC"/>
    <w:rsid w:val="00045C41"/>
    <w:rsid w:val="00046C03"/>
    <w:rsid w:val="00064E18"/>
    <w:rsid w:val="00065039"/>
    <w:rsid w:val="0007614F"/>
    <w:rsid w:val="00077441"/>
    <w:rsid w:val="0007798B"/>
    <w:rsid w:val="00081398"/>
    <w:rsid w:val="00094479"/>
    <w:rsid w:val="000962AC"/>
    <w:rsid w:val="00096BFB"/>
    <w:rsid w:val="000B0C0F"/>
    <w:rsid w:val="000B1C6B"/>
    <w:rsid w:val="000B4FF9"/>
    <w:rsid w:val="000C09AC"/>
    <w:rsid w:val="000E00F3"/>
    <w:rsid w:val="000F158C"/>
    <w:rsid w:val="00102F3D"/>
    <w:rsid w:val="00121418"/>
    <w:rsid w:val="00124E38"/>
    <w:rsid w:val="0012580B"/>
    <w:rsid w:val="00131F90"/>
    <w:rsid w:val="0013458C"/>
    <w:rsid w:val="0013526E"/>
    <w:rsid w:val="00135CD9"/>
    <w:rsid w:val="00146152"/>
    <w:rsid w:val="00155526"/>
    <w:rsid w:val="00171371"/>
    <w:rsid w:val="00175A24"/>
    <w:rsid w:val="00176435"/>
    <w:rsid w:val="001831F7"/>
    <w:rsid w:val="00185312"/>
    <w:rsid w:val="00187E58"/>
    <w:rsid w:val="001965C0"/>
    <w:rsid w:val="001A297E"/>
    <w:rsid w:val="001A368E"/>
    <w:rsid w:val="001A7329"/>
    <w:rsid w:val="001A792F"/>
    <w:rsid w:val="001B4E28"/>
    <w:rsid w:val="001C3525"/>
    <w:rsid w:val="001C3AFB"/>
    <w:rsid w:val="001D1BD2"/>
    <w:rsid w:val="001E0248"/>
    <w:rsid w:val="001E02BE"/>
    <w:rsid w:val="001E3B37"/>
    <w:rsid w:val="001E6037"/>
    <w:rsid w:val="001E7677"/>
    <w:rsid w:val="001F2594"/>
    <w:rsid w:val="001F32EC"/>
    <w:rsid w:val="001F44D2"/>
    <w:rsid w:val="002055A6"/>
    <w:rsid w:val="00206460"/>
    <w:rsid w:val="002069B4"/>
    <w:rsid w:val="00215DFC"/>
    <w:rsid w:val="002212DF"/>
    <w:rsid w:val="00222CD4"/>
    <w:rsid w:val="00225016"/>
    <w:rsid w:val="002253CA"/>
    <w:rsid w:val="002264A6"/>
    <w:rsid w:val="00227017"/>
    <w:rsid w:val="00227BA7"/>
    <w:rsid w:val="0023011C"/>
    <w:rsid w:val="00232582"/>
    <w:rsid w:val="002375C1"/>
    <w:rsid w:val="002420FF"/>
    <w:rsid w:val="00247E1E"/>
    <w:rsid w:val="00263398"/>
    <w:rsid w:val="00263B99"/>
    <w:rsid w:val="00266F06"/>
    <w:rsid w:val="00275BCF"/>
    <w:rsid w:val="002776A5"/>
    <w:rsid w:val="00280849"/>
    <w:rsid w:val="00291E36"/>
    <w:rsid w:val="00292257"/>
    <w:rsid w:val="002A54E0"/>
    <w:rsid w:val="002B1595"/>
    <w:rsid w:val="002B191D"/>
    <w:rsid w:val="002B2E83"/>
    <w:rsid w:val="002D0AF6"/>
    <w:rsid w:val="002F164D"/>
    <w:rsid w:val="002F23BD"/>
    <w:rsid w:val="002F5887"/>
    <w:rsid w:val="002F7AE9"/>
    <w:rsid w:val="003021BC"/>
    <w:rsid w:val="00306206"/>
    <w:rsid w:val="00317D85"/>
    <w:rsid w:val="00327C56"/>
    <w:rsid w:val="003315A1"/>
    <w:rsid w:val="003373EC"/>
    <w:rsid w:val="00342FF4"/>
    <w:rsid w:val="00344E5A"/>
    <w:rsid w:val="00346148"/>
    <w:rsid w:val="00365A90"/>
    <w:rsid w:val="003669EA"/>
    <w:rsid w:val="003706CC"/>
    <w:rsid w:val="00377710"/>
    <w:rsid w:val="00381476"/>
    <w:rsid w:val="0038584B"/>
    <w:rsid w:val="003A2D8E"/>
    <w:rsid w:val="003A7CE6"/>
    <w:rsid w:val="003B79F8"/>
    <w:rsid w:val="003C20E4"/>
    <w:rsid w:val="003C26BA"/>
    <w:rsid w:val="003C3A6F"/>
    <w:rsid w:val="003D6342"/>
    <w:rsid w:val="003D7501"/>
    <w:rsid w:val="003D7AA6"/>
    <w:rsid w:val="003E6F90"/>
    <w:rsid w:val="003E73ED"/>
    <w:rsid w:val="003F1450"/>
    <w:rsid w:val="003F5D0F"/>
    <w:rsid w:val="003F6D0D"/>
    <w:rsid w:val="004071D8"/>
    <w:rsid w:val="00414101"/>
    <w:rsid w:val="00416547"/>
    <w:rsid w:val="004219CF"/>
    <w:rsid w:val="004234F0"/>
    <w:rsid w:val="00433DDB"/>
    <w:rsid w:val="00435A29"/>
    <w:rsid w:val="00437619"/>
    <w:rsid w:val="00465A1E"/>
    <w:rsid w:val="00466C41"/>
    <w:rsid w:val="004930F6"/>
    <w:rsid w:val="0049445A"/>
    <w:rsid w:val="004A2A63"/>
    <w:rsid w:val="004A36A8"/>
    <w:rsid w:val="004A3A88"/>
    <w:rsid w:val="004B08AD"/>
    <w:rsid w:val="004B210C"/>
    <w:rsid w:val="004C5C5E"/>
    <w:rsid w:val="004D405F"/>
    <w:rsid w:val="004E0B21"/>
    <w:rsid w:val="004E4F4F"/>
    <w:rsid w:val="004E6789"/>
    <w:rsid w:val="004F61E3"/>
    <w:rsid w:val="00502E10"/>
    <w:rsid w:val="00504BB8"/>
    <w:rsid w:val="0051015C"/>
    <w:rsid w:val="00516CF1"/>
    <w:rsid w:val="005240F9"/>
    <w:rsid w:val="00531AE9"/>
    <w:rsid w:val="00550A66"/>
    <w:rsid w:val="00557095"/>
    <w:rsid w:val="00561085"/>
    <w:rsid w:val="00567EC7"/>
    <w:rsid w:val="00570013"/>
    <w:rsid w:val="00570ECE"/>
    <w:rsid w:val="005744AE"/>
    <w:rsid w:val="005753EC"/>
    <w:rsid w:val="005801A2"/>
    <w:rsid w:val="00581F49"/>
    <w:rsid w:val="005952A5"/>
    <w:rsid w:val="005A33A1"/>
    <w:rsid w:val="005B217D"/>
    <w:rsid w:val="005B7DD3"/>
    <w:rsid w:val="005C385F"/>
    <w:rsid w:val="005C5E78"/>
    <w:rsid w:val="005E1AC6"/>
    <w:rsid w:val="005F6F1B"/>
    <w:rsid w:val="006039D6"/>
    <w:rsid w:val="00615995"/>
    <w:rsid w:val="00616155"/>
    <w:rsid w:val="00624B33"/>
    <w:rsid w:val="0063041A"/>
    <w:rsid w:val="00630AA2"/>
    <w:rsid w:val="00646707"/>
    <w:rsid w:val="00652705"/>
    <w:rsid w:val="00657F7E"/>
    <w:rsid w:val="00662E58"/>
    <w:rsid w:val="006637F2"/>
    <w:rsid w:val="006642A5"/>
    <w:rsid w:val="00664D47"/>
    <w:rsid w:val="00664DCF"/>
    <w:rsid w:val="00671F9B"/>
    <w:rsid w:val="0068570D"/>
    <w:rsid w:val="006C5D39"/>
    <w:rsid w:val="006C6F2B"/>
    <w:rsid w:val="006D6D9B"/>
    <w:rsid w:val="006E0A4C"/>
    <w:rsid w:val="006E2810"/>
    <w:rsid w:val="006E5417"/>
    <w:rsid w:val="006F0794"/>
    <w:rsid w:val="006F7528"/>
    <w:rsid w:val="007023DE"/>
    <w:rsid w:val="00712F60"/>
    <w:rsid w:val="00720E3B"/>
    <w:rsid w:val="007303E5"/>
    <w:rsid w:val="0074393F"/>
    <w:rsid w:val="00745F6B"/>
    <w:rsid w:val="00751F8B"/>
    <w:rsid w:val="0075585E"/>
    <w:rsid w:val="00770571"/>
    <w:rsid w:val="007768FF"/>
    <w:rsid w:val="007824D3"/>
    <w:rsid w:val="007842C9"/>
    <w:rsid w:val="00796120"/>
    <w:rsid w:val="00796527"/>
    <w:rsid w:val="00796EE3"/>
    <w:rsid w:val="007A7D29"/>
    <w:rsid w:val="007B4AB8"/>
    <w:rsid w:val="007C244D"/>
    <w:rsid w:val="007D1181"/>
    <w:rsid w:val="007D4581"/>
    <w:rsid w:val="007E01A3"/>
    <w:rsid w:val="007E1D0C"/>
    <w:rsid w:val="007E4582"/>
    <w:rsid w:val="007F1F8B"/>
    <w:rsid w:val="007F67A1"/>
    <w:rsid w:val="00810527"/>
    <w:rsid w:val="00811C05"/>
    <w:rsid w:val="008206C8"/>
    <w:rsid w:val="0082233A"/>
    <w:rsid w:val="0082275C"/>
    <w:rsid w:val="0083098A"/>
    <w:rsid w:val="008517F1"/>
    <w:rsid w:val="0085359C"/>
    <w:rsid w:val="0086387C"/>
    <w:rsid w:val="00874A6C"/>
    <w:rsid w:val="00876489"/>
    <w:rsid w:val="00876C65"/>
    <w:rsid w:val="00897273"/>
    <w:rsid w:val="008A4B4C"/>
    <w:rsid w:val="008C239F"/>
    <w:rsid w:val="008D3C64"/>
    <w:rsid w:val="008E480C"/>
    <w:rsid w:val="008E63D4"/>
    <w:rsid w:val="00907757"/>
    <w:rsid w:val="0091561E"/>
    <w:rsid w:val="009212B0"/>
    <w:rsid w:val="00921FA1"/>
    <w:rsid w:val="009234A5"/>
    <w:rsid w:val="00933453"/>
    <w:rsid w:val="009336F7"/>
    <w:rsid w:val="009341DF"/>
    <w:rsid w:val="0093636C"/>
    <w:rsid w:val="009374A7"/>
    <w:rsid w:val="009459D9"/>
    <w:rsid w:val="00955F6D"/>
    <w:rsid w:val="0096575C"/>
    <w:rsid w:val="00972BD4"/>
    <w:rsid w:val="00977A48"/>
    <w:rsid w:val="00977C16"/>
    <w:rsid w:val="0098551D"/>
    <w:rsid w:val="00990AD8"/>
    <w:rsid w:val="0099518F"/>
    <w:rsid w:val="009978F9"/>
    <w:rsid w:val="009A523D"/>
    <w:rsid w:val="009B02A1"/>
    <w:rsid w:val="009B3361"/>
    <w:rsid w:val="009C42EB"/>
    <w:rsid w:val="009D4BD5"/>
    <w:rsid w:val="009D7CE6"/>
    <w:rsid w:val="009E3CC6"/>
    <w:rsid w:val="009F1330"/>
    <w:rsid w:val="009F2146"/>
    <w:rsid w:val="009F3496"/>
    <w:rsid w:val="009F496B"/>
    <w:rsid w:val="00A01439"/>
    <w:rsid w:val="00A0248A"/>
    <w:rsid w:val="00A02E61"/>
    <w:rsid w:val="00A05CFF"/>
    <w:rsid w:val="00A13048"/>
    <w:rsid w:val="00A14D98"/>
    <w:rsid w:val="00A2223B"/>
    <w:rsid w:val="00A437AA"/>
    <w:rsid w:val="00A46843"/>
    <w:rsid w:val="00A56B97"/>
    <w:rsid w:val="00A6093D"/>
    <w:rsid w:val="00A63CC8"/>
    <w:rsid w:val="00A64620"/>
    <w:rsid w:val="00A767DC"/>
    <w:rsid w:val="00A76A6D"/>
    <w:rsid w:val="00A83253"/>
    <w:rsid w:val="00A92107"/>
    <w:rsid w:val="00A9586B"/>
    <w:rsid w:val="00AA1135"/>
    <w:rsid w:val="00AA6E84"/>
    <w:rsid w:val="00AB1A1C"/>
    <w:rsid w:val="00AB4ED1"/>
    <w:rsid w:val="00AD05A8"/>
    <w:rsid w:val="00AE0610"/>
    <w:rsid w:val="00AE341B"/>
    <w:rsid w:val="00AE5A5C"/>
    <w:rsid w:val="00AE7CF8"/>
    <w:rsid w:val="00B01312"/>
    <w:rsid w:val="00B01905"/>
    <w:rsid w:val="00B07CA7"/>
    <w:rsid w:val="00B1279A"/>
    <w:rsid w:val="00B3747C"/>
    <w:rsid w:val="00B4194A"/>
    <w:rsid w:val="00B437E8"/>
    <w:rsid w:val="00B5222E"/>
    <w:rsid w:val="00B53179"/>
    <w:rsid w:val="00B57A23"/>
    <w:rsid w:val="00B600CD"/>
    <w:rsid w:val="00B61C96"/>
    <w:rsid w:val="00B73A2A"/>
    <w:rsid w:val="00B75A51"/>
    <w:rsid w:val="00B827C6"/>
    <w:rsid w:val="00B94B06"/>
    <w:rsid w:val="00B94C28"/>
    <w:rsid w:val="00B957A1"/>
    <w:rsid w:val="00BB150E"/>
    <w:rsid w:val="00BC10BA"/>
    <w:rsid w:val="00BC5AFD"/>
    <w:rsid w:val="00BD5E9D"/>
    <w:rsid w:val="00BE129D"/>
    <w:rsid w:val="00BF07DF"/>
    <w:rsid w:val="00C00C17"/>
    <w:rsid w:val="00C00DDE"/>
    <w:rsid w:val="00C04F43"/>
    <w:rsid w:val="00C0609D"/>
    <w:rsid w:val="00C115AB"/>
    <w:rsid w:val="00C13B82"/>
    <w:rsid w:val="00C20271"/>
    <w:rsid w:val="00C26CCB"/>
    <w:rsid w:val="00C30249"/>
    <w:rsid w:val="00C3723B"/>
    <w:rsid w:val="00C42466"/>
    <w:rsid w:val="00C4734B"/>
    <w:rsid w:val="00C523D6"/>
    <w:rsid w:val="00C5476C"/>
    <w:rsid w:val="00C606C9"/>
    <w:rsid w:val="00C80288"/>
    <w:rsid w:val="00C8185B"/>
    <w:rsid w:val="00C84003"/>
    <w:rsid w:val="00C90650"/>
    <w:rsid w:val="00C921BC"/>
    <w:rsid w:val="00C97D78"/>
    <w:rsid w:val="00CA4626"/>
    <w:rsid w:val="00CA5085"/>
    <w:rsid w:val="00CA739F"/>
    <w:rsid w:val="00CC0E3D"/>
    <w:rsid w:val="00CC2AAE"/>
    <w:rsid w:val="00CC5A42"/>
    <w:rsid w:val="00CD0EAB"/>
    <w:rsid w:val="00CE10F2"/>
    <w:rsid w:val="00CE5E02"/>
    <w:rsid w:val="00CF34DB"/>
    <w:rsid w:val="00CF3917"/>
    <w:rsid w:val="00CF558F"/>
    <w:rsid w:val="00D010C0"/>
    <w:rsid w:val="00D073E2"/>
    <w:rsid w:val="00D202F1"/>
    <w:rsid w:val="00D3084D"/>
    <w:rsid w:val="00D34972"/>
    <w:rsid w:val="00D446EC"/>
    <w:rsid w:val="00D51BF0"/>
    <w:rsid w:val="00D531DB"/>
    <w:rsid w:val="00D55942"/>
    <w:rsid w:val="00D807BF"/>
    <w:rsid w:val="00D82FCC"/>
    <w:rsid w:val="00D94101"/>
    <w:rsid w:val="00D9666C"/>
    <w:rsid w:val="00DA17FC"/>
    <w:rsid w:val="00DA7887"/>
    <w:rsid w:val="00DB2C26"/>
    <w:rsid w:val="00DD02F4"/>
    <w:rsid w:val="00DD6622"/>
    <w:rsid w:val="00DE1C7C"/>
    <w:rsid w:val="00DE2375"/>
    <w:rsid w:val="00DE36CD"/>
    <w:rsid w:val="00DE6B43"/>
    <w:rsid w:val="00DF5C1D"/>
    <w:rsid w:val="00E108F7"/>
    <w:rsid w:val="00E11923"/>
    <w:rsid w:val="00E262D4"/>
    <w:rsid w:val="00E276BE"/>
    <w:rsid w:val="00E351DF"/>
    <w:rsid w:val="00E36250"/>
    <w:rsid w:val="00E47F2D"/>
    <w:rsid w:val="00E52BE0"/>
    <w:rsid w:val="00E54511"/>
    <w:rsid w:val="00E61DAC"/>
    <w:rsid w:val="00E66AE0"/>
    <w:rsid w:val="00E72B80"/>
    <w:rsid w:val="00E75FE3"/>
    <w:rsid w:val="00E86C4C"/>
    <w:rsid w:val="00E907A3"/>
    <w:rsid w:val="00E948DF"/>
    <w:rsid w:val="00E9536A"/>
    <w:rsid w:val="00EA5AE0"/>
    <w:rsid w:val="00EB56E1"/>
    <w:rsid w:val="00EB7AB1"/>
    <w:rsid w:val="00ED5F84"/>
    <w:rsid w:val="00EE7CD8"/>
    <w:rsid w:val="00EF1D62"/>
    <w:rsid w:val="00EF37F6"/>
    <w:rsid w:val="00EF48CC"/>
    <w:rsid w:val="00F00801"/>
    <w:rsid w:val="00F116ED"/>
    <w:rsid w:val="00F2488D"/>
    <w:rsid w:val="00F601A0"/>
    <w:rsid w:val="00F712E9"/>
    <w:rsid w:val="00F73032"/>
    <w:rsid w:val="00F76507"/>
    <w:rsid w:val="00F848FC"/>
    <w:rsid w:val="00F906AB"/>
    <w:rsid w:val="00F906F6"/>
    <w:rsid w:val="00F9282A"/>
    <w:rsid w:val="00F96BAD"/>
    <w:rsid w:val="00FA139D"/>
    <w:rsid w:val="00FA60F5"/>
    <w:rsid w:val="00FB0E84"/>
    <w:rsid w:val="00FC2405"/>
    <w:rsid w:val="00FC371A"/>
    <w:rsid w:val="00FD01C2"/>
    <w:rsid w:val="00FD77B6"/>
    <w:rsid w:val="00FE19EC"/>
    <w:rsid w:val="00FE595C"/>
    <w:rsid w:val="00FE6DD9"/>
    <w:rsid w:val="00FF0CE3"/>
    <w:rsid w:val="00FF43F4"/>
    <w:rsid w:val="00FF50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4C5C5E"/>
    <w:pPr>
      <w:ind w:left="720"/>
      <w:contextualSpacing/>
    </w:pPr>
  </w:style>
  <w:style w:type="character" w:customStyle="1" w:styleId="ListParagraphChar">
    <w:name w:val="List Paragraph Char"/>
    <w:link w:val="ListParagraph"/>
    <w:uiPriority w:val="34"/>
    <w:rsid w:val="004C5C5E"/>
    <w:rPr>
      <w:sz w:val="22"/>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751F8B"/>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751F8B"/>
    <w:rPr>
      <w:rFonts w:eastAsia="Malgun Gothic"/>
      <w:b/>
      <w:bCs/>
    </w:rPr>
  </w:style>
  <w:style w:type="paragraph" w:customStyle="1" w:styleId="AppendixHeading2">
    <w:name w:val="Appendix Heading 2"/>
    <w:basedOn w:val="Heading2"/>
    <w:uiPriority w:val="99"/>
    <w:rsid w:val="00751F8B"/>
    <w:pPr>
      <w:numPr>
        <w:numId w:val="13"/>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751F8B"/>
    <w:pPr>
      <w:numPr>
        <w:numId w:val="13"/>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751F8B"/>
    <w:pPr>
      <w:numPr>
        <w:numId w:val="13"/>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751F8B"/>
    <w:pPr>
      <w:keepNext w:val="0"/>
      <w:numPr>
        <w:numId w:val="13"/>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665515">
      <w:bodyDiv w:val="1"/>
      <w:marLeft w:val="0"/>
      <w:marRight w:val="0"/>
      <w:marTop w:val="0"/>
      <w:marBottom w:val="0"/>
      <w:divBdr>
        <w:top w:val="none" w:sz="0" w:space="0" w:color="auto"/>
        <w:left w:val="none" w:sz="0" w:space="0" w:color="auto"/>
        <w:bottom w:val="none" w:sz="0" w:space="0" w:color="auto"/>
        <w:right w:val="none" w:sz="0" w:space="0" w:color="auto"/>
      </w:divBdr>
    </w:div>
    <w:div w:id="156463797">
      <w:bodyDiv w:val="1"/>
      <w:marLeft w:val="0"/>
      <w:marRight w:val="0"/>
      <w:marTop w:val="0"/>
      <w:marBottom w:val="0"/>
      <w:divBdr>
        <w:top w:val="none" w:sz="0" w:space="0" w:color="auto"/>
        <w:left w:val="none" w:sz="0" w:space="0" w:color="auto"/>
        <w:bottom w:val="none" w:sz="0" w:space="0" w:color="auto"/>
        <w:right w:val="none" w:sz="0" w:space="0" w:color="auto"/>
      </w:divBdr>
    </w:div>
    <w:div w:id="548734000">
      <w:bodyDiv w:val="1"/>
      <w:marLeft w:val="0"/>
      <w:marRight w:val="0"/>
      <w:marTop w:val="0"/>
      <w:marBottom w:val="0"/>
      <w:divBdr>
        <w:top w:val="none" w:sz="0" w:space="0" w:color="auto"/>
        <w:left w:val="none" w:sz="0" w:space="0" w:color="auto"/>
        <w:bottom w:val="none" w:sz="0" w:space="0" w:color="auto"/>
        <w:right w:val="none" w:sz="0" w:space="0" w:color="auto"/>
      </w:divBdr>
    </w:div>
    <w:div w:id="715855750">
      <w:bodyDiv w:val="1"/>
      <w:marLeft w:val="0"/>
      <w:marRight w:val="0"/>
      <w:marTop w:val="0"/>
      <w:marBottom w:val="0"/>
      <w:divBdr>
        <w:top w:val="none" w:sz="0" w:space="0" w:color="auto"/>
        <w:left w:val="none" w:sz="0" w:space="0" w:color="auto"/>
        <w:bottom w:val="none" w:sz="0" w:space="0" w:color="auto"/>
        <w:right w:val="none" w:sz="0" w:space="0" w:color="auto"/>
      </w:divBdr>
      <w:divsChild>
        <w:div w:id="966743810">
          <w:marLeft w:val="547"/>
          <w:marRight w:val="0"/>
          <w:marTop w:val="0"/>
          <w:marBottom w:val="120"/>
          <w:divBdr>
            <w:top w:val="none" w:sz="0" w:space="0" w:color="auto"/>
            <w:left w:val="none" w:sz="0" w:space="0" w:color="auto"/>
            <w:bottom w:val="none" w:sz="0" w:space="0" w:color="auto"/>
            <w:right w:val="none" w:sz="0" w:space="0" w:color="auto"/>
          </w:divBdr>
        </w:div>
        <w:div w:id="1723364132">
          <w:marLeft w:val="1166"/>
          <w:marRight w:val="0"/>
          <w:marTop w:val="0"/>
          <w:marBottom w:val="120"/>
          <w:divBdr>
            <w:top w:val="none" w:sz="0" w:space="0" w:color="auto"/>
            <w:left w:val="none" w:sz="0" w:space="0" w:color="auto"/>
            <w:bottom w:val="none" w:sz="0" w:space="0" w:color="auto"/>
            <w:right w:val="none" w:sz="0" w:space="0" w:color="auto"/>
          </w:divBdr>
        </w:div>
        <w:div w:id="1045058686">
          <w:marLeft w:val="1166"/>
          <w:marRight w:val="0"/>
          <w:marTop w:val="0"/>
          <w:marBottom w:val="120"/>
          <w:divBdr>
            <w:top w:val="none" w:sz="0" w:space="0" w:color="auto"/>
            <w:left w:val="none" w:sz="0" w:space="0" w:color="auto"/>
            <w:bottom w:val="none" w:sz="0" w:space="0" w:color="auto"/>
            <w:right w:val="none" w:sz="0" w:space="0" w:color="auto"/>
          </w:divBdr>
        </w:div>
        <w:div w:id="925461549">
          <w:marLeft w:val="1166"/>
          <w:marRight w:val="0"/>
          <w:marTop w:val="0"/>
          <w:marBottom w:val="120"/>
          <w:divBdr>
            <w:top w:val="none" w:sz="0" w:space="0" w:color="auto"/>
            <w:left w:val="none" w:sz="0" w:space="0" w:color="auto"/>
            <w:bottom w:val="none" w:sz="0" w:space="0" w:color="auto"/>
            <w:right w:val="none" w:sz="0" w:space="0" w:color="auto"/>
          </w:divBdr>
        </w:div>
      </w:divsChild>
    </w:div>
    <w:div w:id="889223496">
      <w:bodyDiv w:val="1"/>
      <w:marLeft w:val="0"/>
      <w:marRight w:val="0"/>
      <w:marTop w:val="0"/>
      <w:marBottom w:val="0"/>
      <w:divBdr>
        <w:top w:val="none" w:sz="0" w:space="0" w:color="auto"/>
        <w:left w:val="none" w:sz="0" w:space="0" w:color="auto"/>
        <w:bottom w:val="none" w:sz="0" w:space="0" w:color="auto"/>
        <w:right w:val="none" w:sz="0" w:space="0" w:color="auto"/>
      </w:divBdr>
    </w:div>
    <w:div w:id="1087967887">
      <w:bodyDiv w:val="1"/>
      <w:marLeft w:val="0"/>
      <w:marRight w:val="0"/>
      <w:marTop w:val="0"/>
      <w:marBottom w:val="0"/>
      <w:divBdr>
        <w:top w:val="none" w:sz="0" w:space="0" w:color="auto"/>
        <w:left w:val="none" w:sz="0" w:space="0" w:color="auto"/>
        <w:bottom w:val="none" w:sz="0" w:space="0" w:color="auto"/>
        <w:right w:val="none" w:sz="0" w:space="0" w:color="auto"/>
      </w:divBdr>
    </w:div>
    <w:div w:id="1617131683">
      <w:bodyDiv w:val="1"/>
      <w:marLeft w:val="0"/>
      <w:marRight w:val="0"/>
      <w:marTop w:val="0"/>
      <w:marBottom w:val="0"/>
      <w:divBdr>
        <w:top w:val="none" w:sz="0" w:space="0" w:color="auto"/>
        <w:left w:val="none" w:sz="0" w:space="0" w:color="auto"/>
        <w:bottom w:val="none" w:sz="0" w:space="0" w:color="auto"/>
        <w:right w:val="none" w:sz="0" w:space="0" w:color="auto"/>
      </w:divBdr>
    </w:div>
    <w:div w:id="16600333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9470061">
      <w:bodyDiv w:val="1"/>
      <w:marLeft w:val="0"/>
      <w:marRight w:val="0"/>
      <w:marTop w:val="0"/>
      <w:marBottom w:val="0"/>
      <w:divBdr>
        <w:top w:val="none" w:sz="0" w:space="0" w:color="auto"/>
        <w:left w:val="none" w:sz="0" w:space="0" w:color="auto"/>
        <w:bottom w:val="none" w:sz="0" w:space="0" w:color="auto"/>
        <w:right w:val="none" w:sz="0" w:space="0" w:color="auto"/>
      </w:divBdr>
    </w:div>
    <w:div w:id="18859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chart" Target="charts/chart3.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hart" Target="charts/chart2.xm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chart" Target="charts/chart6.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hart" Target="charts/chart1.xml"/><Relationship Id="rId5" Type="http://schemas.openxmlformats.org/officeDocument/2006/relationships/footnotes" Target="footnotes.xml"/><Relationship Id="rId15" Type="http://schemas.openxmlformats.org/officeDocument/2006/relationships/chart" Target="charts/chart5.xml"/><Relationship Id="rId10" Type="http://schemas.openxmlformats.org/officeDocument/2006/relationships/hyperlink" Target="mailto:karl.sharman@sony.com"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mailto:steve.keating@sony.com" TargetMode="Externa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oleObject" Target="file:///\\gbdevasic01\gbkeatis\Results\noLMCS_PSNR_allQP.xlsx" TargetMode="External"/><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58872.337899999999</c:v>
                </c:pt>
                <c:pt idx="1">
                  <c:v>10317.6474</c:v>
                </c:pt>
                <c:pt idx="2">
                  <c:v>5549.9967999999999</c:v>
                </c:pt>
                <c:pt idx="3">
                  <c:v>3049.4384</c:v>
                </c:pt>
              </c:numCache>
            </c:numRef>
          </c:xVal>
          <c:yVal>
            <c:numRef>
              <c:f>Plot!$AE$3:$AE$6</c:f>
              <c:numCache>
                <c:formatCode>General</c:formatCode>
                <c:ptCount val="4"/>
                <c:pt idx="0">
                  <c:v>41.7622</c:v>
                </c:pt>
                <c:pt idx="1">
                  <c:v>37.640900000000002</c:v>
                </c:pt>
                <c:pt idx="2">
                  <c:v>36.601399999999998</c:v>
                </c:pt>
                <c:pt idx="3">
                  <c:v>35.119199999999999</c:v>
                </c:pt>
              </c:numCache>
            </c:numRef>
          </c:yVal>
          <c:smooth val="1"/>
          <c:extLst>
            <c:ext xmlns:c16="http://schemas.microsoft.com/office/drawing/2014/chart" uri="{C3380CC4-5D6E-409C-BE32-E72D297353CC}">
              <c16:uniqueId val="{00000000-7058-4752-87FC-344666D2D66B}"/>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55415.283199999998</c:v>
                </c:pt>
                <c:pt idx="1">
                  <c:v>11537.9684</c:v>
                </c:pt>
                <c:pt idx="2">
                  <c:v>6136.1936999999998</c:v>
                </c:pt>
                <c:pt idx="3">
                  <c:v>3386.1867999999999</c:v>
                </c:pt>
              </c:numCache>
            </c:numRef>
          </c:xVal>
          <c:yVal>
            <c:numRef>
              <c:f>Plot!$AJ$3:$AJ$6</c:f>
              <c:numCache>
                <c:formatCode>General</c:formatCode>
                <c:ptCount val="4"/>
                <c:pt idx="0">
                  <c:v>41.450099999999999</c:v>
                </c:pt>
                <c:pt idx="1">
                  <c:v>37.798499999999997</c:v>
                </c:pt>
                <c:pt idx="2">
                  <c:v>36.813099999999999</c:v>
                </c:pt>
                <c:pt idx="3">
                  <c:v>35.417000000000002</c:v>
                </c:pt>
              </c:numCache>
            </c:numRef>
          </c:yVal>
          <c:smooth val="1"/>
          <c:extLst>
            <c:ext xmlns:c16="http://schemas.microsoft.com/office/drawing/2014/chart" uri="{C3380CC4-5D6E-409C-BE32-E72D297353CC}">
              <c16:uniqueId val="{00000001-7058-4752-87FC-344666D2D66B}"/>
            </c:ext>
          </c:extLst>
        </c:ser>
        <c:dLbls>
          <c:showLegendKey val="0"/>
          <c:showVal val="0"/>
          <c:showCatName val="0"/>
          <c:showSerName val="0"/>
          <c:showPercent val="0"/>
          <c:showBubbleSize val="0"/>
        </c:dLbls>
        <c:axId val="659110944"/>
        <c:axId val="659113296"/>
        <c:extLst>
          <c:ext xmlns:c15="http://schemas.microsoft.com/office/drawing/2012/chart" uri="{02D57815-91ED-43cb-92C2-25804820EDAC}">
            <c15:filteredScatterSeries>
              <c15:ser>
                <c:idx val="2"/>
                <c:order val="2"/>
                <c:tx>
                  <c:strRef>
                    <c:extLst>
                      <c:ext uri="{02D57815-91ED-43cb-92C2-25804820EDAC}">
                        <c15:formulaRef>
                          <c15:sqref>Summary!$O$5</c15:sqref>
                        </c15:formulaRef>
                      </c:ext>
                    </c:extLst>
                    <c:strCache>
                      <c:ptCount val="1"/>
                      <c:pt idx="0">
                        <c:v>HM16.20-HM420-JCTVC-AF1100</c:v>
                      </c:pt>
                    </c:strCache>
                  </c:strRef>
                </c:tx>
                <c:spPr>
                  <a:ln w="15875"/>
                </c:spPr>
                <c:xVal>
                  <c:numRef>
                    <c:extLst>
                      <c:ext uri="{02D57815-91ED-43cb-92C2-25804820EDAC}">
                        <c15:formulaRef>
                          <c15:sqref>Plot!$AN$3:$AN$6</c15:sqref>
                        </c15:formulaRef>
                      </c:ext>
                    </c:extLst>
                    <c:numCache>
                      <c:formatCode>General</c:formatCode>
                      <c:ptCount val="4"/>
                      <c:pt idx="0">
                        <c:v>53685.274700000002</c:v>
                      </c:pt>
                      <c:pt idx="1">
                        <c:v>13525.452600000001</c:v>
                      </c:pt>
                      <c:pt idx="2">
                        <c:v>7305.2511000000004</c:v>
                      </c:pt>
                      <c:pt idx="3">
                        <c:v>4044.0947000000001</c:v>
                      </c:pt>
                    </c:numCache>
                  </c:numRef>
                </c:xVal>
                <c:yVal>
                  <c:numRef>
                    <c:extLst>
                      <c:ext uri="{02D57815-91ED-43cb-92C2-25804820EDAC}">
                        <c15:formulaRef>
                          <c15:sqref>Plot!$AO$3:$AO$6</c15:sqref>
                        </c15:formulaRef>
                      </c:ext>
                    </c:extLst>
                    <c:numCache>
                      <c:formatCode>General</c:formatCode>
                      <c:ptCount val="4"/>
                      <c:pt idx="0">
                        <c:v>40.540900000000001</c:v>
                      </c:pt>
                      <c:pt idx="1">
                        <c:v>37.639800000000001</c:v>
                      </c:pt>
                      <c:pt idx="2">
                        <c:v>36.507800000000003</c:v>
                      </c:pt>
                      <c:pt idx="3">
                        <c:v>34.968699999999998</c:v>
                      </c:pt>
                    </c:numCache>
                  </c:numRef>
                </c:yVal>
                <c:smooth val="1"/>
                <c:extLst>
                  <c:ext xmlns:c16="http://schemas.microsoft.com/office/drawing/2014/chart" uri="{C3380CC4-5D6E-409C-BE32-E72D297353CC}">
                    <c16:uniqueId val="{00000002-7058-4752-87FC-344666D2D66B}"/>
                  </c:ext>
                </c:extLst>
              </c15:ser>
            </c15:filteredScatterSeries>
          </c:ext>
        </c:extLst>
      </c:scatterChart>
      <c:valAx>
        <c:axId val="659110944"/>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659113296"/>
        <c:crosses val="autoZero"/>
        <c:crossBetween val="midCat"/>
      </c:valAx>
      <c:valAx>
        <c:axId val="659113296"/>
        <c:scaling>
          <c:orientation val="minMax"/>
          <c:max val="42"/>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2.3140533359256001E-2"/>
              <c:y val="0.42146618588564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6591109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Y PSNR vs Bitrate</a:t>
            </a:r>
          </a:p>
        </c:rich>
      </c:tx>
      <c:layout>
        <c:manualLayout>
          <c:xMode val="edge"/>
          <c:yMode val="edge"/>
          <c:x val="0.42148731408573897"/>
          <c:y val="3.1413643388034401E-2"/>
        </c:manualLayout>
      </c:layout>
      <c:overlay val="0"/>
      <c:spPr>
        <a:noFill/>
        <a:ln w="25400">
          <a:noFill/>
        </a:ln>
      </c:spPr>
    </c:title>
    <c:autoTitleDeleted val="0"/>
    <c:plotArea>
      <c:layout>
        <c:manualLayout>
          <c:layoutTarget val="inner"/>
          <c:xMode val="edge"/>
          <c:yMode val="edge"/>
          <c:x val="7.9338794950852096E-2"/>
          <c:y val="0.115183282880784"/>
          <c:w val="0.874379636020849"/>
          <c:h val="0.76439815002701905"/>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Plot!$AD$3:$AD$18</c:f>
              <c:numCache>
                <c:formatCode>General</c:formatCode>
                <c:ptCount val="16"/>
                <c:pt idx="0">
                  <c:v>58872.337899999999</c:v>
                </c:pt>
                <c:pt idx="1">
                  <c:v>27616.438399999999</c:v>
                </c:pt>
                <c:pt idx="2">
                  <c:v>17387.166300000001</c:v>
                </c:pt>
                <c:pt idx="3">
                  <c:v>13712.501099999999</c:v>
                </c:pt>
                <c:pt idx="4">
                  <c:v>11826.653700000001</c:v>
                </c:pt>
                <c:pt idx="5">
                  <c:v>10317.6474</c:v>
                </c:pt>
                <c:pt idx="6">
                  <c:v>9062.1520999999993</c:v>
                </c:pt>
                <c:pt idx="7">
                  <c:v>8002.8032000000003</c:v>
                </c:pt>
                <c:pt idx="8">
                  <c:v>7069.0216</c:v>
                </c:pt>
                <c:pt idx="9">
                  <c:v>6256.5978999999998</c:v>
                </c:pt>
                <c:pt idx="10">
                  <c:v>5549.9967999999999</c:v>
                </c:pt>
                <c:pt idx="11">
                  <c:v>4917.6031999999996</c:v>
                </c:pt>
                <c:pt idx="12">
                  <c:v>4416.8432000000003</c:v>
                </c:pt>
                <c:pt idx="13">
                  <c:v>3912.6457999999998</c:v>
                </c:pt>
                <c:pt idx="14">
                  <c:v>3456.9283999999998</c:v>
                </c:pt>
                <c:pt idx="15">
                  <c:v>3049.4384</c:v>
                </c:pt>
              </c:numCache>
            </c:numRef>
          </c:xVal>
          <c:yVal>
            <c:numRef>
              <c:f>Plot!$AE$3:$AE$18</c:f>
              <c:numCache>
                <c:formatCode>General</c:formatCode>
                <c:ptCount val="16"/>
                <c:pt idx="0">
                  <c:v>41.7622</c:v>
                </c:pt>
                <c:pt idx="1">
                  <c:v>39.087400000000002</c:v>
                </c:pt>
                <c:pt idx="2">
                  <c:v>38.304600000000001</c:v>
                </c:pt>
                <c:pt idx="3">
                  <c:v>37.999600000000001</c:v>
                </c:pt>
                <c:pt idx="4">
                  <c:v>37.820799999999998</c:v>
                </c:pt>
                <c:pt idx="5">
                  <c:v>37.640900000000002</c:v>
                </c:pt>
                <c:pt idx="6">
                  <c:v>37.456899999999997</c:v>
                </c:pt>
                <c:pt idx="7">
                  <c:v>37.265099999999997</c:v>
                </c:pt>
                <c:pt idx="8">
                  <c:v>37.0608</c:v>
                </c:pt>
                <c:pt idx="9">
                  <c:v>36.838500000000003</c:v>
                </c:pt>
                <c:pt idx="10">
                  <c:v>36.601399999999998</c:v>
                </c:pt>
                <c:pt idx="11">
                  <c:v>36.344999999999999</c:v>
                </c:pt>
                <c:pt idx="12">
                  <c:v>36.067399999999999</c:v>
                </c:pt>
                <c:pt idx="13">
                  <c:v>35.7744</c:v>
                </c:pt>
                <c:pt idx="14">
                  <c:v>35.457999999999998</c:v>
                </c:pt>
                <c:pt idx="15">
                  <c:v>35.119199999999999</c:v>
                </c:pt>
              </c:numCache>
            </c:numRef>
          </c:yVal>
          <c:smooth val="1"/>
          <c:extLst>
            <c:ext xmlns:c16="http://schemas.microsoft.com/office/drawing/2014/chart" uri="{C3380CC4-5D6E-409C-BE32-E72D297353CC}">
              <c16:uniqueId val="{00000000-7058-4752-87FC-344666D2D66B}"/>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Plot!$AI$3:$AI$18</c:f>
              <c:numCache>
                <c:formatCode>General</c:formatCode>
                <c:ptCount val="16"/>
                <c:pt idx="0">
                  <c:v>55415.283199999998</c:v>
                </c:pt>
                <c:pt idx="1">
                  <c:v>40714.245799999997</c:v>
                </c:pt>
                <c:pt idx="2">
                  <c:v>25668.048900000002</c:v>
                </c:pt>
                <c:pt idx="3">
                  <c:v>16458.301599999999</c:v>
                </c:pt>
                <c:pt idx="4">
                  <c:v>13360.256799999999</c:v>
                </c:pt>
                <c:pt idx="5">
                  <c:v>11537.9684</c:v>
                </c:pt>
                <c:pt idx="6">
                  <c:v>10070.85</c:v>
                </c:pt>
                <c:pt idx="7">
                  <c:v>8869.7795000000006</c:v>
                </c:pt>
                <c:pt idx="8">
                  <c:v>7826.5784000000003</c:v>
                </c:pt>
                <c:pt idx="9">
                  <c:v>6919.3184000000001</c:v>
                </c:pt>
                <c:pt idx="10">
                  <c:v>6136.1936999999998</c:v>
                </c:pt>
                <c:pt idx="11">
                  <c:v>5435.5088999999998</c:v>
                </c:pt>
                <c:pt idx="12">
                  <c:v>4884.4389000000001</c:v>
                </c:pt>
                <c:pt idx="13">
                  <c:v>4330.9705000000004</c:v>
                </c:pt>
                <c:pt idx="14">
                  <c:v>3832.6136999999999</c:v>
                </c:pt>
                <c:pt idx="15">
                  <c:v>3386.1867999999999</c:v>
                </c:pt>
              </c:numCache>
            </c:numRef>
          </c:xVal>
          <c:yVal>
            <c:numRef>
              <c:f>Plot!$AJ$3:$AJ$18</c:f>
              <c:numCache>
                <c:formatCode>General</c:formatCode>
                <c:ptCount val="16"/>
                <c:pt idx="0">
                  <c:v>41.450099999999999</c:v>
                </c:pt>
                <c:pt idx="1">
                  <c:v>40.157200000000003</c:v>
                </c:pt>
                <c:pt idx="2">
                  <c:v>38.948599999999999</c:v>
                </c:pt>
                <c:pt idx="3">
                  <c:v>38.231400000000001</c:v>
                </c:pt>
                <c:pt idx="4">
                  <c:v>37.9803</c:v>
                </c:pt>
                <c:pt idx="5">
                  <c:v>37.798499999999997</c:v>
                </c:pt>
                <c:pt idx="6">
                  <c:v>37.619100000000003</c:v>
                </c:pt>
                <c:pt idx="7">
                  <c:v>37.435699999999997</c:v>
                </c:pt>
                <c:pt idx="8">
                  <c:v>37.244199999999999</c:v>
                </c:pt>
                <c:pt idx="9">
                  <c:v>37.0349</c:v>
                </c:pt>
                <c:pt idx="10">
                  <c:v>36.813099999999999</c:v>
                </c:pt>
                <c:pt idx="11">
                  <c:v>36.571899999999999</c:v>
                </c:pt>
                <c:pt idx="12">
                  <c:v>36.313000000000002</c:v>
                </c:pt>
                <c:pt idx="13">
                  <c:v>36.036799999999999</c:v>
                </c:pt>
                <c:pt idx="14">
                  <c:v>35.738900000000001</c:v>
                </c:pt>
                <c:pt idx="15">
                  <c:v>35.417000000000002</c:v>
                </c:pt>
              </c:numCache>
            </c:numRef>
          </c:yVal>
          <c:smooth val="1"/>
          <c:extLst>
            <c:ext xmlns:c16="http://schemas.microsoft.com/office/drawing/2014/chart" uri="{C3380CC4-5D6E-409C-BE32-E72D297353CC}">
              <c16:uniqueId val="{00000001-7058-4752-87FC-344666D2D66B}"/>
            </c:ext>
          </c:extLst>
        </c:ser>
        <c:dLbls>
          <c:showLegendKey val="0"/>
          <c:showVal val="0"/>
          <c:showCatName val="0"/>
          <c:showSerName val="0"/>
          <c:showPercent val="0"/>
          <c:showBubbleSize val="0"/>
        </c:dLbls>
        <c:axId val="659116432"/>
        <c:axId val="659112904"/>
      </c:scatterChart>
      <c:valAx>
        <c:axId val="659116432"/>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950383979780302"/>
              <c:y val="0.9293194986140750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659112904"/>
        <c:crosses val="autoZero"/>
        <c:crossBetween val="midCat"/>
      </c:valAx>
      <c:valAx>
        <c:axId val="659112904"/>
        <c:scaling>
          <c:orientation val="minMax"/>
          <c:max val="42"/>
          <c:min val="35"/>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Y PSNR (dB)</a:t>
                </a:r>
              </a:p>
            </c:rich>
          </c:tx>
          <c:layout>
            <c:manualLayout>
              <c:xMode val="edge"/>
              <c:yMode val="edge"/>
              <c:x val="2.3140533359256001E-2"/>
              <c:y val="0.421466185885643"/>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65911643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049460484106104"/>
          <c:y val="0.80000078494861004"/>
          <c:w val="0.29305375716924298"/>
          <c:h val="9.6969019059533507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Plot!$AD$3:$AD$6</c:f>
              <c:numCache>
                <c:formatCode>General</c:formatCode>
                <c:ptCount val="4"/>
                <c:pt idx="0">
                  <c:v>58872.337899999999</c:v>
                </c:pt>
                <c:pt idx="1">
                  <c:v>10317.6474</c:v>
                </c:pt>
                <c:pt idx="2">
                  <c:v>5549.9967999999999</c:v>
                </c:pt>
                <c:pt idx="3">
                  <c:v>3049.4384</c:v>
                </c:pt>
              </c:numCache>
            </c:numRef>
          </c:xVal>
          <c:yVal>
            <c:numRef>
              <c:f>Plot!$AF$3:$AF$6</c:f>
              <c:numCache>
                <c:formatCode>General</c:formatCode>
                <c:ptCount val="4"/>
                <c:pt idx="0">
                  <c:v>46.073999999999998</c:v>
                </c:pt>
                <c:pt idx="1">
                  <c:v>44.744900000000001</c:v>
                </c:pt>
                <c:pt idx="2">
                  <c:v>43.375599999999999</c:v>
                </c:pt>
                <c:pt idx="3">
                  <c:v>42.131100000000004</c:v>
                </c:pt>
              </c:numCache>
            </c:numRef>
          </c:yVal>
          <c:smooth val="1"/>
          <c:extLst>
            <c:ext xmlns:c16="http://schemas.microsoft.com/office/drawing/2014/chart" uri="{C3380CC4-5D6E-409C-BE32-E72D297353CC}">
              <c16:uniqueId val="{00000000-66A9-4270-871F-840E28B4985C}"/>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Plot!$AI$3:$AI$6</c:f>
              <c:numCache>
                <c:formatCode>General</c:formatCode>
                <c:ptCount val="4"/>
                <c:pt idx="0">
                  <c:v>55415.283199999998</c:v>
                </c:pt>
                <c:pt idx="1">
                  <c:v>11537.9684</c:v>
                </c:pt>
                <c:pt idx="2">
                  <c:v>6136.1936999999998</c:v>
                </c:pt>
                <c:pt idx="3">
                  <c:v>3386.1867999999999</c:v>
                </c:pt>
              </c:numCache>
            </c:numRef>
          </c:xVal>
          <c:yVal>
            <c:numRef>
              <c:f>Plot!$AK$3:$AK$6</c:f>
              <c:numCache>
                <c:formatCode>General</c:formatCode>
                <c:ptCount val="4"/>
                <c:pt idx="0">
                  <c:v>46.046399999999998</c:v>
                </c:pt>
                <c:pt idx="1">
                  <c:v>44.865900000000003</c:v>
                </c:pt>
                <c:pt idx="2">
                  <c:v>43.512599999999999</c:v>
                </c:pt>
                <c:pt idx="3">
                  <c:v>42.284999999999997</c:v>
                </c:pt>
              </c:numCache>
            </c:numRef>
          </c:yVal>
          <c:smooth val="1"/>
          <c:extLst>
            <c:ext xmlns:c16="http://schemas.microsoft.com/office/drawing/2014/chart" uri="{C3380CC4-5D6E-409C-BE32-E72D297353CC}">
              <c16:uniqueId val="{00000001-66A9-4270-871F-840E28B4985C}"/>
            </c:ext>
          </c:extLst>
        </c:ser>
        <c:dLbls>
          <c:showLegendKey val="0"/>
          <c:showVal val="0"/>
          <c:showCatName val="0"/>
          <c:showSerName val="0"/>
          <c:showPercent val="0"/>
          <c:showBubbleSize val="0"/>
        </c:dLbls>
        <c:axId val="531265112"/>
        <c:axId val="531266288"/>
        <c:extLst>
          <c:ext xmlns:c15="http://schemas.microsoft.com/office/drawing/2012/chart" uri="{02D57815-91ED-43cb-92C2-25804820EDAC}">
            <c15:filteredScatterSeries>
              <c15:ser>
                <c:idx val="2"/>
                <c:order val="2"/>
                <c:tx>
                  <c:strRef>
                    <c:extLst>
                      <c:ext uri="{02D57815-91ED-43cb-92C2-25804820EDAC}">
                        <c15:formulaRef>
                          <c15:sqref>Summary!$O$5</c15:sqref>
                        </c15:formulaRef>
                      </c:ext>
                    </c:extLst>
                    <c:strCache>
                      <c:ptCount val="1"/>
                      <c:pt idx="0">
                        <c:v>HM16.20-HM420-JCTVC-AF1100</c:v>
                      </c:pt>
                    </c:strCache>
                  </c:strRef>
                </c:tx>
                <c:spPr>
                  <a:ln w="15875"/>
                </c:spPr>
                <c:xVal>
                  <c:numRef>
                    <c:extLst>
                      <c:ext uri="{02D57815-91ED-43cb-92C2-25804820EDAC}">
                        <c15:formulaRef>
                          <c15:sqref>Plot!$AN$3:$AN$6</c15:sqref>
                        </c15:formulaRef>
                      </c:ext>
                    </c:extLst>
                    <c:numCache>
                      <c:formatCode>General</c:formatCode>
                      <c:ptCount val="4"/>
                      <c:pt idx="0">
                        <c:v>53685.274700000002</c:v>
                      </c:pt>
                      <c:pt idx="1">
                        <c:v>13525.452600000001</c:v>
                      </c:pt>
                      <c:pt idx="2">
                        <c:v>7305.2511000000004</c:v>
                      </c:pt>
                      <c:pt idx="3">
                        <c:v>4044.0947000000001</c:v>
                      </c:pt>
                    </c:numCache>
                  </c:numRef>
                </c:xVal>
                <c:yVal>
                  <c:numRef>
                    <c:extLst>
                      <c:ext uri="{02D57815-91ED-43cb-92C2-25804820EDAC}">
                        <c15:formulaRef>
                          <c15:sqref>Plot!$AP$3:$AP$6</c15:sqref>
                        </c15:formulaRef>
                      </c:ext>
                    </c:extLst>
                    <c:numCache>
                      <c:formatCode>General</c:formatCode>
                      <c:ptCount val="4"/>
                      <c:pt idx="0">
                        <c:v>45.938699999999997</c:v>
                      </c:pt>
                      <c:pt idx="1">
                        <c:v>44.407499999999999</c:v>
                      </c:pt>
                      <c:pt idx="2">
                        <c:v>43.048699999999997</c:v>
                      </c:pt>
                      <c:pt idx="3">
                        <c:v>42.046399999999998</c:v>
                      </c:pt>
                    </c:numCache>
                  </c:numRef>
                </c:yVal>
                <c:smooth val="1"/>
                <c:extLst>
                  <c:ext xmlns:c16="http://schemas.microsoft.com/office/drawing/2014/chart" uri="{C3380CC4-5D6E-409C-BE32-E72D297353CC}">
                    <c16:uniqueId val="{00000002-66A9-4270-871F-840E28B4985C}"/>
                  </c:ext>
                </c:extLst>
              </c15:ser>
            </c15:filteredScatterSeries>
          </c:ext>
        </c:extLst>
      </c:scatterChart>
      <c:valAx>
        <c:axId val="531265112"/>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31266288"/>
        <c:crosses val="autoZero"/>
        <c:crossBetween val="midCat"/>
      </c:valAx>
      <c:valAx>
        <c:axId val="531266288"/>
        <c:scaling>
          <c:orientation val="minMax"/>
          <c:max val="47"/>
          <c:min val="4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U PSNR (dB)</a:t>
                </a:r>
              </a:p>
            </c:rich>
          </c:tx>
          <c:layout>
            <c:manualLayout>
              <c:xMode val="edge"/>
              <c:yMode val="edge"/>
              <c:x val="2.3178870255556702E-2"/>
              <c:y val="0.42036589001793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31265112"/>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75" b="1" i="0" u="none" strike="noStrike" baseline="0">
                <a:solidFill>
                  <a:srgbClr val="000000"/>
                </a:solidFill>
                <a:latin typeface="Arial"/>
                <a:ea typeface="Arial"/>
                <a:cs typeface="Arial"/>
              </a:defRPr>
            </a:pPr>
            <a:r>
              <a:rPr lang="en-US"/>
              <a:t>U PSNR vs Bitrate</a:t>
            </a:r>
          </a:p>
        </c:rich>
      </c:tx>
      <c:layout>
        <c:manualLayout>
          <c:xMode val="edge"/>
          <c:yMode val="edge"/>
          <c:x val="0.41887453808694203"/>
          <c:y val="3.1331642203942398E-2"/>
        </c:manualLayout>
      </c:layout>
      <c:overlay val="0"/>
      <c:spPr>
        <a:noFill/>
        <a:ln w="25400">
          <a:noFill/>
        </a:ln>
      </c:spPr>
    </c:title>
    <c:autoTitleDeleted val="0"/>
    <c:plotArea>
      <c:layout>
        <c:manualLayout>
          <c:layoutTarget val="inner"/>
          <c:xMode val="edge"/>
          <c:yMode val="edge"/>
          <c:x val="7.9470262920263796E-2"/>
          <c:y val="0.117493584928031"/>
          <c:w val="0.87417289212290195"/>
          <c:h val="0.762402817755224"/>
        </c:manualLayout>
      </c:layout>
      <c:scatterChart>
        <c:scatterStyle val="smoothMarker"/>
        <c:varyColors val="0"/>
        <c:ser>
          <c:idx val="0"/>
          <c:order val="0"/>
          <c:tx>
            <c:strRef>
              <c:f>Summary!$O$3</c:f>
              <c:strCache>
                <c:ptCount val="1"/>
                <c:pt idx="0">
                  <c:v>VTM6.1-Benchmark-VTM-JVET-M1010</c:v>
                </c:pt>
              </c:strCache>
            </c:strRef>
          </c:tx>
          <c:spPr>
            <a:ln w="12700">
              <a:solidFill>
                <a:srgbClr val="000000"/>
              </a:solidFill>
              <a:prstDash val="solid"/>
            </a:ln>
          </c:spPr>
          <c:marker>
            <c:symbol val="diamond"/>
            <c:size val="5"/>
            <c:spPr>
              <a:solidFill>
                <a:srgbClr val="000000"/>
              </a:solidFill>
              <a:ln>
                <a:solidFill>
                  <a:srgbClr val="000000"/>
                </a:solidFill>
                <a:prstDash val="solid"/>
              </a:ln>
            </c:spPr>
          </c:marker>
          <c:xVal>
            <c:numRef>
              <c:f>Plot!$AD$3:$AD$18</c:f>
              <c:numCache>
                <c:formatCode>General</c:formatCode>
                <c:ptCount val="16"/>
                <c:pt idx="0">
                  <c:v>58872.337899999999</c:v>
                </c:pt>
                <c:pt idx="1">
                  <c:v>27616.438399999999</c:v>
                </c:pt>
                <c:pt idx="2">
                  <c:v>17387.166300000001</c:v>
                </c:pt>
                <c:pt idx="3">
                  <c:v>13712.501099999999</c:v>
                </c:pt>
                <c:pt idx="4">
                  <c:v>11826.653700000001</c:v>
                </c:pt>
                <c:pt idx="5">
                  <c:v>10317.6474</c:v>
                </c:pt>
                <c:pt idx="6">
                  <c:v>9062.1520999999993</c:v>
                </c:pt>
                <c:pt idx="7">
                  <c:v>8002.8032000000003</c:v>
                </c:pt>
                <c:pt idx="8">
                  <c:v>7069.0216</c:v>
                </c:pt>
                <c:pt idx="9">
                  <c:v>6256.5978999999998</c:v>
                </c:pt>
                <c:pt idx="10">
                  <c:v>5549.9967999999999</c:v>
                </c:pt>
                <c:pt idx="11">
                  <c:v>4917.6031999999996</c:v>
                </c:pt>
                <c:pt idx="12">
                  <c:v>4416.8432000000003</c:v>
                </c:pt>
                <c:pt idx="13">
                  <c:v>3912.6457999999998</c:v>
                </c:pt>
                <c:pt idx="14">
                  <c:v>3456.9283999999998</c:v>
                </c:pt>
                <c:pt idx="15">
                  <c:v>3049.4384</c:v>
                </c:pt>
              </c:numCache>
            </c:numRef>
          </c:xVal>
          <c:yVal>
            <c:numRef>
              <c:f>Plot!$AF$3:$AF$18</c:f>
              <c:numCache>
                <c:formatCode>General</c:formatCode>
                <c:ptCount val="16"/>
                <c:pt idx="0">
                  <c:v>46.073999999999998</c:v>
                </c:pt>
                <c:pt idx="1">
                  <c:v>45.699800000000003</c:v>
                </c:pt>
                <c:pt idx="2">
                  <c:v>45.462800000000001</c:v>
                </c:pt>
                <c:pt idx="3">
                  <c:v>45.238500000000002</c:v>
                </c:pt>
                <c:pt idx="4">
                  <c:v>44.999000000000002</c:v>
                </c:pt>
                <c:pt idx="5">
                  <c:v>44.744900000000001</c:v>
                </c:pt>
                <c:pt idx="6">
                  <c:v>44.4816</c:v>
                </c:pt>
                <c:pt idx="7">
                  <c:v>44.209400000000002</c:v>
                </c:pt>
                <c:pt idx="8">
                  <c:v>43.9268</c:v>
                </c:pt>
                <c:pt idx="9">
                  <c:v>43.660200000000003</c:v>
                </c:pt>
                <c:pt idx="10">
                  <c:v>43.375599999999999</c:v>
                </c:pt>
                <c:pt idx="11">
                  <c:v>43.077199999999998</c:v>
                </c:pt>
                <c:pt idx="12">
                  <c:v>43.067799999999998</c:v>
                </c:pt>
                <c:pt idx="13">
                  <c:v>42.772399999999998</c:v>
                </c:pt>
                <c:pt idx="14">
                  <c:v>42.447299999999998</c:v>
                </c:pt>
                <c:pt idx="15">
                  <c:v>42.131100000000004</c:v>
                </c:pt>
              </c:numCache>
            </c:numRef>
          </c:yVal>
          <c:smooth val="1"/>
          <c:extLst>
            <c:ext xmlns:c16="http://schemas.microsoft.com/office/drawing/2014/chart" uri="{C3380CC4-5D6E-409C-BE32-E72D297353CC}">
              <c16:uniqueId val="{00000000-66A9-4270-871F-840E28B4985C}"/>
            </c:ext>
          </c:extLst>
        </c:ser>
        <c:ser>
          <c:idx val="1"/>
          <c:order val="1"/>
          <c:tx>
            <c:strRef>
              <c:f>Summary!$O$4</c:f>
              <c:strCache>
                <c:ptCount val="1"/>
                <c:pt idx="0">
                  <c:v>VTM6.1_noLMCS-Benchmark-VTM-JVET-M1010</c:v>
                </c:pt>
              </c:strCache>
            </c:strRef>
          </c:tx>
          <c:spPr>
            <a:ln w="12700">
              <a:solidFill>
                <a:srgbClr val="DD2D32"/>
              </a:solidFill>
              <a:prstDash val="solid"/>
            </a:ln>
          </c:spPr>
          <c:marker>
            <c:symbol val="square"/>
            <c:size val="5"/>
            <c:spPr>
              <a:solidFill>
                <a:srgbClr val="DD2D32"/>
              </a:solidFill>
              <a:ln>
                <a:solidFill>
                  <a:srgbClr val="DD2D32"/>
                </a:solidFill>
                <a:prstDash val="solid"/>
              </a:ln>
            </c:spPr>
          </c:marker>
          <c:xVal>
            <c:numRef>
              <c:f>Plot!$AI$3:$AI$18</c:f>
              <c:numCache>
                <c:formatCode>General</c:formatCode>
                <c:ptCount val="16"/>
                <c:pt idx="0">
                  <c:v>55415.283199999998</c:v>
                </c:pt>
                <c:pt idx="1">
                  <c:v>40714.245799999997</c:v>
                </c:pt>
                <c:pt idx="2">
                  <c:v>25668.048900000002</c:v>
                </c:pt>
                <c:pt idx="3">
                  <c:v>16458.301599999999</c:v>
                </c:pt>
                <c:pt idx="4">
                  <c:v>13360.256799999999</c:v>
                </c:pt>
                <c:pt idx="5">
                  <c:v>11537.9684</c:v>
                </c:pt>
                <c:pt idx="6">
                  <c:v>10070.85</c:v>
                </c:pt>
                <c:pt idx="7">
                  <c:v>8869.7795000000006</c:v>
                </c:pt>
                <c:pt idx="8">
                  <c:v>7826.5784000000003</c:v>
                </c:pt>
                <c:pt idx="9">
                  <c:v>6919.3184000000001</c:v>
                </c:pt>
                <c:pt idx="10">
                  <c:v>6136.1936999999998</c:v>
                </c:pt>
                <c:pt idx="11">
                  <c:v>5435.5088999999998</c:v>
                </c:pt>
                <c:pt idx="12">
                  <c:v>4884.4389000000001</c:v>
                </c:pt>
                <c:pt idx="13">
                  <c:v>4330.9705000000004</c:v>
                </c:pt>
                <c:pt idx="14">
                  <c:v>3832.6136999999999</c:v>
                </c:pt>
                <c:pt idx="15">
                  <c:v>3386.1867999999999</c:v>
                </c:pt>
              </c:numCache>
            </c:numRef>
          </c:xVal>
          <c:yVal>
            <c:numRef>
              <c:f>Plot!$AK$3:$AK$18</c:f>
              <c:numCache>
                <c:formatCode>General</c:formatCode>
                <c:ptCount val="16"/>
                <c:pt idx="0">
                  <c:v>46.046399999999998</c:v>
                </c:pt>
                <c:pt idx="1">
                  <c:v>45.820500000000003</c:v>
                </c:pt>
                <c:pt idx="2">
                  <c:v>45.5852</c:v>
                </c:pt>
                <c:pt idx="3">
                  <c:v>45.354900000000001</c:v>
                </c:pt>
                <c:pt idx="4">
                  <c:v>45.118400000000001</c:v>
                </c:pt>
                <c:pt idx="5">
                  <c:v>44.865900000000003</c:v>
                </c:pt>
                <c:pt idx="6">
                  <c:v>44.607100000000003</c:v>
                </c:pt>
                <c:pt idx="7">
                  <c:v>44.338299999999997</c:v>
                </c:pt>
                <c:pt idx="8">
                  <c:v>44.058799999999998</c:v>
                </c:pt>
                <c:pt idx="9">
                  <c:v>43.798000000000002</c:v>
                </c:pt>
                <c:pt idx="10">
                  <c:v>43.512599999999999</c:v>
                </c:pt>
                <c:pt idx="11">
                  <c:v>43.219000000000001</c:v>
                </c:pt>
                <c:pt idx="12">
                  <c:v>43.216900000000003</c:v>
                </c:pt>
                <c:pt idx="13">
                  <c:v>42.9163</c:v>
                </c:pt>
                <c:pt idx="14">
                  <c:v>42.597700000000003</c:v>
                </c:pt>
                <c:pt idx="15">
                  <c:v>42.284999999999997</c:v>
                </c:pt>
              </c:numCache>
            </c:numRef>
          </c:yVal>
          <c:smooth val="1"/>
          <c:extLst>
            <c:ext xmlns:c16="http://schemas.microsoft.com/office/drawing/2014/chart" uri="{C3380CC4-5D6E-409C-BE32-E72D297353CC}">
              <c16:uniqueId val="{00000001-66A9-4270-871F-840E28B4985C}"/>
            </c:ext>
          </c:extLst>
        </c:ser>
        <c:dLbls>
          <c:showLegendKey val="0"/>
          <c:showVal val="0"/>
          <c:showCatName val="0"/>
          <c:showSerName val="0"/>
          <c:showPercent val="0"/>
          <c:showBubbleSize val="0"/>
        </c:dLbls>
        <c:axId val="531263544"/>
        <c:axId val="531263936"/>
      </c:scatterChart>
      <c:valAx>
        <c:axId val="531263544"/>
        <c:scaling>
          <c:orientation val="minMax"/>
          <c:max val="60000"/>
        </c:scaling>
        <c:delete val="0"/>
        <c:axPos val="b"/>
        <c:title>
          <c:tx>
            <c:rich>
              <a:bodyPr/>
              <a:lstStyle/>
              <a:p>
                <a:pPr>
                  <a:defRPr sz="900" b="1" i="0" u="none" strike="noStrike" baseline="0">
                    <a:solidFill>
                      <a:srgbClr val="000000"/>
                    </a:solidFill>
                    <a:latin typeface="Arial"/>
                    <a:ea typeface="Arial"/>
                    <a:cs typeface="Arial"/>
                  </a:defRPr>
                </a:pPr>
                <a:r>
                  <a:rPr lang="en-US"/>
                  <a:t>bitrate (kbps)</a:t>
                </a:r>
              </a:p>
            </c:rich>
          </c:tx>
          <c:layout>
            <c:manualLayout>
              <c:xMode val="edge"/>
              <c:yMode val="edge"/>
              <c:x val="0.458609670082958"/>
              <c:y val="0.92950473369599795"/>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31263936"/>
        <c:crosses val="autoZero"/>
        <c:crossBetween val="midCat"/>
      </c:valAx>
      <c:valAx>
        <c:axId val="531263936"/>
        <c:scaling>
          <c:orientation val="minMax"/>
          <c:min val="42"/>
        </c:scaling>
        <c:delete val="0"/>
        <c:axPos val="l"/>
        <c:majorGridlines>
          <c:spPr>
            <a:ln w="3175">
              <a:solidFill>
                <a:srgbClr val="000000"/>
              </a:solidFill>
              <a:prstDash val="solid"/>
            </a:ln>
          </c:spPr>
        </c:majorGridlines>
        <c:minorGridlines>
          <c:spPr>
            <a:ln w="3175">
              <a:solidFill>
                <a:srgbClr val="808080"/>
              </a:solidFill>
              <a:prstDash val="solid"/>
            </a:ln>
          </c:spPr>
        </c:minorGridlines>
        <c:title>
          <c:tx>
            <c:rich>
              <a:bodyPr/>
              <a:lstStyle/>
              <a:p>
                <a:pPr>
                  <a:defRPr sz="900" b="1" i="0" u="none" strike="noStrike" baseline="0">
                    <a:solidFill>
                      <a:srgbClr val="000000"/>
                    </a:solidFill>
                    <a:latin typeface="Arial"/>
                    <a:ea typeface="Arial"/>
                    <a:cs typeface="Arial"/>
                  </a:defRPr>
                </a:pPr>
                <a:r>
                  <a:rPr lang="en-US"/>
                  <a:t>U PSNR (dB)</a:t>
                </a:r>
              </a:p>
            </c:rich>
          </c:tx>
          <c:layout>
            <c:manualLayout>
              <c:xMode val="edge"/>
              <c:yMode val="edge"/>
              <c:x val="2.3178870255556702E-2"/>
              <c:y val="0.420365890017938"/>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531263544"/>
        <c:crosses val="autoZero"/>
        <c:crossBetween val="midCat"/>
        <c:majorUnit val="1"/>
        <c:minorUnit val="0.5"/>
      </c:valAx>
      <c:spPr>
        <a:solidFill>
          <a:srgbClr val="D9D9D9"/>
        </a:solidFill>
        <a:ln w="12700">
          <a:solidFill>
            <a:srgbClr val="808080"/>
          </a:solidFill>
          <a:prstDash val="solid"/>
        </a:ln>
      </c:spPr>
    </c:plotArea>
    <c:legend>
      <c:legendPos val="r"/>
      <c:layout>
        <c:manualLayout>
          <c:xMode val="edge"/>
          <c:yMode val="edge"/>
          <c:x val="0.661310259579728"/>
          <c:y val="0.79143526053656699"/>
          <c:w val="0.29011974862845502"/>
          <c:h val="9.6607868150559495E-2"/>
        </c:manualLayout>
      </c:layout>
      <c:overlay val="0"/>
      <c:spPr>
        <a:solidFill>
          <a:srgbClr val="FFFFFF"/>
        </a:solidFill>
        <a:ln w="3175">
          <a:solidFill>
            <a:srgbClr val="000000"/>
          </a:solidFill>
          <a:prstDash val="solid"/>
        </a:ln>
      </c:spPr>
      <c:txPr>
        <a:bodyPr/>
        <a:lstStyle/>
        <a:p>
          <a:pPr>
            <a:defRPr sz="630"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FoodMarket YUV PSNR LMCS=off (QP37)</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noLMCS_PSNR_allQP!$C$571:$C$608</c:f>
              <c:numCache>
                <c:formatCode>General</c:formatCode>
                <c:ptCount val="38"/>
                <c:pt idx="0">
                  <c:v>43.772599999999997</c:v>
                </c:pt>
                <c:pt idx="1">
                  <c:v>43.7669</c:v>
                </c:pt>
                <c:pt idx="2">
                  <c:v>43.7102</c:v>
                </c:pt>
                <c:pt idx="3">
                  <c:v>43.666699999999999</c:v>
                </c:pt>
                <c:pt idx="4">
                  <c:v>43.700800000000001</c:v>
                </c:pt>
                <c:pt idx="5">
                  <c:v>43.633099999999999</c:v>
                </c:pt>
                <c:pt idx="6">
                  <c:v>43.802599999999998</c:v>
                </c:pt>
                <c:pt idx="7">
                  <c:v>44.105499999999999</c:v>
                </c:pt>
                <c:pt idx="8">
                  <c:v>44.380899999999997</c:v>
                </c:pt>
                <c:pt idx="9">
                  <c:v>44.5961</c:v>
                </c:pt>
                <c:pt idx="10">
                  <c:v>44.6113</c:v>
                </c:pt>
                <c:pt idx="11">
                  <c:v>44.952100000000002</c:v>
                </c:pt>
                <c:pt idx="12">
                  <c:v>44.819600000000001</c:v>
                </c:pt>
                <c:pt idx="13">
                  <c:v>44.561799999999998</c:v>
                </c:pt>
                <c:pt idx="14">
                  <c:v>43.104100000000003</c:v>
                </c:pt>
                <c:pt idx="15">
                  <c:v>42.0364</c:v>
                </c:pt>
                <c:pt idx="16">
                  <c:v>41.299900000000001</c:v>
                </c:pt>
                <c:pt idx="17">
                  <c:v>40.777900000000002</c:v>
                </c:pt>
                <c:pt idx="18">
                  <c:v>40.360300000000002</c:v>
                </c:pt>
                <c:pt idx="19">
                  <c:v>39.8645</c:v>
                </c:pt>
                <c:pt idx="20">
                  <c:v>39.502800000000001</c:v>
                </c:pt>
                <c:pt idx="21">
                  <c:v>39.289299999999997</c:v>
                </c:pt>
                <c:pt idx="22">
                  <c:v>39.299399999999999</c:v>
                </c:pt>
                <c:pt idx="23">
                  <c:v>39.405700000000003</c:v>
                </c:pt>
                <c:pt idx="24">
                  <c:v>39.307299999999998</c:v>
                </c:pt>
                <c:pt idx="25">
                  <c:v>38.9101</c:v>
                </c:pt>
                <c:pt idx="26">
                  <c:v>38.679299999999998</c:v>
                </c:pt>
                <c:pt idx="27">
                  <c:v>38.394199999999998</c:v>
                </c:pt>
                <c:pt idx="28">
                  <c:v>38.139800000000001</c:v>
                </c:pt>
                <c:pt idx="29">
                  <c:v>37.843600000000002</c:v>
                </c:pt>
                <c:pt idx="30">
                  <c:v>37.473500000000001</c:v>
                </c:pt>
                <c:pt idx="31">
                  <c:v>37.367100000000001</c:v>
                </c:pt>
                <c:pt idx="32">
                  <c:v>37.221699999999998</c:v>
                </c:pt>
                <c:pt idx="33">
                  <c:v>37.170999999999999</c:v>
                </c:pt>
                <c:pt idx="34">
                  <c:v>37.1023</c:v>
                </c:pt>
                <c:pt idx="35">
                  <c:v>36.806699999999999</c:v>
                </c:pt>
                <c:pt idx="36">
                  <c:v>36.720799999999997</c:v>
                </c:pt>
                <c:pt idx="37">
                  <c:v>36.646299999999997</c:v>
                </c:pt>
              </c:numCache>
            </c:numRef>
          </c:val>
          <c:smooth val="0"/>
          <c:extLst>
            <c:ext xmlns:c16="http://schemas.microsoft.com/office/drawing/2014/chart" uri="{C3380CC4-5D6E-409C-BE32-E72D297353CC}">
              <c16:uniqueId val="{00000000-65FB-4E48-9DC4-9D92DC74D5AF}"/>
            </c:ext>
          </c:extLst>
        </c:ser>
        <c:dLbls>
          <c:showLegendKey val="0"/>
          <c:showVal val="0"/>
          <c:showCatName val="0"/>
          <c:showSerName val="0"/>
          <c:showPercent val="0"/>
          <c:showBubbleSize val="0"/>
        </c:dLbls>
        <c:marker val="1"/>
        <c:smooth val="0"/>
        <c:axId val="531264720"/>
        <c:axId val="530556144"/>
      </c:lineChart>
      <c:catAx>
        <c:axId val="531264720"/>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0556144"/>
        <c:crosses val="autoZero"/>
        <c:auto val="1"/>
        <c:lblAlgn val="ctr"/>
        <c:lblOffset val="100"/>
        <c:noMultiLvlLbl val="0"/>
      </c:catAx>
      <c:valAx>
        <c:axId val="530556144"/>
        <c:scaling>
          <c:orientation val="minMax"/>
          <c:min val="36"/>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264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BD Rate Tool-off</a:t>
            </a:r>
          </a:p>
        </c:rich>
      </c:tx>
      <c:layout>
        <c:manualLayout>
          <c:xMode val="edge"/>
          <c:yMode val="edge"/>
          <c:x val="0.38914324618879192"/>
          <c:y val="4.804805940934463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9954622960677"/>
          <c:y val="3.0699464330606642E-2"/>
          <c:w val="0.76049697996226151"/>
          <c:h val="0.93860107133878667"/>
        </c:manualLayout>
      </c:layout>
      <c:lineChart>
        <c:grouping val="standard"/>
        <c:varyColors val="0"/>
        <c:ser>
          <c:idx val="0"/>
          <c:order val="0"/>
          <c:tx>
            <c:v>Y</c:v>
          </c:tx>
          <c:spPr>
            <a:ln w="28575" cap="rnd">
              <a:solidFill>
                <a:schemeClr val="accent1"/>
              </a:solidFill>
              <a:round/>
            </a:ln>
            <a:effectLst/>
          </c:spPr>
          <c:marker>
            <c:symbol val="none"/>
          </c:marker>
          <c:val>
            <c:numRef>
              <c:f>'FoodMarket 4 point'!$X$3:$X$40</c:f>
              <c:numCache>
                <c:formatCode>0.00%</c:formatCode>
                <c:ptCount val="38"/>
                <c:pt idx="0">
                  <c:v>8.9894108410784046E-3</c:v>
                </c:pt>
                <c:pt idx="1">
                  <c:v>9.1489367620800621E-3</c:v>
                </c:pt>
                <c:pt idx="2">
                  <c:v>7.2977557536384463E-3</c:v>
                </c:pt>
                <c:pt idx="3">
                  <c:v>6.6269075655616128E-3</c:v>
                </c:pt>
                <c:pt idx="4">
                  <c:v>1.0768439213099779E-2</c:v>
                </c:pt>
                <c:pt idx="5">
                  <c:v>9.9762012602697681E-3</c:v>
                </c:pt>
                <c:pt idx="6">
                  <c:v>8.3541645875269133E-3</c:v>
                </c:pt>
                <c:pt idx="7">
                  <c:v>9.5034073964959109E-3</c:v>
                </c:pt>
                <c:pt idx="8">
                  <c:v>1.0356606842158556E-2</c:v>
                </c:pt>
                <c:pt idx="9">
                  <c:v>9.9687471424640961E-3</c:v>
                </c:pt>
                <c:pt idx="10">
                  <c:v>1.0471125638977563E-2</c:v>
                </c:pt>
                <c:pt idx="11">
                  <c:v>5.3757622653025638E-3</c:v>
                </c:pt>
                <c:pt idx="12">
                  <c:v>1.330435379708117E-2</c:v>
                </c:pt>
                <c:pt idx="13">
                  <c:v>1.5197503728122452E-2</c:v>
                </c:pt>
                <c:pt idx="14">
                  <c:v>4.3127032628311746E-3</c:v>
                </c:pt>
                <c:pt idx="15">
                  <c:v>5.4907188150132846E-4</c:v>
                </c:pt>
                <c:pt idx="16">
                  <c:v>3.4352873609848622E-3</c:v>
                </c:pt>
                <c:pt idx="17">
                  <c:v>-5.2351332533375761E-3</c:v>
                </c:pt>
                <c:pt idx="18">
                  <c:v>-4.0737853616281683E-3</c:v>
                </c:pt>
                <c:pt idx="19">
                  <c:v>-4.7688950203554903E-3</c:v>
                </c:pt>
                <c:pt idx="20">
                  <c:v>-4.0231562430694812E-3</c:v>
                </c:pt>
                <c:pt idx="21">
                  <c:v>-1.5732762750518825E-3</c:v>
                </c:pt>
                <c:pt idx="22">
                  <c:v>-3.4165490856112868E-3</c:v>
                </c:pt>
                <c:pt idx="23">
                  <c:v>-3.3378771511041183E-3</c:v>
                </c:pt>
                <c:pt idx="24">
                  <c:v>-6.9033103649474015E-3</c:v>
                </c:pt>
                <c:pt idx="25">
                  <c:v>-2.7589252345140425E-3</c:v>
                </c:pt>
                <c:pt idx="26">
                  <c:v>-4.5314943580910816E-3</c:v>
                </c:pt>
                <c:pt idx="27">
                  <c:v>-5.5281362076464724E-3</c:v>
                </c:pt>
                <c:pt idx="28">
                  <c:v>-7.3818271960168769E-3</c:v>
                </c:pt>
                <c:pt idx="29">
                  <c:v>-5.8330094828992207E-3</c:v>
                </c:pt>
                <c:pt idx="30">
                  <c:v>-5.9833786983441994E-3</c:v>
                </c:pt>
                <c:pt idx="31">
                  <c:v>-5.4780048785576518E-3</c:v>
                </c:pt>
                <c:pt idx="32">
                  <c:v>-5.8563869616063968E-3</c:v>
                </c:pt>
                <c:pt idx="33">
                  <c:v>-6.6954163126328181E-3</c:v>
                </c:pt>
                <c:pt idx="34">
                  <c:v>-7.1378946184819103E-3</c:v>
                </c:pt>
                <c:pt idx="35">
                  <c:v>-5.7336005865341599E-3</c:v>
                </c:pt>
                <c:pt idx="36">
                  <c:v>-6.2623089058726489E-3</c:v>
                </c:pt>
                <c:pt idx="37">
                  <c:v>-6.30304874281995E-3</c:v>
                </c:pt>
              </c:numCache>
            </c:numRef>
          </c:val>
          <c:smooth val="0"/>
          <c:extLst>
            <c:ext xmlns:c16="http://schemas.microsoft.com/office/drawing/2014/chart" uri="{C3380CC4-5D6E-409C-BE32-E72D297353CC}">
              <c16:uniqueId val="{00000000-D1D9-40CB-91B3-15E324B026F4}"/>
            </c:ext>
          </c:extLst>
        </c:ser>
        <c:ser>
          <c:idx val="1"/>
          <c:order val="1"/>
          <c:tx>
            <c:v>U</c:v>
          </c:tx>
          <c:spPr>
            <a:ln w="28575" cap="rnd">
              <a:solidFill>
                <a:schemeClr val="accent2"/>
              </a:solidFill>
              <a:round/>
            </a:ln>
            <a:effectLst/>
          </c:spPr>
          <c:marker>
            <c:symbol val="none"/>
          </c:marker>
          <c:val>
            <c:numRef>
              <c:f>'FoodMarket 4 point'!$Y$3:$Y$40</c:f>
              <c:numCache>
                <c:formatCode>0.00%</c:formatCode>
                <c:ptCount val="38"/>
                <c:pt idx="0">
                  <c:v>-2.9170047437961921E-2</c:v>
                </c:pt>
                <c:pt idx="1">
                  <c:v>-4.0733147955015925E-2</c:v>
                </c:pt>
                <c:pt idx="2">
                  <c:v>-2.7477946466473946E-2</c:v>
                </c:pt>
                <c:pt idx="3">
                  <c:v>-3.2367337982052713E-2</c:v>
                </c:pt>
                <c:pt idx="4">
                  <c:v>-4.0111038778562369E-2</c:v>
                </c:pt>
                <c:pt idx="5">
                  <c:v>-3.2276596638068478E-2</c:v>
                </c:pt>
                <c:pt idx="6">
                  <c:v>-3.9530955531739131E-2</c:v>
                </c:pt>
                <c:pt idx="7">
                  <c:v>-3.36431929233868E-2</c:v>
                </c:pt>
                <c:pt idx="8">
                  <c:v>-3.7217959665021283E-2</c:v>
                </c:pt>
                <c:pt idx="9">
                  <c:v>-5.0315585962379838E-2</c:v>
                </c:pt>
                <c:pt idx="10">
                  <c:v>-2.8789586897082997E-2</c:v>
                </c:pt>
                <c:pt idx="11">
                  <c:v>-3.2677370171585673E-2</c:v>
                </c:pt>
                <c:pt idx="12">
                  <c:v>-2.3932899419353615E-2</c:v>
                </c:pt>
                <c:pt idx="13">
                  <c:v>-4.2279435171502122E-2</c:v>
                </c:pt>
                <c:pt idx="14">
                  <c:v>-4.2499006881774326E-2</c:v>
                </c:pt>
                <c:pt idx="15">
                  <c:v>-1.7350496282392935E-2</c:v>
                </c:pt>
                <c:pt idx="16">
                  <c:v>-4.5773548729327929E-2</c:v>
                </c:pt>
                <c:pt idx="17">
                  <c:v>1.6985889937157994E-2</c:v>
                </c:pt>
                <c:pt idx="18">
                  <c:v>9.35338419863041E-3</c:v>
                </c:pt>
                <c:pt idx="19">
                  <c:v>1.486418768490716E-2</c:v>
                </c:pt>
                <c:pt idx="20">
                  <c:v>1.092247959442294E-2</c:v>
                </c:pt>
                <c:pt idx="21">
                  <c:v>7.3133189934588838E-3</c:v>
                </c:pt>
                <c:pt idx="22">
                  <c:v>1.6958662277840597E-2</c:v>
                </c:pt>
                <c:pt idx="23">
                  <c:v>1.3643800764155278E-2</c:v>
                </c:pt>
                <c:pt idx="24">
                  <c:v>1.9675375712888243E-2</c:v>
                </c:pt>
                <c:pt idx="25">
                  <c:v>1.2552831547845367E-2</c:v>
                </c:pt>
                <c:pt idx="26">
                  <c:v>1.3307821993963964E-2</c:v>
                </c:pt>
                <c:pt idx="27">
                  <c:v>2.3126845376661764E-2</c:v>
                </c:pt>
                <c:pt idx="28">
                  <c:v>2.7031620961548875E-2</c:v>
                </c:pt>
                <c:pt idx="29">
                  <c:v>2.0401040024870198E-2</c:v>
                </c:pt>
                <c:pt idx="30">
                  <c:v>2.0461761587621918E-2</c:v>
                </c:pt>
                <c:pt idx="31">
                  <c:v>2.8528161415856568E-2</c:v>
                </c:pt>
                <c:pt idx="32">
                  <c:v>3.0896345667709157E-2</c:v>
                </c:pt>
                <c:pt idx="33">
                  <c:v>3.3374647828953163E-2</c:v>
                </c:pt>
                <c:pt idx="34">
                  <c:v>3.032665414329605E-2</c:v>
                </c:pt>
                <c:pt idx="35">
                  <c:v>2.770346511306454E-2</c:v>
                </c:pt>
                <c:pt idx="36">
                  <c:v>3.0912248191709679E-2</c:v>
                </c:pt>
                <c:pt idx="37">
                  <c:v>3.0915637865187584E-2</c:v>
                </c:pt>
              </c:numCache>
            </c:numRef>
          </c:val>
          <c:smooth val="0"/>
          <c:extLst>
            <c:ext xmlns:c16="http://schemas.microsoft.com/office/drawing/2014/chart" uri="{C3380CC4-5D6E-409C-BE32-E72D297353CC}">
              <c16:uniqueId val="{00000001-D1D9-40CB-91B3-15E324B026F4}"/>
            </c:ext>
          </c:extLst>
        </c:ser>
        <c:ser>
          <c:idx val="2"/>
          <c:order val="2"/>
          <c:tx>
            <c:v>V</c:v>
          </c:tx>
          <c:spPr>
            <a:ln w="28575" cap="rnd">
              <a:solidFill>
                <a:schemeClr val="accent3"/>
              </a:solidFill>
              <a:round/>
            </a:ln>
            <a:effectLst/>
          </c:spPr>
          <c:marker>
            <c:symbol val="none"/>
          </c:marker>
          <c:val>
            <c:numRef>
              <c:f>'FoodMarket 4 point'!$Z$3:$Z$40</c:f>
              <c:numCache>
                <c:formatCode>0.00%</c:formatCode>
                <c:ptCount val="38"/>
                <c:pt idx="0">
                  <c:v>-3.9249946916609768E-2</c:v>
                </c:pt>
                <c:pt idx="1">
                  <c:v>-4.1381974509136388E-2</c:v>
                </c:pt>
                <c:pt idx="2">
                  <c:v>-4.262166779016141E-2</c:v>
                </c:pt>
                <c:pt idx="3">
                  <c:v>-3.1203903077166917E-2</c:v>
                </c:pt>
                <c:pt idx="4">
                  <c:v>-3.3041503591464405E-2</c:v>
                </c:pt>
                <c:pt idx="5">
                  <c:v>-3.7009368916693042E-2</c:v>
                </c:pt>
                <c:pt idx="6">
                  <c:v>-4.7958555262404334E-2</c:v>
                </c:pt>
                <c:pt idx="7">
                  <c:v>-4.4420496189884418E-2</c:v>
                </c:pt>
                <c:pt idx="8">
                  <c:v>-4.4514774916062372E-2</c:v>
                </c:pt>
                <c:pt idx="9">
                  <c:v>-3.3184107679416486E-2</c:v>
                </c:pt>
                <c:pt idx="10">
                  <c:v>-3.6007277951667138E-2</c:v>
                </c:pt>
                <c:pt idx="11">
                  <c:v>-4.2073769598035105E-2</c:v>
                </c:pt>
                <c:pt idx="12">
                  <c:v>-4.7354358296210264E-2</c:v>
                </c:pt>
                <c:pt idx="13">
                  <c:v>-4.5076097058374121E-2</c:v>
                </c:pt>
                <c:pt idx="14">
                  <c:v>-3.1329671572533191E-2</c:v>
                </c:pt>
                <c:pt idx="15">
                  <c:v>-1.3498639223389008E-2</c:v>
                </c:pt>
                <c:pt idx="16">
                  <c:v>-4.235050701471299E-2</c:v>
                </c:pt>
                <c:pt idx="17">
                  <c:v>1.987177763632908E-2</c:v>
                </c:pt>
                <c:pt idx="18">
                  <c:v>1.2407407695423034E-2</c:v>
                </c:pt>
                <c:pt idx="19">
                  <c:v>2.9367295178520658E-2</c:v>
                </c:pt>
                <c:pt idx="20">
                  <c:v>1.0009557486451826E-2</c:v>
                </c:pt>
                <c:pt idx="21">
                  <c:v>6.1356835071093574E-3</c:v>
                </c:pt>
                <c:pt idx="22">
                  <c:v>1.1287484242532564E-2</c:v>
                </c:pt>
                <c:pt idx="23">
                  <c:v>6.2024573866739097E-3</c:v>
                </c:pt>
                <c:pt idx="24">
                  <c:v>1.8880521058443733E-2</c:v>
                </c:pt>
                <c:pt idx="25">
                  <c:v>6.3438191600853067E-3</c:v>
                </c:pt>
                <c:pt idx="26">
                  <c:v>1.4140756100267993E-2</c:v>
                </c:pt>
                <c:pt idx="27">
                  <c:v>2.4229772035172292E-2</c:v>
                </c:pt>
                <c:pt idx="28">
                  <c:v>3.0221339678597081E-2</c:v>
                </c:pt>
                <c:pt idx="29">
                  <c:v>3.1698256018365401E-2</c:v>
                </c:pt>
                <c:pt idx="30">
                  <c:v>2.7025879350362159E-2</c:v>
                </c:pt>
                <c:pt idx="31">
                  <c:v>2.5760997949280329E-2</c:v>
                </c:pt>
                <c:pt idx="32">
                  <c:v>3.0318935646858058E-2</c:v>
                </c:pt>
                <c:pt idx="33">
                  <c:v>2.5019061259681896E-2</c:v>
                </c:pt>
                <c:pt idx="34">
                  <c:v>2.7524999353220503E-2</c:v>
                </c:pt>
                <c:pt idx="35">
                  <c:v>2.9564556803287179E-2</c:v>
                </c:pt>
                <c:pt idx="36">
                  <c:v>2.7500533097734481E-2</c:v>
                </c:pt>
                <c:pt idx="37">
                  <c:v>2.7942509533541049E-2</c:v>
                </c:pt>
              </c:numCache>
            </c:numRef>
          </c:val>
          <c:smooth val="0"/>
          <c:extLst>
            <c:ext xmlns:c16="http://schemas.microsoft.com/office/drawing/2014/chart" uri="{C3380CC4-5D6E-409C-BE32-E72D297353CC}">
              <c16:uniqueId val="{00000002-D1D9-40CB-91B3-15E324B026F4}"/>
            </c:ext>
          </c:extLst>
        </c:ser>
        <c:ser>
          <c:idx val="3"/>
          <c:order val="3"/>
          <c:tx>
            <c:v>YUV</c:v>
          </c:tx>
          <c:spPr>
            <a:ln w="28575" cap="rnd">
              <a:solidFill>
                <a:schemeClr val="accent4"/>
              </a:solidFill>
              <a:round/>
            </a:ln>
            <a:effectLst/>
          </c:spPr>
          <c:marker>
            <c:symbol val="none"/>
          </c:marker>
          <c:val>
            <c:numRef>
              <c:f>'FoodMarket 4 point'!$AA$3:$AA$40</c:f>
              <c:numCache>
                <c:formatCode>0.00%</c:formatCode>
                <c:ptCount val="38"/>
                <c:pt idx="0">
                  <c:v>-5.0493892134884089E-4</c:v>
                </c:pt>
                <c:pt idx="1">
                  <c:v>-3.0424206120762687E-3</c:v>
                </c:pt>
                <c:pt idx="2">
                  <c:v>-2.6693787668521374E-3</c:v>
                </c:pt>
                <c:pt idx="3">
                  <c:v>-2.563015399034807E-3</c:v>
                </c:pt>
                <c:pt idx="4">
                  <c:v>-6.9194533531402591E-4</c:v>
                </c:pt>
                <c:pt idx="5">
                  <c:v>-2.4003938476258035E-4</c:v>
                </c:pt>
                <c:pt idx="6">
                  <c:v>-4.2282869225699349E-3</c:v>
                </c:pt>
                <c:pt idx="7">
                  <c:v>-1.7589709259705488E-3</c:v>
                </c:pt>
                <c:pt idx="8">
                  <c:v>-2.1853685335939677E-3</c:v>
                </c:pt>
                <c:pt idx="9">
                  <c:v>-2.0519000771932472E-3</c:v>
                </c:pt>
                <c:pt idx="10">
                  <c:v>9.4547563772606757E-4</c:v>
                </c:pt>
                <c:pt idx="11">
                  <c:v>-4.2257038034083649E-3</c:v>
                </c:pt>
                <c:pt idx="12">
                  <c:v>2.5476804170678768E-3</c:v>
                </c:pt>
                <c:pt idx="13">
                  <c:v>4.1303505302263677E-3</c:v>
                </c:pt>
                <c:pt idx="14">
                  <c:v>-2.4692276132162183E-3</c:v>
                </c:pt>
                <c:pt idx="15">
                  <c:v>-1.8923579704239746E-3</c:v>
                </c:pt>
                <c:pt idx="16">
                  <c:v>-4.1501610880170237E-3</c:v>
                </c:pt>
                <c:pt idx="17">
                  <c:v>-1.5413034362873335E-3</c:v>
                </c:pt>
                <c:pt idx="18">
                  <c:v>-1.448123165082249E-3</c:v>
                </c:pt>
                <c:pt idx="19">
                  <c:v>-2.612619752107026E-4</c:v>
                </c:pt>
                <c:pt idx="20">
                  <c:v>-1.3987019342205365E-3</c:v>
                </c:pt>
                <c:pt idx="21">
                  <c:v>1.0735354937496666E-4</c:v>
                </c:pt>
                <c:pt idx="22">
                  <c:v>9.0672876003727865E-5</c:v>
                </c:pt>
                <c:pt idx="23">
                  <c:v>-5.5684124524235656E-4</c:v>
                </c:pt>
                <c:pt idx="24">
                  <c:v>-1.7007012334696592E-3</c:v>
                </c:pt>
                <c:pt idx="25">
                  <c:v>-2.3939231870584443E-4</c:v>
                </c:pt>
                <c:pt idx="26">
                  <c:v>-8.8015303271182788E-4</c:v>
                </c:pt>
                <c:pt idx="27">
                  <c:v>3.6236190454896899E-6</c:v>
                </c:pt>
                <c:pt idx="28">
                  <c:v>-6.3846222930286078E-4</c:v>
                </c:pt>
                <c:pt idx="29">
                  <c:v>5.2482790143137947E-5</c:v>
                </c:pt>
                <c:pt idx="30">
                  <c:v>-6.2712065377978909E-4</c:v>
                </c:pt>
                <c:pt idx="31">
                  <c:v>5.5725779246196261E-4</c:v>
                </c:pt>
                <c:pt idx="32">
                  <c:v>8.3829316114170105E-4</c:v>
                </c:pt>
                <c:pt idx="33">
                  <c:v>4.4141374207162798E-5</c:v>
                </c:pt>
                <c:pt idx="34">
                  <c:v>-4.307609351744679E-4</c:v>
                </c:pt>
                <c:pt idx="35">
                  <c:v>4.0207857991059193E-4</c:v>
                </c:pt>
                <c:pt idx="36">
                  <c:v>4.1432433345534037E-5</c:v>
                </c:pt>
                <c:pt idx="37">
                  <c:v>4.390327401937455E-5</c:v>
                </c:pt>
              </c:numCache>
            </c:numRef>
          </c:val>
          <c:smooth val="0"/>
          <c:extLst>
            <c:ext xmlns:c16="http://schemas.microsoft.com/office/drawing/2014/chart" uri="{C3380CC4-5D6E-409C-BE32-E72D297353CC}">
              <c16:uniqueId val="{00000003-D1D9-40CB-91B3-15E324B026F4}"/>
            </c:ext>
          </c:extLst>
        </c:ser>
        <c:dLbls>
          <c:showLegendKey val="0"/>
          <c:showVal val="0"/>
          <c:showCatName val="0"/>
          <c:showSerName val="0"/>
          <c:showPercent val="0"/>
          <c:showBubbleSize val="0"/>
        </c:dLbls>
        <c:smooth val="0"/>
        <c:axId val="530556536"/>
        <c:axId val="530557712"/>
      </c:lineChart>
      <c:catAx>
        <c:axId val="530556536"/>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0557712"/>
        <c:crosses val="autoZero"/>
        <c:auto val="1"/>
        <c:lblAlgn val="ctr"/>
        <c:lblOffset val="100"/>
        <c:noMultiLvlLbl val="0"/>
      </c:catAx>
      <c:valAx>
        <c:axId val="530557712"/>
        <c:scaling>
          <c:orientation val="minMax"/>
          <c:min val="-5.000000000000001E-2"/>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0556536"/>
        <c:crosses val="autoZero"/>
        <c:crossBetween val="between"/>
      </c:valAx>
      <c:spPr>
        <a:noFill/>
        <a:ln>
          <a:noFill/>
        </a:ln>
        <a:effectLst/>
      </c:spPr>
    </c:plotArea>
    <c:legend>
      <c:legendPos val="r"/>
      <c:layout>
        <c:manualLayout>
          <c:xMode val="edge"/>
          <c:yMode val="edge"/>
          <c:x val="0.88619609837867974"/>
          <c:y val="0.60305974502863458"/>
          <c:w val="0.10048444708969044"/>
          <c:h val="0.2374687463123003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0.25922</cdr:x>
      <cdr:y>0.0878</cdr:y>
    </cdr:from>
    <cdr:to>
      <cdr:x>0.77409</cdr:x>
      <cdr:y>0.13407</cdr:y>
    </cdr:to>
    <cdr:sp macro="" textlink="">
      <cdr:nvSpPr>
        <cdr:cNvPr id="542721" name="Text Box 4"/>
        <cdr:cNvSpPr txBox="1">
          <a:spLocks xmlns:a="http://schemas.openxmlformats.org/drawingml/2006/main" noChangeArrowheads="1"/>
        </cdr:cNvSpPr>
      </cdr:nvSpPr>
      <cdr:spPr bwMode="auto">
        <a:xfrm xmlns:a="http://schemas.openxmlformats.org/drawingml/2006/main">
          <a:off x="1998815" y="388938"/>
          <a:ext cx="3956787" cy="205978"/>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D83A1EA8-ACB2-494D-9000-D03D49CEE280}"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0.25552</cdr:x>
      <cdr:y>0.08141</cdr:y>
    </cdr:from>
    <cdr:to>
      <cdr:x>0.76495</cdr:x>
      <cdr:y>0.12744</cdr:y>
    </cdr:to>
    <cdr:sp macro="" textlink="">
      <cdr:nvSpPr>
        <cdr:cNvPr id="543745" name="Text Box 1"/>
        <cdr:cNvSpPr txBox="1">
          <a:spLocks xmlns:a="http://schemas.openxmlformats.org/drawingml/2006/main" noChangeArrowheads="1"/>
        </cdr:cNvSpPr>
      </cdr:nvSpPr>
      <cdr:spPr bwMode="auto">
        <a:xfrm xmlns:a="http://schemas.openxmlformats.org/drawingml/2006/main">
          <a:off x="1965230" y="363576"/>
          <a:ext cx="3916051" cy="202946"/>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1">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blurRad="63500" dist="38099" dir="2700000" algn="ctr" rotWithShape="0">
                  <a:srgbClr val="000000">
                    <a:alpha val="74997"/>
                  </a:srgbClr>
                </a:outerShdw>
              </a:effectLst>
            </a14:hiddenEffects>
          </a:ext>
        </a:extLst>
      </cdr:spPr>
      <cdr:txBody>
        <a:bodyPr xmlns:a="http://schemas.openxmlformats.org/drawingml/2006/main" vertOverflow="clip" wrap="square" lIns="27432" tIns="22860" rIns="27432" bIns="22860" anchor="ctr" upright="1"/>
        <a:lstStyle xmlns:a="http://schemas.openxmlformats.org/drawingml/2006/main"/>
        <a:p xmlns:a="http://schemas.openxmlformats.org/drawingml/2006/main">
          <a:pPr algn="ctr" rtl="0">
            <a:defRPr sz="1000"/>
          </a:pPr>
          <a:fld id="{19E6E365-CFA4-CC4C-A7E1-57BCA9832836}" type="TxLink">
            <a:rPr lang="en-US" sz="1200" b="1" i="0" u="none" strike="noStrike" baseline="0">
              <a:solidFill>
                <a:srgbClr val="000000"/>
              </a:solidFill>
              <a:latin typeface="Calibri"/>
              <a:ea typeface="Calibri"/>
              <a:cs typeface="Calibri"/>
            </a:rPr>
            <a:pPr algn="ctr" rtl="0">
              <a:defRPr sz="1000"/>
            </a:pPr>
            <a:t>Sequence: DaylightRoad2     Coding Conditions: AI-10</a:t>
          </a:fld>
          <a:endParaRPr lang="en-US" sz="1200" b="1" i="0" u="none" strike="noStrike" baseline="0">
            <a:solidFill>
              <a:srgbClr val="000000"/>
            </a:solidFill>
            <a:latin typeface="Calibri"/>
            <a:ea typeface="Calibri"/>
            <a:cs typeface="Calibri"/>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545</TotalTime>
  <Pages>8</Pages>
  <Words>1608</Words>
  <Characters>8132</Characters>
  <Application>Microsoft Office Word</Application>
  <DocSecurity>0</DocSecurity>
  <Lines>67</Lines>
  <Paragraphs>19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9721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Sharman, Karl</cp:lastModifiedBy>
  <cp:revision>14</cp:revision>
  <cp:lastPrinted>1900-01-01T08:00:00Z</cp:lastPrinted>
  <dcterms:created xsi:type="dcterms:W3CDTF">2019-09-25T06:50:00Z</dcterms:created>
  <dcterms:modified xsi:type="dcterms:W3CDTF">2019-10-03T17:40:00Z</dcterms:modified>
</cp:coreProperties>
</file>