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094B4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09E4D119"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E408C">
              <w:rPr>
                <w:lang w:val="en-CA"/>
              </w:rPr>
              <w:t>M0905-v1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6A01C8E" w:rsidR="00E61DAC" w:rsidRPr="002B2430" w:rsidRDefault="002B2430" w:rsidP="009D7CE6">
            <w:pPr>
              <w:spacing w:before="60" w:after="60"/>
              <w:rPr>
                <w:b/>
                <w:szCs w:val="22"/>
              </w:rPr>
            </w:pPr>
            <w:r>
              <w:rPr>
                <w:rFonts w:hint="eastAsia"/>
                <w:b/>
                <w:szCs w:val="22"/>
                <w:lang w:val="en-CA" w:eastAsia="zh-CN"/>
              </w:rPr>
              <w:t>CE</w:t>
            </w:r>
            <w:r>
              <w:rPr>
                <w:b/>
                <w:szCs w:val="22"/>
                <w:lang w:val="en-CA"/>
              </w:rPr>
              <w:t>1</w:t>
            </w:r>
            <w:r>
              <w:rPr>
                <w:b/>
                <w:szCs w:val="22"/>
                <w:lang w:eastAsia="zh-CN"/>
              </w:rPr>
              <w:t>-related: Picture Boundary Handling regarding to VPDU</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4855AD3" w:rsidR="00E61DAC" w:rsidRPr="005B217D" w:rsidRDefault="0013458C" w:rsidP="006D7963">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0CA9158" w:rsidR="00E61DAC" w:rsidRPr="005B217D" w:rsidRDefault="00E61DAC" w:rsidP="00DE29F3">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79BB067" w14:textId="77777777" w:rsidR="007504F3" w:rsidRDefault="007504F3" w:rsidP="007504F3">
            <w:pPr>
              <w:spacing w:before="60" w:after="60"/>
              <w:rPr>
                <w:szCs w:val="22"/>
                <w:lang w:val="de-DE"/>
              </w:rPr>
            </w:pPr>
            <w:r w:rsidRPr="00B0298F">
              <w:rPr>
                <w:szCs w:val="22"/>
                <w:lang w:val="de-DE"/>
              </w:rPr>
              <w:t>Han Gao</w:t>
            </w:r>
          </w:p>
          <w:p w14:paraId="0ACB40D4" w14:textId="77777777" w:rsidR="007504F3" w:rsidRPr="00B0298F" w:rsidRDefault="007504F3" w:rsidP="007504F3">
            <w:pPr>
              <w:spacing w:before="60" w:after="60"/>
              <w:rPr>
                <w:szCs w:val="22"/>
                <w:lang w:val="de-DE"/>
              </w:rPr>
            </w:pPr>
            <w:r w:rsidRPr="00B0298F">
              <w:rPr>
                <w:szCs w:val="22"/>
                <w:lang w:val="de-DE"/>
              </w:rPr>
              <w:t>Semih Esenlik</w:t>
            </w:r>
          </w:p>
          <w:p w14:paraId="3282BD96" w14:textId="77777777" w:rsidR="007504F3" w:rsidRPr="00B0298F" w:rsidRDefault="007504F3" w:rsidP="007504F3">
            <w:pPr>
              <w:spacing w:before="60" w:after="60"/>
              <w:rPr>
                <w:szCs w:val="22"/>
                <w:lang w:val="de-DE"/>
              </w:rPr>
            </w:pPr>
            <w:r w:rsidRPr="00B0298F">
              <w:rPr>
                <w:szCs w:val="22"/>
                <w:lang w:val="de-DE"/>
              </w:rPr>
              <w:t>Biao Wang</w:t>
            </w:r>
          </w:p>
          <w:p w14:paraId="5CB002A6" w14:textId="77777777" w:rsidR="007504F3" w:rsidRPr="00B0298F" w:rsidRDefault="007504F3" w:rsidP="007504F3">
            <w:pPr>
              <w:spacing w:before="60" w:after="60"/>
              <w:rPr>
                <w:szCs w:val="22"/>
                <w:lang w:val="de-DE"/>
              </w:rPr>
            </w:pPr>
            <w:r w:rsidRPr="00B0298F">
              <w:rPr>
                <w:szCs w:val="22"/>
                <w:lang w:val="de-DE"/>
              </w:rPr>
              <w:t>Anand Meher Kotra</w:t>
            </w:r>
          </w:p>
          <w:p w14:paraId="67628E5E" w14:textId="77777777" w:rsidR="007504F3" w:rsidRDefault="007504F3" w:rsidP="007504F3">
            <w:pPr>
              <w:spacing w:before="60" w:after="60"/>
              <w:rPr>
                <w:szCs w:val="22"/>
                <w:lang w:val="en-CA"/>
              </w:rPr>
            </w:pPr>
            <w:r>
              <w:rPr>
                <w:szCs w:val="22"/>
                <w:lang w:val="en-CA"/>
              </w:rPr>
              <w:t>Jianle Chen</w:t>
            </w:r>
          </w:p>
          <w:p w14:paraId="49D81240" w14:textId="60E54BD9"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376770E" w14:textId="5C6625EB" w:rsidR="007504F3" w:rsidRDefault="00E61DAC" w:rsidP="007504F3">
            <w:pPr>
              <w:spacing w:before="60" w:after="60"/>
              <w:rPr>
                <w:szCs w:val="22"/>
                <w:lang w:val="en-CA"/>
              </w:rPr>
            </w:pPr>
            <w:r w:rsidRPr="005B217D">
              <w:rPr>
                <w:szCs w:val="22"/>
                <w:lang w:val="en-CA"/>
              </w:rPr>
              <w:br/>
            </w:r>
            <w:hyperlink r:id="rId9" w:history="1">
              <w:r w:rsidR="007504F3" w:rsidRPr="005C4E39">
                <w:rPr>
                  <w:rStyle w:val="Hyperlink"/>
                  <w:szCs w:val="22"/>
                  <w:lang w:val="en-CA"/>
                </w:rPr>
                <w:t>han.gao@huawei.com</w:t>
              </w:r>
            </w:hyperlink>
            <w:r w:rsidR="007504F3" w:rsidRPr="005B217D">
              <w:rPr>
                <w:szCs w:val="22"/>
                <w:lang w:val="en-CA"/>
              </w:rPr>
              <w:br/>
            </w:r>
            <w:hyperlink r:id="rId10" w:history="1">
              <w:r w:rsidR="007504F3" w:rsidRPr="008615EA">
                <w:rPr>
                  <w:rStyle w:val="Hyperlink"/>
                  <w:szCs w:val="22"/>
                  <w:lang w:val="en-CA"/>
                </w:rPr>
                <w:t>semih.esenlik@huawei.com</w:t>
              </w:r>
            </w:hyperlink>
          </w:p>
          <w:p w14:paraId="32C22084" w14:textId="77777777" w:rsidR="007504F3" w:rsidRDefault="002C6EC2" w:rsidP="007504F3">
            <w:pPr>
              <w:spacing w:before="60" w:after="60"/>
              <w:rPr>
                <w:szCs w:val="22"/>
                <w:lang w:val="en-CA"/>
              </w:rPr>
            </w:pPr>
            <w:hyperlink r:id="rId11" w:history="1">
              <w:r w:rsidR="007504F3" w:rsidRPr="008615EA">
                <w:rPr>
                  <w:rStyle w:val="Hyperlink"/>
                  <w:szCs w:val="22"/>
                  <w:lang w:val="en-CA"/>
                </w:rPr>
                <w:t>jianle.chen@huawei.com</w:t>
              </w:r>
            </w:hyperlink>
          </w:p>
          <w:p w14:paraId="32C2ABFD" w14:textId="3EAB0F4B"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A7DEA4D" w:rsidR="00E61DAC" w:rsidRPr="005B217D" w:rsidRDefault="00B512F2">
            <w:pPr>
              <w:spacing w:before="60" w:after="60"/>
              <w:rPr>
                <w:szCs w:val="22"/>
                <w:lang w:val="en-CA"/>
              </w:rPr>
            </w:pPr>
            <w:r w:rsidRPr="001B4843">
              <w:rPr>
                <w:szCs w:val="22"/>
                <w:lang w:val="en-CA"/>
              </w:rPr>
              <w:t>Huawei Technologies Co.,Ltd.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EED4F5A" w:rsidR="00263398" w:rsidRPr="005B217D" w:rsidRDefault="00E66C65" w:rsidP="009234A5">
      <w:pPr>
        <w:rPr>
          <w:szCs w:val="22"/>
          <w:lang w:val="en-CA"/>
        </w:rPr>
      </w:pPr>
      <w:r>
        <w:rPr>
          <w:lang w:val="en-CA"/>
        </w:rPr>
        <w:t>Currently the 64x64 VPDU is considered by the non-boundary located CTU/CU, however the 128x32 and 32x128 CU is allowed for picture boundary, which increased the pipeline payload. In the proposed method, VPDU is considered in the picture boundary handling. Simulation results shows XX% and XX% coding loss for RA and LDB configuration.</w:t>
      </w:r>
    </w:p>
    <w:p w14:paraId="493BFE31" w14:textId="77777777" w:rsidR="00397450" w:rsidRPr="00397450" w:rsidRDefault="00745F6B" w:rsidP="008D6C8B">
      <w:pPr>
        <w:pStyle w:val="Heading1"/>
        <w:rPr>
          <w:szCs w:val="22"/>
          <w:lang w:val="en-CA"/>
        </w:rPr>
      </w:pPr>
      <w:r w:rsidRPr="00397450">
        <w:rPr>
          <w:lang w:val="en-CA"/>
        </w:rPr>
        <w:t xml:space="preserve">Problem Statement </w:t>
      </w:r>
    </w:p>
    <w:p w14:paraId="636B0B6F" w14:textId="170B14FF" w:rsidR="00FA5787" w:rsidRDefault="00985C5E" w:rsidP="009234A5">
      <w:pPr>
        <w:rPr>
          <w:lang w:val="en-CA"/>
        </w:rPr>
      </w:pPr>
      <w:r>
        <w:rPr>
          <w:lang w:val="en-CA"/>
        </w:rPr>
        <w:t xml:space="preserve">64x64 </w:t>
      </w:r>
      <w:r w:rsidR="00CE10D7">
        <w:rPr>
          <w:lang w:val="en-CA"/>
        </w:rPr>
        <w:t>VPDU</w:t>
      </w:r>
      <w:r>
        <w:rPr>
          <w:lang w:val="en-CA"/>
        </w:rPr>
        <w:t xml:space="preserve"> [1] is applied in current working draft for non-boundary located CTU/CUs, which means 128x32 or 32x128 CUs are not supported. </w:t>
      </w:r>
      <w:r w:rsidR="00FA5787">
        <w:rPr>
          <w:lang w:val="en-CA"/>
        </w:rPr>
        <w:t>T</w:t>
      </w:r>
      <w:r>
        <w:rPr>
          <w:lang w:val="en-CA"/>
        </w:rPr>
        <w:t xml:space="preserve">he current picture boundary handling created 32x128 or 128x32 shapes CUs, </w:t>
      </w:r>
      <w:r w:rsidR="00FA5787">
        <w:rPr>
          <w:lang w:val="en-CA"/>
        </w:rPr>
        <w:t>These CUs will be tiled into TUs, which both height and width smaller than or equal to 64. However, in some boundary case, these resulting TUs is violating the VPDU rule introduced in [1], which increase the hardware pipeline payload.</w:t>
      </w:r>
      <w:r w:rsidR="00FA5787">
        <w:rPr>
          <w:rFonts w:hint="eastAsia"/>
          <w:lang w:val="en-CA"/>
        </w:rPr>
        <w:t xml:space="preserve"> </w:t>
      </w:r>
      <w:r w:rsidR="00FA5787">
        <w:rPr>
          <w:lang w:val="en-CA"/>
        </w:rPr>
        <w:t xml:space="preserve">For example, in Figure1, the red line is picture boundary, the </w:t>
      </w:r>
      <w:r w:rsidR="00AA4440">
        <w:rPr>
          <w:lang w:val="en-CA"/>
        </w:rPr>
        <w:t xml:space="preserve">black </w:t>
      </w:r>
      <w:r w:rsidR="00FA5787">
        <w:rPr>
          <w:lang w:val="en-CA"/>
        </w:rPr>
        <w:t xml:space="preserve">line is boundary handling implicitly splitting and </w:t>
      </w:r>
      <w:r w:rsidR="00DD0615">
        <w:rPr>
          <w:lang w:val="en-CA"/>
        </w:rPr>
        <w:t>blue</w:t>
      </w:r>
      <w:r w:rsidR="00FA5787">
        <w:rPr>
          <w:lang w:val="en-CA"/>
        </w:rPr>
        <w:t xml:space="preserve"> line is TU tiling. In this case, the scan order is crossing the VPDUs as</w:t>
      </w:r>
      <w:r w:rsidR="00AD5901">
        <w:rPr>
          <w:lang w:val="en-CA"/>
        </w:rPr>
        <w:t xml:space="preserve"> illustrated, which means TUs in one VPDU cannot completely finished.</w:t>
      </w:r>
    </w:p>
    <w:p w14:paraId="7510D96E" w14:textId="4181A1E4" w:rsidR="006E6146" w:rsidRDefault="00563734" w:rsidP="00563734">
      <w:pPr>
        <w:jc w:val="center"/>
        <w:rPr>
          <w:lang w:val="en-CA"/>
        </w:rPr>
      </w:pPr>
      <w:r>
        <w:rPr>
          <w:noProof/>
          <w:lang w:eastAsia="zh-CN"/>
        </w:rPr>
        <w:drawing>
          <wp:inline distT="0" distB="0" distL="0" distR="0" wp14:anchorId="4B998F74" wp14:editId="0261282B">
            <wp:extent cx="2380320" cy="2292488"/>
            <wp:effectExtent l="0" t="0" r="127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93649" cy="2305325"/>
                    </a:xfrm>
                    <a:prstGeom prst="rect">
                      <a:avLst/>
                    </a:prstGeom>
                    <a:noFill/>
                  </pic:spPr>
                </pic:pic>
              </a:graphicData>
            </a:graphic>
          </wp:inline>
        </w:drawing>
      </w:r>
    </w:p>
    <w:p w14:paraId="2272598F" w14:textId="432D3A4E" w:rsidR="006E6146" w:rsidRPr="00563734" w:rsidRDefault="00563734" w:rsidP="00312A39">
      <w:pPr>
        <w:jc w:val="center"/>
        <w:rPr>
          <w:lang w:eastAsia="zh-CN"/>
        </w:rPr>
      </w:pPr>
      <w:r>
        <w:rPr>
          <w:lang w:val="en-CA"/>
        </w:rPr>
        <w:t>Figure 1</w:t>
      </w:r>
      <w:r>
        <w:rPr>
          <w:lang w:eastAsia="zh-CN"/>
        </w:rPr>
        <w:t>, Picture boundary handling regarding less VPDU</w:t>
      </w:r>
    </w:p>
    <w:p w14:paraId="7488BD64" w14:textId="4E1EED5F" w:rsidR="00674839" w:rsidRDefault="00312A39" w:rsidP="00312A39">
      <w:pPr>
        <w:pStyle w:val="Heading1"/>
        <w:rPr>
          <w:lang w:val="en-CA"/>
        </w:rPr>
      </w:pPr>
      <w:r>
        <w:rPr>
          <w:rFonts w:hint="eastAsia"/>
          <w:lang w:val="en-CA"/>
        </w:rPr>
        <w:lastRenderedPageBreak/>
        <w:t>Proposed method</w:t>
      </w:r>
    </w:p>
    <w:p w14:paraId="6D46CE90" w14:textId="77777777" w:rsidR="00115596" w:rsidRDefault="00312A39" w:rsidP="00312A39">
      <w:pPr>
        <w:rPr>
          <w:lang w:val="en-CA"/>
        </w:rPr>
      </w:pPr>
      <w:r>
        <w:rPr>
          <w:rFonts w:hint="eastAsia"/>
          <w:lang w:val="en-CA"/>
        </w:rPr>
        <w:t xml:space="preserve">In the proposed </w:t>
      </w:r>
      <w:r>
        <w:rPr>
          <w:lang w:val="en-CA"/>
        </w:rPr>
        <w:t>method</w:t>
      </w:r>
      <w:r>
        <w:rPr>
          <w:rFonts w:hint="eastAsia"/>
          <w:lang w:val="en-CA"/>
        </w:rPr>
        <w:t xml:space="preserve">, </w:t>
      </w:r>
      <w:r w:rsidR="00FF258A">
        <w:rPr>
          <w:lang w:val="en-CA"/>
        </w:rPr>
        <w:t xml:space="preserve">addition to current boundary handling, </w:t>
      </w:r>
      <w:r>
        <w:rPr>
          <w:rFonts w:hint="eastAsia"/>
          <w:lang w:val="en-CA"/>
        </w:rPr>
        <w:t xml:space="preserve">QT </w:t>
      </w:r>
      <w:r>
        <w:rPr>
          <w:lang w:val="en-CA"/>
        </w:rPr>
        <w:t xml:space="preserve">implicitly split is always applied for boundary located CTU/CU, when the </w:t>
      </w:r>
      <w:r w:rsidR="0054261C">
        <w:rPr>
          <w:lang w:val="en-CA"/>
        </w:rPr>
        <w:t>height</w:t>
      </w:r>
      <w:r>
        <w:rPr>
          <w:lang w:val="en-CA"/>
        </w:rPr>
        <w:t xml:space="preserve"> and width is greater than 64.</w:t>
      </w:r>
      <w:r w:rsidR="00FF258A">
        <w:rPr>
          <w:lang w:val="en-CA"/>
        </w:rPr>
        <w:t xml:space="preserve"> In such a method, all children blocks from the boundary handing is satisfied with the VPDU rules, which ensured the hardware pipeline implementation complexity and memory bandwidth.</w:t>
      </w:r>
      <w:r w:rsidR="00894DA6">
        <w:rPr>
          <w:lang w:val="en-CA"/>
        </w:rPr>
        <w:t xml:space="preserve"> Figure 2 illustrated the scan order of TUs of the proposed method</w:t>
      </w:r>
    </w:p>
    <w:p w14:paraId="18B7615D" w14:textId="5956C9BD" w:rsidR="00312A39" w:rsidRDefault="00115596" w:rsidP="00115596">
      <w:pPr>
        <w:jc w:val="center"/>
        <w:rPr>
          <w:lang w:val="en-CA"/>
        </w:rPr>
      </w:pPr>
      <w:r>
        <w:rPr>
          <w:noProof/>
          <w:lang w:eastAsia="zh-CN"/>
        </w:rPr>
        <w:drawing>
          <wp:inline distT="0" distB="0" distL="0" distR="0" wp14:anchorId="7324A7AB" wp14:editId="31BE516F">
            <wp:extent cx="2677534" cy="2578735"/>
            <wp:effectExtent l="0" t="0" r="889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88900" cy="2589681"/>
                    </a:xfrm>
                    <a:prstGeom prst="rect">
                      <a:avLst/>
                    </a:prstGeom>
                    <a:noFill/>
                  </pic:spPr>
                </pic:pic>
              </a:graphicData>
            </a:graphic>
          </wp:inline>
        </w:drawing>
      </w:r>
    </w:p>
    <w:p w14:paraId="1C3E56FB" w14:textId="79AA765D" w:rsidR="00115596" w:rsidRPr="00312A39" w:rsidRDefault="00115596" w:rsidP="00C36285">
      <w:pPr>
        <w:jc w:val="center"/>
        <w:rPr>
          <w:lang w:val="en-CA"/>
        </w:rPr>
      </w:pPr>
      <w:r>
        <w:rPr>
          <w:rFonts w:hint="eastAsia"/>
          <w:lang w:val="en-CA"/>
        </w:rPr>
        <w:t xml:space="preserve">Figure </w:t>
      </w:r>
      <w:r>
        <w:rPr>
          <w:lang w:val="en-CA"/>
        </w:rPr>
        <w:t>2, proposed pictur</w:t>
      </w:r>
      <w:r w:rsidR="0021645F">
        <w:rPr>
          <w:lang w:val="en-CA"/>
        </w:rPr>
        <w:t>e boundary handling regarding to</w:t>
      </w:r>
      <w:r>
        <w:rPr>
          <w:lang w:val="en-CA"/>
        </w:rPr>
        <w:t xml:space="preserve"> VPDU</w:t>
      </w:r>
    </w:p>
    <w:p w14:paraId="3CD69B44" w14:textId="5C7BA857" w:rsidR="00674839" w:rsidRDefault="005B3252" w:rsidP="00E73FCC">
      <w:pPr>
        <w:pStyle w:val="Heading1"/>
        <w:rPr>
          <w:lang w:val="en-CA"/>
        </w:rPr>
      </w:pPr>
      <w:r>
        <w:rPr>
          <w:rFonts w:hint="eastAsia"/>
          <w:lang w:val="en-CA"/>
        </w:rPr>
        <w:t xml:space="preserve">Simulation </w:t>
      </w:r>
      <w:r>
        <w:rPr>
          <w:lang w:val="en-CA"/>
        </w:rPr>
        <w:t>result</w:t>
      </w:r>
      <w:r>
        <w:rPr>
          <w:rFonts w:hint="eastAsia"/>
          <w:lang w:val="en-CA"/>
        </w:rPr>
        <w:t>s</w:t>
      </w:r>
    </w:p>
    <w:p w14:paraId="13AB8AC2" w14:textId="3B675F0C" w:rsidR="00B74297" w:rsidRDefault="00E464FD" w:rsidP="00B74297">
      <w:r>
        <w:t>Table 1 shows the simulation results with proposed method for RA and LDB. The AI will be not effect by the proposed method.</w:t>
      </w:r>
    </w:p>
    <w:p w14:paraId="5B7F3D81" w14:textId="1DDC1443" w:rsidR="00E464FD" w:rsidRDefault="00701662" w:rsidP="009F474A">
      <w:pPr>
        <w:jc w:val="center"/>
      </w:pPr>
      <w:r>
        <w:t>Table 1 Proposed implicit boundary QT split for CTU level.</w:t>
      </w:r>
    </w:p>
    <w:tbl>
      <w:tblPr>
        <w:tblW w:w="6940" w:type="dxa"/>
        <w:tblLook w:val="04A0" w:firstRow="1" w:lastRow="0" w:firstColumn="1" w:lastColumn="0" w:noHBand="0" w:noVBand="1"/>
      </w:tblPr>
      <w:tblGrid>
        <w:gridCol w:w="1640"/>
        <w:gridCol w:w="1052"/>
        <w:gridCol w:w="1169"/>
        <w:gridCol w:w="1169"/>
        <w:gridCol w:w="955"/>
        <w:gridCol w:w="955"/>
      </w:tblGrid>
      <w:tr w:rsidR="006A2DBF" w:rsidRPr="006A2DBF" w14:paraId="3FF3920F" w14:textId="77777777" w:rsidTr="006A2DBF">
        <w:trPr>
          <w:trHeight w:val="255"/>
        </w:trPr>
        <w:tc>
          <w:tcPr>
            <w:tcW w:w="1640" w:type="dxa"/>
            <w:tcBorders>
              <w:top w:val="nil"/>
              <w:left w:val="nil"/>
              <w:bottom w:val="nil"/>
              <w:right w:val="nil"/>
            </w:tcBorders>
            <w:shd w:val="clear" w:color="auto" w:fill="auto"/>
            <w:noWrap/>
            <w:vAlign w:val="center"/>
            <w:hideMark/>
          </w:tcPr>
          <w:p w14:paraId="3E61A659"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376A3E"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A2DBF">
              <w:rPr>
                <w:rFonts w:ascii="Arial" w:eastAsia="SimSun" w:hAnsi="Arial" w:cs="Arial"/>
                <w:b/>
                <w:bCs/>
                <w:color w:val="000000"/>
                <w:sz w:val="18"/>
                <w:szCs w:val="18"/>
                <w:lang w:eastAsia="zh-CN"/>
              </w:rPr>
              <w:t>Random Access Main 10</w:t>
            </w:r>
          </w:p>
        </w:tc>
      </w:tr>
      <w:tr w:rsidR="006A2DBF" w:rsidRPr="006A2DBF" w14:paraId="6CC63C9D" w14:textId="77777777" w:rsidTr="006A2DBF">
        <w:trPr>
          <w:trHeight w:val="255"/>
        </w:trPr>
        <w:tc>
          <w:tcPr>
            <w:tcW w:w="1640" w:type="dxa"/>
            <w:tcBorders>
              <w:top w:val="nil"/>
              <w:left w:val="nil"/>
              <w:bottom w:val="nil"/>
              <w:right w:val="nil"/>
            </w:tcBorders>
            <w:shd w:val="clear" w:color="auto" w:fill="auto"/>
            <w:noWrap/>
            <w:vAlign w:val="center"/>
            <w:hideMark/>
          </w:tcPr>
          <w:p w14:paraId="7E371280"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CDBC87"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A2DBF">
              <w:rPr>
                <w:rFonts w:ascii="Arial" w:eastAsia="SimSun" w:hAnsi="Arial" w:cs="Arial"/>
                <w:b/>
                <w:bCs/>
                <w:color w:val="000000"/>
                <w:sz w:val="18"/>
                <w:szCs w:val="18"/>
                <w:lang w:eastAsia="zh-CN"/>
              </w:rPr>
              <w:t>Over BMS-1.0 with VTM configuration</w:t>
            </w:r>
          </w:p>
        </w:tc>
      </w:tr>
      <w:tr w:rsidR="006A2DBF" w:rsidRPr="006A2DBF" w14:paraId="484574FA" w14:textId="77777777" w:rsidTr="006A2DBF">
        <w:trPr>
          <w:trHeight w:val="255"/>
        </w:trPr>
        <w:tc>
          <w:tcPr>
            <w:tcW w:w="1640" w:type="dxa"/>
            <w:tcBorders>
              <w:top w:val="nil"/>
              <w:left w:val="nil"/>
              <w:bottom w:val="nil"/>
              <w:right w:val="nil"/>
            </w:tcBorders>
            <w:shd w:val="clear" w:color="auto" w:fill="auto"/>
            <w:noWrap/>
            <w:vAlign w:val="center"/>
            <w:hideMark/>
          </w:tcPr>
          <w:p w14:paraId="0C104E5F"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14:paraId="689B4563"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27C1CD9E"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50F9FA64"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2107BFEC"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415A824C"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DecT</w:t>
            </w:r>
          </w:p>
        </w:tc>
      </w:tr>
      <w:tr w:rsidR="006A2DBF" w:rsidRPr="006A2DBF" w14:paraId="0B870029" w14:textId="77777777" w:rsidTr="006A2DB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A56CB8"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14:paraId="044896C7"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0.08%</w:t>
            </w:r>
          </w:p>
        </w:tc>
        <w:tc>
          <w:tcPr>
            <w:tcW w:w="1169" w:type="dxa"/>
            <w:tcBorders>
              <w:top w:val="nil"/>
              <w:left w:val="nil"/>
              <w:bottom w:val="nil"/>
              <w:right w:val="nil"/>
            </w:tcBorders>
            <w:shd w:val="clear" w:color="auto" w:fill="auto"/>
            <w:noWrap/>
            <w:vAlign w:val="center"/>
            <w:hideMark/>
          </w:tcPr>
          <w:p w14:paraId="6FCD1227"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0.10%</w:t>
            </w:r>
          </w:p>
        </w:tc>
        <w:tc>
          <w:tcPr>
            <w:tcW w:w="1169" w:type="dxa"/>
            <w:tcBorders>
              <w:top w:val="nil"/>
              <w:left w:val="nil"/>
              <w:bottom w:val="nil"/>
              <w:right w:val="single" w:sz="4" w:space="0" w:color="auto"/>
            </w:tcBorders>
            <w:shd w:val="clear" w:color="auto" w:fill="auto"/>
            <w:noWrap/>
            <w:vAlign w:val="center"/>
            <w:hideMark/>
          </w:tcPr>
          <w:p w14:paraId="293E5569"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0.05%</w:t>
            </w:r>
          </w:p>
        </w:tc>
        <w:tc>
          <w:tcPr>
            <w:tcW w:w="955" w:type="dxa"/>
            <w:tcBorders>
              <w:top w:val="nil"/>
              <w:left w:val="nil"/>
              <w:bottom w:val="nil"/>
              <w:right w:val="nil"/>
            </w:tcBorders>
            <w:shd w:val="clear" w:color="auto" w:fill="auto"/>
            <w:noWrap/>
            <w:vAlign w:val="center"/>
            <w:hideMark/>
          </w:tcPr>
          <w:p w14:paraId="575F5EB5"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00C11D20"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101%</w:t>
            </w:r>
          </w:p>
        </w:tc>
      </w:tr>
      <w:tr w:rsidR="006A2DBF" w:rsidRPr="006A2DBF" w14:paraId="0D406DEC" w14:textId="77777777" w:rsidTr="006A2DB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1DECD3"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Class A2</w:t>
            </w:r>
          </w:p>
        </w:tc>
        <w:tc>
          <w:tcPr>
            <w:tcW w:w="1052" w:type="dxa"/>
            <w:tcBorders>
              <w:top w:val="nil"/>
              <w:left w:val="nil"/>
              <w:bottom w:val="nil"/>
              <w:right w:val="nil"/>
            </w:tcBorders>
            <w:shd w:val="clear" w:color="auto" w:fill="auto"/>
            <w:noWrap/>
            <w:vAlign w:val="center"/>
            <w:hideMark/>
          </w:tcPr>
          <w:p w14:paraId="78134E60"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0.04%</w:t>
            </w:r>
          </w:p>
        </w:tc>
        <w:tc>
          <w:tcPr>
            <w:tcW w:w="1169" w:type="dxa"/>
            <w:tcBorders>
              <w:top w:val="nil"/>
              <w:left w:val="nil"/>
              <w:bottom w:val="nil"/>
              <w:right w:val="nil"/>
            </w:tcBorders>
            <w:shd w:val="clear" w:color="auto" w:fill="auto"/>
            <w:noWrap/>
            <w:vAlign w:val="center"/>
            <w:hideMark/>
          </w:tcPr>
          <w:p w14:paraId="17B2BACE"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0.06%</w:t>
            </w:r>
          </w:p>
        </w:tc>
        <w:tc>
          <w:tcPr>
            <w:tcW w:w="1169" w:type="dxa"/>
            <w:tcBorders>
              <w:top w:val="nil"/>
              <w:left w:val="nil"/>
              <w:bottom w:val="nil"/>
              <w:right w:val="single" w:sz="4" w:space="0" w:color="auto"/>
            </w:tcBorders>
            <w:shd w:val="clear" w:color="auto" w:fill="auto"/>
            <w:noWrap/>
            <w:vAlign w:val="center"/>
            <w:hideMark/>
          </w:tcPr>
          <w:p w14:paraId="3EB5231D"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0.09%</w:t>
            </w:r>
          </w:p>
        </w:tc>
        <w:tc>
          <w:tcPr>
            <w:tcW w:w="955" w:type="dxa"/>
            <w:tcBorders>
              <w:top w:val="nil"/>
              <w:left w:val="nil"/>
              <w:bottom w:val="nil"/>
              <w:right w:val="nil"/>
            </w:tcBorders>
            <w:shd w:val="clear" w:color="auto" w:fill="auto"/>
            <w:noWrap/>
            <w:vAlign w:val="center"/>
            <w:hideMark/>
          </w:tcPr>
          <w:p w14:paraId="4610E4CE"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101%</w:t>
            </w:r>
          </w:p>
        </w:tc>
        <w:tc>
          <w:tcPr>
            <w:tcW w:w="955" w:type="dxa"/>
            <w:tcBorders>
              <w:top w:val="nil"/>
              <w:left w:val="nil"/>
              <w:bottom w:val="nil"/>
              <w:right w:val="single" w:sz="8" w:space="0" w:color="auto"/>
            </w:tcBorders>
            <w:shd w:val="clear" w:color="auto" w:fill="auto"/>
            <w:noWrap/>
            <w:vAlign w:val="center"/>
            <w:hideMark/>
          </w:tcPr>
          <w:p w14:paraId="11268170"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102%</w:t>
            </w:r>
          </w:p>
        </w:tc>
      </w:tr>
      <w:tr w:rsidR="006A2DBF" w:rsidRPr="006A2DBF" w14:paraId="5FF33E4A" w14:textId="77777777" w:rsidTr="006A2DB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C5AE1A"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14:paraId="69B52490"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0.07%</w:t>
            </w:r>
          </w:p>
        </w:tc>
        <w:tc>
          <w:tcPr>
            <w:tcW w:w="1169" w:type="dxa"/>
            <w:tcBorders>
              <w:top w:val="nil"/>
              <w:left w:val="nil"/>
              <w:bottom w:val="nil"/>
              <w:right w:val="nil"/>
            </w:tcBorders>
            <w:shd w:val="clear" w:color="auto" w:fill="auto"/>
            <w:noWrap/>
            <w:vAlign w:val="center"/>
            <w:hideMark/>
          </w:tcPr>
          <w:p w14:paraId="654891BC"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0.09%</w:t>
            </w:r>
          </w:p>
        </w:tc>
        <w:tc>
          <w:tcPr>
            <w:tcW w:w="1169" w:type="dxa"/>
            <w:tcBorders>
              <w:top w:val="nil"/>
              <w:left w:val="nil"/>
              <w:bottom w:val="nil"/>
              <w:right w:val="single" w:sz="4" w:space="0" w:color="auto"/>
            </w:tcBorders>
            <w:shd w:val="clear" w:color="auto" w:fill="auto"/>
            <w:noWrap/>
            <w:vAlign w:val="center"/>
            <w:hideMark/>
          </w:tcPr>
          <w:p w14:paraId="2C0BC8F1"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0.02%</w:t>
            </w:r>
          </w:p>
        </w:tc>
        <w:tc>
          <w:tcPr>
            <w:tcW w:w="955" w:type="dxa"/>
            <w:tcBorders>
              <w:top w:val="nil"/>
              <w:left w:val="nil"/>
              <w:bottom w:val="nil"/>
              <w:right w:val="nil"/>
            </w:tcBorders>
            <w:shd w:val="clear" w:color="auto" w:fill="auto"/>
            <w:noWrap/>
            <w:vAlign w:val="center"/>
            <w:hideMark/>
          </w:tcPr>
          <w:p w14:paraId="5B2891C0"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101%</w:t>
            </w:r>
          </w:p>
        </w:tc>
        <w:tc>
          <w:tcPr>
            <w:tcW w:w="955" w:type="dxa"/>
            <w:tcBorders>
              <w:top w:val="nil"/>
              <w:left w:val="nil"/>
              <w:bottom w:val="nil"/>
              <w:right w:val="single" w:sz="8" w:space="0" w:color="auto"/>
            </w:tcBorders>
            <w:shd w:val="clear" w:color="auto" w:fill="auto"/>
            <w:noWrap/>
            <w:vAlign w:val="center"/>
            <w:hideMark/>
          </w:tcPr>
          <w:p w14:paraId="3E6C688A"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100%</w:t>
            </w:r>
          </w:p>
        </w:tc>
      </w:tr>
      <w:tr w:rsidR="006A2DBF" w:rsidRPr="006A2DBF" w14:paraId="79A029FA" w14:textId="77777777" w:rsidTr="006A2DB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A973A7"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Class C</w:t>
            </w:r>
          </w:p>
        </w:tc>
        <w:tc>
          <w:tcPr>
            <w:tcW w:w="1052" w:type="dxa"/>
            <w:tcBorders>
              <w:top w:val="nil"/>
              <w:left w:val="nil"/>
              <w:bottom w:val="nil"/>
              <w:right w:val="nil"/>
            </w:tcBorders>
            <w:shd w:val="clear" w:color="auto" w:fill="auto"/>
            <w:noWrap/>
            <w:vAlign w:val="center"/>
            <w:hideMark/>
          </w:tcPr>
          <w:p w14:paraId="2CC68E2F"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0.03%</w:t>
            </w:r>
          </w:p>
        </w:tc>
        <w:tc>
          <w:tcPr>
            <w:tcW w:w="1169" w:type="dxa"/>
            <w:tcBorders>
              <w:top w:val="nil"/>
              <w:left w:val="nil"/>
              <w:bottom w:val="nil"/>
              <w:right w:val="nil"/>
            </w:tcBorders>
            <w:shd w:val="clear" w:color="auto" w:fill="auto"/>
            <w:noWrap/>
            <w:vAlign w:val="center"/>
            <w:hideMark/>
          </w:tcPr>
          <w:p w14:paraId="5849639C"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0.05%</w:t>
            </w:r>
          </w:p>
        </w:tc>
        <w:tc>
          <w:tcPr>
            <w:tcW w:w="1169" w:type="dxa"/>
            <w:tcBorders>
              <w:top w:val="nil"/>
              <w:left w:val="nil"/>
              <w:bottom w:val="nil"/>
              <w:right w:val="single" w:sz="4" w:space="0" w:color="auto"/>
            </w:tcBorders>
            <w:shd w:val="clear" w:color="auto" w:fill="auto"/>
            <w:noWrap/>
            <w:vAlign w:val="center"/>
            <w:hideMark/>
          </w:tcPr>
          <w:p w14:paraId="127F3CE7"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0.08%</w:t>
            </w:r>
          </w:p>
        </w:tc>
        <w:tc>
          <w:tcPr>
            <w:tcW w:w="955" w:type="dxa"/>
            <w:tcBorders>
              <w:top w:val="nil"/>
              <w:left w:val="nil"/>
              <w:bottom w:val="nil"/>
              <w:right w:val="nil"/>
            </w:tcBorders>
            <w:shd w:val="clear" w:color="auto" w:fill="auto"/>
            <w:noWrap/>
            <w:vAlign w:val="center"/>
            <w:hideMark/>
          </w:tcPr>
          <w:p w14:paraId="36502C9B"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3CCC031C"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101%</w:t>
            </w:r>
          </w:p>
        </w:tc>
      </w:tr>
      <w:tr w:rsidR="006A2DBF" w:rsidRPr="006A2DBF" w14:paraId="48790E7B" w14:textId="77777777" w:rsidTr="006A2DB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774FBD"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14:paraId="4C3AB923"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 xml:space="preserve">　</w:t>
            </w:r>
          </w:p>
        </w:tc>
        <w:tc>
          <w:tcPr>
            <w:tcW w:w="1169" w:type="dxa"/>
            <w:tcBorders>
              <w:top w:val="nil"/>
              <w:left w:val="nil"/>
              <w:bottom w:val="nil"/>
              <w:right w:val="nil"/>
            </w:tcBorders>
            <w:shd w:val="clear" w:color="auto" w:fill="auto"/>
            <w:noWrap/>
            <w:vAlign w:val="center"/>
            <w:hideMark/>
          </w:tcPr>
          <w:p w14:paraId="03DD4564"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5ABBC05A"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 xml:space="preserve">　</w:t>
            </w:r>
          </w:p>
        </w:tc>
        <w:tc>
          <w:tcPr>
            <w:tcW w:w="955" w:type="dxa"/>
            <w:tcBorders>
              <w:top w:val="nil"/>
              <w:left w:val="nil"/>
              <w:bottom w:val="nil"/>
              <w:right w:val="nil"/>
            </w:tcBorders>
            <w:shd w:val="clear" w:color="auto" w:fill="auto"/>
            <w:noWrap/>
            <w:vAlign w:val="center"/>
            <w:hideMark/>
          </w:tcPr>
          <w:p w14:paraId="6FCF3148"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 xml:space="preserve">　</w:t>
            </w:r>
          </w:p>
        </w:tc>
        <w:tc>
          <w:tcPr>
            <w:tcW w:w="955" w:type="dxa"/>
            <w:tcBorders>
              <w:top w:val="nil"/>
              <w:left w:val="nil"/>
              <w:bottom w:val="nil"/>
              <w:right w:val="single" w:sz="8" w:space="0" w:color="auto"/>
            </w:tcBorders>
            <w:shd w:val="clear" w:color="auto" w:fill="auto"/>
            <w:noWrap/>
            <w:vAlign w:val="center"/>
            <w:hideMark/>
          </w:tcPr>
          <w:p w14:paraId="7AA28945"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 xml:space="preserve">　</w:t>
            </w:r>
          </w:p>
        </w:tc>
      </w:tr>
      <w:tr w:rsidR="006A2DBF" w:rsidRPr="006A2DBF" w14:paraId="62E9405E" w14:textId="77777777" w:rsidTr="006A2DB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2D6C9B"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A2DBF">
              <w:rPr>
                <w:rFonts w:ascii="Arial" w:eastAsia="SimSun" w:hAnsi="Arial" w:cs="Arial"/>
                <w:b/>
                <w:bCs/>
                <w:color w:val="000000"/>
                <w:sz w:val="18"/>
                <w:szCs w:val="18"/>
                <w:lang w:eastAsia="zh-CN"/>
              </w:rPr>
              <w:t>Overall</w:t>
            </w:r>
          </w:p>
        </w:tc>
        <w:tc>
          <w:tcPr>
            <w:tcW w:w="1052" w:type="dxa"/>
            <w:tcBorders>
              <w:top w:val="single" w:sz="8" w:space="0" w:color="auto"/>
              <w:left w:val="nil"/>
              <w:bottom w:val="nil"/>
              <w:right w:val="nil"/>
            </w:tcBorders>
            <w:shd w:val="clear" w:color="auto" w:fill="auto"/>
            <w:noWrap/>
            <w:vAlign w:val="center"/>
            <w:hideMark/>
          </w:tcPr>
          <w:p w14:paraId="54AC740A"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0.06%</w:t>
            </w:r>
          </w:p>
        </w:tc>
        <w:tc>
          <w:tcPr>
            <w:tcW w:w="1169" w:type="dxa"/>
            <w:tcBorders>
              <w:top w:val="single" w:sz="8" w:space="0" w:color="auto"/>
              <w:left w:val="nil"/>
              <w:bottom w:val="nil"/>
              <w:right w:val="nil"/>
            </w:tcBorders>
            <w:shd w:val="clear" w:color="auto" w:fill="auto"/>
            <w:noWrap/>
            <w:vAlign w:val="center"/>
            <w:hideMark/>
          </w:tcPr>
          <w:p w14:paraId="76EC7587"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0.08%</w:t>
            </w:r>
          </w:p>
        </w:tc>
        <w:tc>
          <w:tcPr>
            <w:tcW w:w="1169" w:type="dxa"/>
            <w:tcBorders>
              <w:top w:val="single" w:sz="8" w:space="0" w:color="auto"/>
              <w:left w:val="nil"/>
              <w:bottom w:val="nil"/>
              <w:right w:val="single" w:sz="4" w:space="0" w:color="auto"/>
            </w:tcBorders>
            <w:shd w:val="clear" w:color="auto" w:fill="auto"/>
            <w:noWrap/>
            <w:vAlign w:val="center"/>
            <w:hideMark/>
          </w:tcPr>
          <w:p w14:paraId="6865AA56"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0.06%</w:t>
            </w:r>
          </w:p>
        </w:tc>
        <w:tc>
          <w:tcPr>
            <w:tcW w:w="955" w:type="dxa"/>
            <w:tcBorders>
              <w:top w:val="single" w:sz="8" w:space="0" w:color="auto"/>
              <w:left w:val="nil"/>
              <w:bottom w:val="nil"/>
              <w:right w:val="nil"/>
            </w:tcBorders>
            <w:shd w:val="clear" w:color="auto" w:fill="auto"/>
            <w:noWrap/>
            <w:vAlign w:val="center"/>
            <w:hideMark/>
          </w:tcPr>
          <w:p w14:paraId="1F448D78"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101%</w:t>
            </w:r>
          </w:p>
        </w:tc>
        <w:tc>
          <w:tcPr>
            <w:tcW w:w="955" w:type="dxa"/>
            <w:tcBorders>
              <w:top w:val="single" w:sz="8" w:space="0" w:color="auto"/>
              <w:left w:val="nil"/>
              <w:bottom w:val="nil"/>
              <w:right w:val="single" w:sz="8" w:space="0" w:color="auto"/>
            </w:tcBorders>
            <w:shd w:val="clear" w:color="auto" w:fill="auto"/>
            <w:noWrap/>
            <w:vAlign w:val="center"/>
            <w:hideMark/>
          </w:tcPr>
          <w:p w14:paraId="23F40179"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101%</w:t>
            </w:r>
          </w:p>
        </w:tc>
      </w:tr>
      <w:tr w:rsidR="006A2DBF" w:rsidRPr="006A2DBF" w14:paraId="75853535" w14:textId="77777777" w:rsidTr="006A2DB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5745F1"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Class D</w:t>
            </w:r>
          </w:p>
        </w:tc>
        <w:tc>
          <w:tcPr>
            <w:tcW w:w="1052" w:type="dxa"/>
            <w:tcBorders>
              <w:top w:val="single" w:sz="8" w:space="0" w:color="auto"/>
              <w:left w:val="nil"/>
              <w:bottom w:val="nil"/>
              <w:right w:val="nil"/>
            </w:tcBorders>
            <w:shd w:val="clear" w:color="auto" w:fill="auto"/>
            <w:noWrap/>
            <w:vAlign w:val="center"/>
            <w:hideMark/>
          </w:tcPr>
          <w:p w14:paraId="142308B1"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0.07%</w:t>
            </w:r>
          </w:p>
        </w:tc>
        <w:tc>
          <w:tcPr>
            <w:tcW w:w="1169" w:type="dxa"/>
            <w:tcBorders>
              <w:top w:val="single" w:sz="8" w:space="0" w:color="auto"/>
              <w:left w:val="nil"/>
              <w:bottom w:val="nil"/>
              <w:right w:val="nil"/>
            </w:tcBorders>
            <w:shd w:val="clear" w:color="auto" w:fill="auto"/>
            <w:noWrap/>
            <w:vAlign w:val="center"/>
            <w:hideMark/>
          </w:tcPr>
          <w:p w14:paraId="1F11357C"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0.13%</w:t>
            </w:r>
          </w:p>
        </w:tc>
        <w:tc>
          <w:tcPr>
            <w:tcW w:w="1169" w:type="dxa"/>
            <w:tcBorders>
              <w:top w:val="single" w:sz="8" w:space="0" w:color="auto"/>
              <w:left w:val="nil"/>
              <w:bottom w:val="nil"/>
              <w:right w:val="single" w:sz="4" w:space="0" w:color="auto"/>
            </w:tcBorders>
            <w:shd w:val="clear" w:color="auto" w:fill="auto"/>
            <w:noWrap/>
            <w:vAlign w:val="center"/>
            <w:hideMark/>
          </w:tcPr>
          <w:p w14:paraId="723D9EF3"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0.09%</w:t>
            </w:r>
          </w:p>
        </w:tc>
        <w:tc>
          <w:tcPr>
            <w:tcW w:w="955" w:type="dxa"/>
            <w:tcBorders>
              <w:top w:val="single" w:sz="8" w:space="0" w:color="auto"/>
              <w:left w:val="nil"/>
              <w:bottom w:val="nil"/>
              <w:right w:val="nil"/>
            </w:tcBorders>
            <w:shd w:val="clear" w:color="auto" w:fill="auto"/>
            <w:noWrap/>
            <w:vAlign w:val="center"/>
            <w:hideMark/>
          </w:tcPr>
          <w:p w14:paraId="4107C65D"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99%</w:t>
            </w:r>
          </w:p>
        </w:tc>
        <w:tc>
          <w:tcPr>
            <w:tcW w:w="955" w:type="dxa"/>
            <w:tcBorders>
              <w:top w:val="single" w:sz="8" w:space="0" w:color="auto"/>
              <w:left w:val="nil"/>
              <w:bottom w:val="nil"/>
              <w:right w:val="single" w:sz="8" w:space="0" w:color="auto"/>
            </w:tcBorders>
            <w:shd w:val="clear" w:color="auto" w:fill="auto"/>
            <w:noWrap/>
            <w:vAlign w:val="center"/>
            <w:hideMark/>
          </w:tcPr>
          <w:p w14:paraId="6251C1D0"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102%</w:t>
            </w:r>
          </w:p>
        </w:tc>
      </w:tr>
      <w:tr w:rsidR="006A2DBF" w:rsidRPr="006A2DBF" w14:paraId="26BE978A" w14:textId="77777777" w:rsidTr="006A2DB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2571AA2"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Class F (optional)</w:t>
            </w:r>
          </w:p>
        </w:tc>
        <w:tc>
          <w:tcPr>
            <w:tcW w:w="1052" w:type="dxa"/>
            <w:tcBorders>
              <w:top w:val="nil"/>
              <w:left w:val="nil"/>
              <w:bottom w:val="single" w:sz="8" w:space="0" w:color="auto"/>
              <w:right w:val="nil"/>
            </w:tcBorders>
            <w:shd w:val="clear" w:color="auto" w:fill="auto"/>
            <w:noWrap/>
            <w:vAlign w:val="center"/>
            <w:hideMark/>
          </w:tcPr>
          <w:p w14:paraId="32A56D61"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0.04%</w:t>
            </w:r>
          </w:p>
        </w:tc>
        <w:tc>
          <w:tcPr>
            <w:tcW w:w="1169" w:type="dxa"/>
            <w:tcBorders>
              <w:top w:val="nil"/>
              <w:left w:val="nil"/>
              <w:bottom w:val="single" w:sz="8" w:space="0" w:color="auto"/>
              <w:right w:val="nil"/>
            </w:tcBorders>
            <w:shd w:val="clear" w:color="auto" w:fill="auto"/>
            <w:noWrap/>
            <w:vAlign w:val="center"/>
            <w:hideMark/>
          </w:tcPr>
          <w:p w14:paraId="0F61E261"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0.05%</w:t>
            </w:r>
          </w:p>
        </w:tc>
        <w:tc>
          <w:tcPr>
            <w:tcW w:w="1169" w:type="dxa"/>
            <w:tcBorders>
              <w:top w:val="nil"/>
              <w:left w:val="nil"/>
              <w:bottom w:val="single" w:sz="8" w:space="0" w:color="auto"/>
              <w:right w:val="single" w:sz="4" w:space="0" w:color="auto"/>
            </w:tcBorders>
            <w:shd w:val="clear" w:color="auto" w:fill="auto"/>
            <w:noWrap/>
            <w:vAlign w:val="center"/>
            <w:hideMark/>
          </w:tcPr>
          <w:p w14:paraId="3936694C"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0.06%</w:t>
            </w:r>
          </w:p>
        </w:tc>
        <w:tc>
          <w:tcPr>
            <w:tcW w:w="955" w:type="dxa"/>
            <w:tcBorders>
              <w:top w:val="nil"/>
              <w:left w:val="nil"/>
              <w:bottom w:val="single" w:sz="8" w:space="0" w:color="auto"/>
              <w:right w:val="nil"/>
            </w:tcBorders>
            <w:shd w:val="clear" w:color="auto" w:fill="auto"/>
            <w:noWrap/>
            <w:vAlign w:val="center"/>
            <w:hideMark/>
          </w:tcPr>
          <w:p w14:paraId="77725C14"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100%</w:t>
            </w:r>
          </w:p>
        </w:tc>
        <w:tc>
          <w:tcPr>
            <w:tcW w:w="955" w:type="dxa"/>
            <w:tcBorders>
              <w:top w:val="nil"/>
              <w:left w:val="nil"/>
              <w:bottom w:val="single" w:sz="8" w:space="0" w:color="auto"/>
              <w:right w:val="single" w:sz="8" w:space="0" w:color="auto"/>
            </w:tcBorders>
            <w:shd w:val="clear" w:color="auto" w:fill="auto"/>
            <w:noWrap/>
            <w:vAlign w:val="center"/>
            <w:hideMark/>
          </w:tcPr>
          <w:p w14:paraId="79435270"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101%</w:t>
            </w:r>
          </w:p>
        </w:tc>
      </w:tr>
      <w:tr w:rsidR="006A2DBF" w:rsidRPr="006A2DBF" w14:paraId="52540B6D" w14:textId="77777777" w:rsidTr="006A2DBF">
        <w:trPr>
          <w:trHeight w:val="255"/>
        </w:trPr>
        <w:tc>
          <w:tcPr>
            <w:tcW w:w="1640" w:type="dxa"/>
            <w:tcBorders>
              <w:top w:val="nil"/>
              <w:left w:val="nil"/>
              <w:bottom w:val="nil"/>
              <w:right w:val="nil"/>
            </w:tcBorders>
            <w:shd w:val="clear" w:color="auto" w:fill="auto"/>
            <w:noWrap/>
            <w:vAlign w:val="center"/>
            <w:hideMark/>
          </w:tcPr>
          <w:p w14:paraId="78C83E8E"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52" w:type="dxa"/>
            <w:tcBorders>
              <w:top w:val="nil"/>
              <w:left w:val="nil"/>
              <w:bottom w:val="nil"/>
              <w:right w:val="nil"/>
            </w:tcBorders>
            <w:shd w:val="clear" w:color="auto" w:fill="auto"/>
            <w:noWrap/>
            <w:vAlign w:val="bottom"/>
            <w:hideMark/>
          </w:tcPr>
          <w:p w14:paraId="3514BAFB"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77561083"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3BC46FEB"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5" w:type="dxa"/>
            <w:tcBorders>
              <w:top w:val="nil"/>
              <w:left w:val="nil"/>
              <w:bottom w:val="nil"/>
              <w:right w:val="nil"/>
            </w:tcBorders>
            <w:shd w:val="clear" w:color="auto" w:fill="auto"/>
            <w:noWrap/>
            <w:vAlign w:val="bottom"/>
            <w:hideMark/>
          </w:tcPr>
          <w:p w14:paraId="7A066DCC"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5" w:type="dxa"/>
            <w:tcBorders>
              <w:top w:val="nil"/>
              <w:left w:val="nil"/>
              <w:bottom w:val="nil"/>
              <w:right w:val="nil"/>
            </w:tcBorders>
            <w:shd w:val="clear" w:color="auto" w:fill="auto"/>
            <w:noWrap/>
            <w:vAlign w:val="bottom"/>
            <w:hideMark/>
          </w:tcPr>
          <w:p w14:paraId="63AF2CBC"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6A2DBF" w:rsidRPr="006A2DBF" w14:paraId="134C7781" w14:textId="77777777" w:rsidTr="006A2DBF">
        <w:trPr>
          <w:trHeight w:val="255"/>
        </w:trPr>
        <w:tc>
          <w:tcPr>
            <w:tcW w:w="1640" w:type="dxa"/>
            <w:tcBorders>
              <w:top w:val="nil"/>
              <w:left w:val="nil"/>
              <w:bottom w:val="nil"/>
              <w:right w:val="nil"/>
            </w:tcBorders>
            <w:shd w:val="clear" w:color="auto" w:fill="auto"/>
            <w:noWrap/>
            <w:vAlign w:val="center"/>
            <w:hideMark/>
          </w:tcPr>
          <w:p w14:paraId="7D473A59"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965BCC"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A2DBF">
              <w:rPr>
                <w:rFonts w:ascii="Arial" w:eastAsia="SimSun" w:hAnsi="Arial" w:cs="Arial"/>
                <w:b/>
                <w:bCs/>
                <w:color w:val="000000"/>
                <w:sz w:val="18"/>
                <w:szCs w:val="18"/>
                <w:lang w:eastAsia="zh-CN"/>
              </w:rPr>
              <w:t xml:space="preserve">Low delay B Main10 </w:t>
            </w:r>
          </w:p>
        </w:tc>
      </w:tr>
      <w:tr w:rsidR="006A2DBF" w:rsidRPr="006A2DBF" w14:paraId="194C1119" w14:textId="77777777" w:rsidTr="006A2DBF">
        <w:trPr>
          <w:trHeight w:val="255"/>
        </w:trPr>
        <w:tc>
          <w:tcPr>
            <w:tcW w:w="1640" w:type="dxa"/>
            <w:tcBorders>
              <w:top w:val="nil"/>
              <w:left w:val="nil"/>
              <w:bottom w:val="nil"/>
              <w:right w:val="nil"/>
            </w:tcBorders>
            <w:shd w:val="clear" w:color="auto" w:fill="auto"/>
            <w:noWrap/>
            <w:vAlign w:val="center"/>
            <w:hideMark/>
          </w:tcPr>
          <w:p w14:paraId="779153E5"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D4C75B3"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A2DBF">
              <w:rPr>
                <w:rFonts w:ascii="Arial" w:eastAsia="SimSun" w:hAnsi="Arial" w:cs="Arial"/>
                <w:b/>
                <w:bCs/>
                <w:color w:val="000000"/>
                <w:sz w:val="18"/>
                <w:szCs w:val="18"/>
                <w:lang w:eastAsia="zh-CN"/>
              </w:rPr>
              <w:t>Over BMS-1.0 with VTM configuration</w:t>
            </w:r>
          </w:p>
        </w:tc>
      </w:tr>
      <w:tr w:rsidR="006A2DBF" w:rsidRPr="006A2DBF" w14:paraId="54D9CFE3" w14:textId="77777777" w:rsidTr="006A2DBF">
        <w:trPr>
          <w:trHeight w:val="255"/>
        </w:trPr>
        <w:tc>
          <w:tcPr>
            <w:tcW w:w="1640" w:type="dxa"/>
            <w:tcBorders>
              <w:top w:val="nil"/>
              <w:left w:val="nil"/>
              <w:bottom w:val="nil"/>
              <w:right w:val="nil"/>
            </w:tcBorders>
            <w:shd w:val="clear" w:color="auto" w:fill="auto"/>
            <w:noWrap/>
            <w:vAlign w:val="center"/>
            <w:hideMark/>
          </w:tcPr>
          <w:p w14:paraId="1638A0FC"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14:paraId="1584A02B"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1C014314"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7777053E"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2C111775"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26BDA7C4"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DecT</w:t>
            </w:r>
          </w:p>
        </w:tc>
      </w:tr>
      <w:tr w:rsidR="006A2DBF" w:rsidRPr="006A2DBF" w14:paraId="763692FE" w14:textId="77777777" w:rsidTr="006A2DB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090E75"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14:paraId="4D7C73EC"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 xml:space="preserve">　</w:t>
            </w:r>
          </w:p>
        </w:tc>
        <w:tc>
          <w:tcPr>
            <w:tcW w:w="1169" w:type="dxa"/>
            <w:tcBorders>
              <w:top w:val="nil"/>
              <w:left w:val="nil"/>
              <w:bottom w:val="nil"/>
              <w:right w:val="nil"/>
            </w:tcBorders>
            <w:shd w:val="clear" w:color="auto" w:fill="auto"/>
            <w:noWrap/>
            <w:vAlign w:val="center"/>
            <w:hideMark/>
          </w:tcPr>
          <w:p w14:paraId="3A780145"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 xml:space="preserve">　</w:t>
            </w:r>
          </w:p>
        </w:tc>
        <w:tc>
          <w:tcPr>
            <w:tcW w:w="1169" w:type="dxa"/>
            <w:tcBorders>
              <w:top w:val="nil"/>
              <w:left w:val="nil"/>
              <w:bottom w:val="nil"/>
              <w:right w:val="single" w:sz="4" w:space="0" w:color="auto"/>
            </w:tcBorders>
            <w:shd w:val="clear" w:color="auto" w:fill="auto"/>
            <w:noWrap/>
            <w:vAlign w:val="center"/>
            <w:hideMark/>
          </w:tcPr>
          <w:p w14:paraId="28D59A6C"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 xml:space="preserve">　</w:t>
            </w:r>
          </w:p>
        </w:tc>
        <w:tc>
          <w:tcPr>
            <w:tcW w:w="955" w:type="dxa"/>
            <w:tcBorders>
              <w:top w:val="nil"/>
              <w:left w:val="nil"/>
              <w:bottom w:val="nil"/>
              <w:right w:val="nil"/>
            </w:tcBorders>
            <w:shd w:val="clear" w:color="auto" w:fill="auto"/>
            <w:noWrap/>
            <w:vAlign w:val="center"/>
            <w:hideMark/>
          </w:tcPr>
          <w:p w14:paraId="2591D95C"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 xml:space="preserve">　</w:t>
            </w:r>
          </w:p>
        </w:tc>
        <w:tc>
          <w:tcPr>
            <w:tcW w:w="955" w:type="dxa"/>
            <w:tcBorders>
              <w:top w:val="nil"/>
              <w:left w:val="nil"/>
              <w:bottom w:val="nil"/>
              <w:right w:val="single" w:sz="8" w:space="0" w:color="auto"/>
            </w:tcBorders>
            <w:shd w:val="clear" w:color="auto" w:fill="auto"/>
            <w:noWrap/>
            <w:vAlign w:val="center"/>
            <w:hideMark/>
          </w:tcPr>
          <w:p w14:paraId="674C53C5"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 xml:space="preserve">　</w:t>
            </w:r>
          </w:p>
        </w:tc>
      </w:tr>
      <w:tr w:rsidR="006A2DBF" w:rsidRPr="006A2DBF" w14:paraId="0EF94CD6" w14:textId="77777777" w:rsidTr="006A2DB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B1FFBA"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Class A2</w:t>
            </w:r>
          </w:p>
        </w:tc>
        <w:tc>
          <w:tcPr>
            <w:tcW w:w="1052" w:type="dxa"/>
            <w:tcBorders>
              <w:top w:val="nil"/>
              <w:left w:val="nil"/>
              <w:bottom w:val="nil"/>
              <w:right w:val="nil"/>
            </w:tcBorders>
            <w:shd w:val="clear" w:color="auto" w:fill="auto"/>
            <w:noWrap/>
            <w:vAlign w:val="center"/>
            <w:hideMark/>
          </w:tcPr>
          <w:p w14:paraId="15AC5A50"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 xml:space="preserve">　</w:t>
            </w:r>
          </w:p>
        </w:tc>
        <w:tc>
          <w:tcPr>
            <w:tcW w:w="1169" w:type="dxa"/>
            <w:tcBorders>
              <w:top w:val="nil"/>
              <w:left w:val="nil"/>
              <w:bottom w:val="nil"/>
              <w:right w:val="nil"/>
            </w:tcBorders>
            <w:shd w:val="clear" w:color="auto" w:fill="auto"/>
            <w:noWrap/>
            <w:vAlign w:val="center"/>
            <w:hideMark/>
          </w:tcPr>
          <w:p w14:paraId="10117D71"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0A060B61"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 xml:space="preserve">　</w:t>
            </w:r>
          </w:p>
        </w:tc>
        <w:tc>
          <w:tcPr>
            <w:tcW w:w="955" w:type="dxa"/>
            <w:tcBorders>
              <w:top w:val="nil"/>
              <w:left w:val="nil"/>
              <w:bottom w:val="nil"/>
              <w:right w:val="nil"/>
            </w:tcBorders>
            <w:shd w:val="clear" w:color="auto" w:fill="auto"/>
            <w:noWrap/>
            <w:vAlign w:val="center"/>
            <w:hideMark/>
          </w:tcPr>
          <w:p w14:paraId="24EF4BFA"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 xml:space="preserve">　</w:t>
            </w:r>
          </w:p>
        </w:tc>
        <w:tc>
          <w:tcPr>
            <w:tcW w:w="955" w:type="dxa"/>
            <w:tcBorders>
              <w:top w:val="nil"/>
              <w:left w:val="nil"/>
              <w:bottom w:val="nil"/>
              <w:right w:val="single" w:sz="8" w:space="0" w:color="auto"/>
            </w:tcBorders>
            <w:shd w:val="clear" w:color="auto" w:fill="auto"/>
            <w:noWrap/>
            <w:vAlign w:val="center"/>
            <w:hideMark/>
          </w:tcPr>
          <w:p w14:paraId="0B427118"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 xml:space="preserve">　</w:t>
            </w:r>
          </w:p>
        </w:tc>
      </w:tr>
      <w:tr w:rsidR="006A2DBF" w:rsidRPr="006A2DBF" w14:paraId="40D07832" w14:textId="77777777" w:rsidTr="006A2DB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055A2E"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14:paraId="21613F2D"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0.07%</w:t>
            </w:r>
          </w:p>
        </w:tc>
        <w:tc>
          <w:tcPr>
            <w:tcW w:w="1169" w:type="dxa"/>
            <w:tcBorders>
              <w:top w:val="nil"/>
              <w:left w:val="nil"/>
              <w:bottom w:val="nil"/>
              <w:right w:val="nil"/>
            </w:tcBorders>
            <w:shd w:val="clear" w:color="auto" w:fill="auto"/>
            <w:noWrap/>
            <w:vAlign w:val="center"/>
            <w:hideMark/>
          </w:tcPr>
          <w:p w14:paraId="2AC1581F"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-0.19%</w:t>
            </w:r>
          </w:p>
        </w:tc>
        <w:tc>
          <w:tcPr>
            <w:tcW w:w="1169" w:type="dxa"/>
            <w:tcBorders>
              <w:top w:val="nil"/>
              <w:left w:val="nil"/>
              <w:bottom w:val="nil"/>
              <w:right w:val="single" w:sz="4" w:space="0" w:color="auto"/>
            </w:tcBorders>
            <w:shd w:val="clear" w:color="auto" w:fill="auto"/>
            <w:noWrap/>
            <w:vAlign w:val="center"/>
            <w:hideMark/>
          </w:tcPr>
          <w:p w14:paraId="565E6EA2"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0.15%</w:t>
            </w:r>
          </w:p>
        </w:tc>
        <w:tc>
          <w:tcPr>
            <w:tcW w:w="955" w:type="dxa"/>
            <w:tcBorders>
              <w:top w:val="nil"/>
              <w:left w:val="nil"/>
              <w:bottom w:val="nil"/>
              <w:right w:val="nil"/>
            </w:tcBorders>
            <w:shd w:val="clear" w:color="auto" w:fill="auto"/>
            <w:noWrap/>
            <w:vAlign w:val="center"/>
            <w:hideMark/>
          </w:tcPr>
          <w:p w14:paraId="7FC720BA"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102%</w:t>
            </w:r>
          </w:p>
        </w:tc>
        <w:tc>
          <w:tcPr>
            <w:tcW w:w="955" w:type="dxa"/>
            <w:tcBorders>
              <w:top w:val="nil"/>
              <w:left w:val="nil"/>
              <w:bottom w:val="nil"/>
              <w:right w:val="single" w:sz="8" w:space="0" w:color="auto"/>
            </w:tcBorders>
            <w:shd w:val="clear" w:color="auto" w:fill="auto"/>
            <w:noWrap/>
            <w:vAlign w:val="center"/>
            <w:hideMark/>
          </w:tcPr>
          <w:p w14:paraId="153F84A5"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103%</w:t>
            </w:r>
          </w:p>
        </w:tc>
      </w:tr>
      <w:tr w:rsidR="006A2DBF" w:rsidRPr="006A2DBF" w14:paraId="743588CE" w14:textId="77777777" w:rsidTr="006A2DB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9FF03B"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Class C</w:t>
            </w:r>
          </w:p>
        </w:tc>
        <w:tc>
          <w:tcPr>
            <w:tcW w:w="1052" w:type="dxa"/>
            <w:tcBorders>
              <w:top w:val="nil"/>
              <w:left w:val="nil"/>
              <w:bottom w:val="nil"/>
              <w:right w:val="nil"/>
            </w:tcBorders>
            <w:shd w:val="clear" w:color="auto" w:fill="auto"/>
            <w:noWrap/>
            <w:vAlign w:val="center"/>
            <w:hideMark/>
          </w:tcPr>
          <w:p w14:paraId="4ACFC7A6"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0.03%</w:t>
            </w:r>
          </w:p>
        </w:tc>
        <w:tc>
          <w:tcPr>
            <w:tcW w:w="1169" w:type="dxa"/>
            <w:tcBorders>
              <w:top w:val="nil"/>
              <w:left w:val="nil"/>
              <w:bottom w:val="nil"/>
              <w:right w:val="nil"/>
            </w:tcBorders>
            <w:shd w:val="clear" w:color="auto" w:fill="auto"/>
            <w:noWrap/>
            <w:vAlign w:val="center"/>
            <w:hideMark/>
          </w:tcPr>
          <w:p w14:paraId="202AF855"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0.15%</w:t>
            </w:r>
          </w:p>
        </w:tc>
        <w:tc>
          <w:tcPr>
            <w:tcW w:w="1169" w:type="dxa"/>
            <w:tcBorders>
              <w:top w:val="nil"/>
              <w:left w:val="nil"/>
              <w:bottom w:val="nil"/>
              <w:right w:val="single" w:sz="4" w:space="0" w:color="auto"/>
            </w:tcBorders>
            <w:shd w:val="clear" w:color="auto" w:fill="auto"/>
            <w:noWrap/>
            <w:vAlign w:val="center"/>
            <w:hideMark/>
          </w:tcPr>
          <w:p w14:paraId="2B85A43B"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0.08%</w:t>
            </w:r>
          </w:p>
        </w:tc>
        <w:tc>
          <w:tcPr>
            <w:tcW w:w="955" w:type="dxa"/>
            <w:tcBorders>
              <w:top w:val="nil"/>
              <w:left w:val="nil"/>
              <w:bottom w:val="nil"/>
              <w:right w:val="nil"/>
            </w:tcBorders>
            <w:shd w:val="clear" w:color="auto" w:fill="auto"/>
            <w:noWrap/>
            <w:vAlign w:val="center"/>
            <w:hideMark/>
          </w:tcPr>
          <w:p w14:paraId="40FA2C9F"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101%</w:t>
            </w:r>
          </w:p>
        </w:tc>
        <w:tc>
          <w:tcPr>
            <w:tcW w:w="955" w:type="dxa"/>
            <w:tcBorders>
              <w:top w:val="nil"/>
              <w:left w:val="nil"/>
              <w:bottom w:val="nil"/>
              <w:right w:val="single" w:sz="8" w:space="0" w:color="auto"/>
            </w:tcBorders>
            <w:shd w:val="clear" w:color="auto" w:fill="auto"/>
            <w:noWrap/>
            <w:vAlign w:val="center"/>
            <w:hideMark/>
          </w:tcPr>
          <w:p w14:paraId="588EAAA6"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101%</w:t>
            </w:r>
          </w:p>
        </w:tc>
      </w:tr>
      <w:tr w:rsidR="006A2DBF" w:rsidRPr="006A2DBF" w14:paraId="38E2325A" w14:textId="77777777" w:rsidTr="006A2DB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CE3342"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14:paraId="35913E86"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0.35%</w:t>
            </w:r>
          </w:p>
        </w:tc>
        <w:tc>
          <w:tcPr>
            <w:tcW w:w="1169" w:type="dxa"/>
            <w:tcBorders>
              <w:top w:val="nil"/>
              <w:left w:val="nil"/>
              <w:bottom w:val="nil"/>
              <w:right w:val="nil"/>
            </w:tcBorders>
            <w:shd w:val="clear" w:color="auto" w:fill="auto"/>
            <w:noWrap/>
            <w:vAlign w:val="center"/>
            <w:hideMark/>
          </w:tcPr>
          <w:p w14:paraId="20186277"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0.06%</w:t>
            </w:r>
          </w:p>
        </w:tc>
        <w:tc>
          <w:tcPr>
            <w:tcW w:w="1169" w:type="dxa"/>
            <w:tcBorders>
              <w:top w:val="nil"/>
              <w:left w:val="nil"/>
              <w:bottom w:val="nil"/>
              <w:right w:val="single" w:sz="4" w:space="0" w:color="auto"/>
            </w:tcBorders>
            <w:shd w:val="clear" w:color="auto" w:fill="auto"/>
            <w:noWrap/>
            <w:vAlign w:val="center"/>
            <w:hideMark/>
          </w:tcPr>
          <w:p w14:paraId="62862327"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-0.07%</w:t>
            </w:r>
          </w:p>
        </w:tc>
        <w:tc>
          <w:tcPr>
            <w:tcW w:w="955" w:type="dxa"/>
            <w:tcBorders>
              <w:top w:val="nil"/>
              <w:left w:val="nil"/>
              <w:bottom w:val="nil"/>
              <w:right w:val="nil"/>
            </w:tcBorders>
            <w:shd w:val="clear" w:color="auto" w:fill="auto"/>
            <w:noWrap/>
            <w:vAlign w:val="center"/>
            <w:hideMark/>
          </w:tcPr>
          <w:p w14:paraId="4EFF8AA6"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99%</w:t>
            </w:r>
          </w:p>
        </w:tc>
        <w:tc>
          <w:tcPr>
            <w:tcW w:w="955" w:type="dxa"/>
            <w:tcBorders>
              <w:top w:val="nil"/>
              <w:left w:val="nil"/>
              <w:bottom w:val="nil"/>
              <w:right w:val="single" w:sz="8" w:space="0" w:color="auto"/>
            </w:tcBorders>
            <w:shd w:val="clear" w:color="auto" w:fill="auto"/>
            <w:noWrap/>
            <w:vAlign w:val="center"/>
            <w:hideMark/>
          </w:tcPr>
          <w:p w14:paraId="3C76E955"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102%</w:t>
            </w:r>
          </w:p>
        </w:tc>
      </w:tr>
      <w:tr w:rsidR="006A2DBF" w:rsidRPr="006A2DBF" w14:paraId="5ED51FC3" w14:textId="77777777" w:rsidTr="006A2DB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B283AE"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A2DBF">
              <w:rPr>
                <w:rFonts w:ascii="Arial" w:eastAsia="SimSun" w:hAnsi="Arial" w:cs="Arial"/>
                <w:b/>
                <w:bCs/>
                <w:color w:val="000000"/>
                <w:sz w:val="18"/>
                <w:szCs w:val="18"/>
                <w:lang w:eastAsia="zh-CN"/>
              </w:rPr>
              <w:t>Overall</w:t>
            </w:r>
          </w:p>
        </w:tc>
        <w:tc>
          <w:tcPr>
            <w:tcW w:w="1052" w:type="dxa"/>
            <w:tcBorders>
              <w:top w:val="single" w:sz="8" w:space="0" w:color="auto"/>
              <w:left w:val="nil"/>
              <w:bottom w:val="nil"/>
              <w:right w:val="nil"/>
            </w:tcBorders>
            <w:shd w:val="clear" w:color="auto" w:fill="auto"/>
            <w:noWrap/>
            <w:vAlign w:val="center"/>
            <w:hideMark/>
          </w:tcPr>
          <w:p w14:paraId="53729402"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0.13%</w:t>
            </w:r>
          </w:p>
        </w:tc>
        <w:tc>
          <w:tcPr>
            <w:tcW w:w="1169" w:type="dxa"/>
            <w:tcBorders>
              <w:top w:val="single" w:sz="8" w:space="0" w:color="auto"/>
              <w:left w:val="nil"/>
              <w:bottom w:val="nil"/>
              <w:right w:val="nil"/>
            </w:tcBorders>
            <w:shd w:val="clear" w:color="auto" w:fill="auto"/>
            <w:noWrap/>
            <w:vAlign w:val="center"/>
            <w:hideMark/>
          </w:tcPr>
          <w:p w14:paraId="6DA4FCD8"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-0.02%</w:t>
            </w:r>
          </w:p>
        </w:tc>
        <w:tc>
          <w:tcPr>
            <w:tcW w:w="1169" w:type="dxa"/>
            <w:tcBorders>
              <w:top w:val="single" w:sz="8" w:space="0" w:color="auto"/>
              <w:left w:val="nil"/>
              <w:bottom w:val="nil"/>
              <w:right w:val="single" w:sz="4" w:space="0" w:color="auto"/>
            </w:tcBorders>
            <w:shd w:val="clear" w:color="auto" w:fill="auto"/>
            <w:noWrap/>
            <w:vAlign w:val="center"/>
            <w:hideMark/>
          </w:tcPr>
          <w:p w14:paraId="6D84EECA"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0.07%</w:t>
            </w:r>
          </w:p>
        </w:tc>
        <w:tc>
          <w:tcPr>
            <w:tcW w:w="955" w:type="dxa"/>
            <w:tcBorders>
              <w:top w:val="single" w:sz="8" w:space="0" w:color="auto"/>
              <w:left w:val="nil"/>
              <w:bottom w:val="nil"/>
              <w:right w:val="nil"/>
            </w:tcBorders>
            <w:shd w:val="clear" w:color="auto" w:fill="auto"/>
            <w:noWrap/>
            <w:vAlign w:val="center"/>
            <w:hideMark/>
          </w:tcPr>
          <w:p w14:paraId="1FC9B332"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101%</w:t>
            </w:r>
          </w:p>
        </w:tc>
        <w:tc>
          <w:tcPr>
            <w:tcW w:w="955" w:type="dxa"/>
            <w:tcBorders>
              <w:top w:val="single" w:sz="8" w:space="0" w:color="auto"/>
              <w:left w:val="nil"/>
              <w:bottom w:val="nil"/>
              <w:right w:val="single" w:sz="8" w:space="0" w:color="auto"/>
            </w:tcBorders>
            <w:shd w:val="clear" w:color="auto" w:fill="auto"/>
            <w:noWrap/>
            <w:vAlign w:val="center"/>
            <w:hideMark/>
          </w:tcPr>
          <w:p w14:paraId="17EC49BA"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102%</w:t>
            </w:r>
          </w:p>
        </w:tc>
      </w:tr>
      <w:tr w:rsidR="006A2DBF" w:rsidRPr="006A2DBF" w14:paraId="09256D79" w14:textId="77777777" w:rsidTr="006A2DB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13068B6"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Class D</w:t>
            </w:r>
          </w:p>
        </w:tc>
        <w:tc>
          <w:tcPr>
            <w:tcW w:w="1052" w:type="dxa"/>
            <w:tcBorders>
              <w:top w:val="single" w:sz="8" w:space="0" w:color="auto"/>
              <w:left w:val="single" w:sz="8" w:space="0" w:color="auto"/>
              <w:bottom w:val="nil"/>
              <w:right w:val="nil"/>
            </w:tcBorders>
            <w:shd w:val="clear" w:color="auto" w:fill="auto"/>
            <w:noWrap/>
            <w:vAlign w:val="center"/>
            <w:hideMark/>
          </w:tcPr>
          <w:p w14:paraId="292DE509"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0.06%</w:t>
            </w:r>
          </w:p>
        </w:tc>
        <w:tc>
          <w:tcPr>
            <w:tcW w:w="1169" w:type="dxa"/>
            <w:tcBorders>
              <w:top w:val="single" w:sz="8" w:space="0" w:color="auto"/>
              <w:left w:val="nil"/>
              <w:bottom w:val="nil"/>
              <w:right w:val="nil"/>
            </w:tcBorders>
            <w:shd w:val="clear" w:color="auto" w:fill="auto"/>
            <w:noWrap/>
            <w:vAlign w:val="center"/>
            <w:hideMark/>
          </w:tcPr>
          <w:p w14:paraId="60B858B8"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0.40%</w:t>
            </w:r>
          </w:p>
        </w:tc>
        <w:tc>
          <w:tcPr>
            <w:tcW w:w="1169" w:type="dxa"/>
            <w:tcBorders>
              <w:top w:val="single" w:sz="8" w:space="0" w:color="auto"/>
              <w:left w:val="nil"/>
              <w:bottom w:val="nil"/>
              <w:right w:val="single" w:sz="4" w:space="0" w:color="auto"/>
            </w:tcBorders>
            <w:shd w:val="clear" w:color="auto" w:fill="auto"/>
            <w:noWrap/>
            <w:vAlign w:val="center"/>
            <w:hideMark/>
          </w:tcPr>
          <w:p w14:paraId="1B306B81"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0.24%</w:t>
            </w:r>
          </w:p>
        </w:tc>
        <w:tc>
          <w:tcPr>
            <w:tcW w:w="955" w:type="dxa"/>
            <w:tcBorders>
              <w:top w:val="single" w:sz="8" w:space="0" w:color="auto"/>
              <w:left w:val="nil"/>
              <w:bottom w:val="nil"/>
              <w:right w:val="nil"/>
            </w:tcBorders>
            <w:shd w:val="clear" w:color="auto" w:fill="auto"/>
            <w:noWrap/>
            <w:vAlign w:val="center"/>
            <w:hideMark/>
          </w:tcPr>
          <w:p w14:paraId="2B98F37B"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101%</w:t>
            </w:r>
          </w:p>
        </w:tc>
        <w:tc>
          <w:tcPr>
            <w:tcW w:w="955" w:type="dxa"/>
            <w:tcBorders>
              <w:top w:val="single" w:sz="8" w:space="0" w:color="auto"/>
              <w:left w:val="nil"/>
              <w:bottom w:val="nil"/>
              <w:right w:val="single" w:sz="8" w:space="0" w:color="auto"/>
            </w:tcBorders>
            <w:shd w:val="clear" w:color="auto" w:fill="auto"/>
            <w:noWrap/>
            <w:vAlign w:val="center"/>
            <w:hideMark/>
          </w:tcPr>
          <w:p w14:paraId="25C17154"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101%</w:t>
            </w:r>
          </w:p>
        </w:tc>
      </w:tr>
      <w:tr w:rsidR="006A2DBF" w:rsidRPr="006A2DBF" w14:paraId="49D82E8B" w14:textId="77777777" w:rsidTr="006A2DB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BE57925"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Class F (optional)</w:t>
            </w:r>
          </w:p>
        </w:tc>
        <w:tc>
          <w:tcPr>
            <w:tcW w:w="1052" w:type="dxa"/>
            <w:tcBorders>
              <w:top w:val="nil"/>
              <w:left w:val="single" w:sz="8" w:space="0" w:color="auto"/>
              <w:bottom w:val="single" w:sz="8" w:space="0" w:color="auto"/>
              <w:right w:val="nil"/>
            </w:tcBorders>
            <w:shd w:val="clear" w:color="auto" w:fill="auto"/>
            <w:noWrap/>
            <w:vAlign w:val="center"/>
            <w:hideMark/>
          </w:tcPr>
          <w:p w14:paraId="2D657781"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0.11%</w:t>
            </w:r>
          </w:p>
        </w:tc>
        <w:tc>
          <w:tcPr>
            <w:tcW w:w="1169" w:type="dxa"/>
            <w:tcBorders>
              <w:top w:val="nil"/>
              <w:left w:val="nil"/>
              <w:bottom w:val="single" w:sz="8" w:space="0" w:color="auto"/>
              <w:right w:val="nil"/>
            </w:tcBorders>
            <w:shd w:val="clear" w:color="auto" w:fill="auto"/>
            <w:noWrap/>
            <w:vAlign w:val="center"/>
            <w:hideMark/>
          </w:tcPr>
          <w:p w14:paraId="28A65B78"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0.47%</w:t>
            </w:r>
          </w:p>
        </w:tc>
        <w:tc>
          <w:tcPr>
            <w:tcW w:w="1169" w:type="dxa"/>
            <w:tcBorders>
              <w:top w:val="nil"/>
              <w:left w:val="nil"/>
              <w:bottom w:val="single" w:sz="8" w:space="0" w:color="auto"/>
              <w:right w:val="single" w:sz="4" w:space="0" w:color="auto"/>
            </w:tcBorders>
            <w:shd w:val="clear" w:color="auto" w:fill="auto"/>
            <w:noWrap/>
            <w:vAlign w:val="center"/>
            <w:hideMark/>
          </w:tcPr>
          <w:p w14:paraId="110FC8A3"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0.08%</w:t>
            </w:r>
          </w:p>
        </w:tc>
        <w:tc>
          <w:tcPr>
            <w:tcW w:w="955" w:type="dxa"/>
            <w:tcBorders>
              <w:top w:val="nil"/>
              <w:left w:val="nil"/>
              <w:bottom w:val="single" w:sz="8" w:space="0" w:color="auto"/>
              <w:right w:val="nil"/>
            </w:tcBorders>
            <w:shd w:val="clear" w:color="auto" w:fill="auto"/>
            <w:noWrap/>
            <w:vAlign w:val="center"/>
            <w:hideMark/>
          </w:tcPr>
          <w:p w14:paraId="2590D7FA"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100%</w:t>
            </w:r>
          </w:p>
        </w:tc>
        <w:tc>
          <w:tcPr>
            <w:tcW w:w="955" w:type="dxa"/>
            <w:tcBorders>
              <w:top w:val="nil"/>
              <w:left w:val="nil"/>
              <w:bottom w:val="single" w:sz="8" w:space="0" w:color="auto"/>
              <w:right w:val="single" w:sz="8" w:space="0" w:color="auto"/>
            </w:tcBorders>
            <w:shd w:val="clear" w:color="auto" w:fill="auto"/>
            <w:noWrap/>
            <w:vAlign w:val="center"/>
            <w:hideMark/>
          </w:tcPr>
          <w:p w14:paraId="40BA6597" w14:textId="77777777" w:rsidR="006A2DBF" w:rsidRPr="006A2DBF" w:rsidRDefault="006A2DBF" w:rsidP="006A2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A2DBF">
              <w:rPr>
                <w:rFonts w:ascii="Arial" w:eastAsia="SimSun" w:hAnsi="Arial" w:cs="Arial"/>
                <w:color w:val="000000"/>
                <w:sz w:val="18"/>
                <w:szCs w:val="18"/>
                <w:lang w:eastAsia="zh-CN"/>
              </w:rPr>
              <w:t>100%</w:t>
            </w:r>
          </w:p>
        </w:tc>
      </w:tr>
    </w:tbl>
    <w:p w14:paraId="64C2BD11" w14:textId="77777777" w:rsidR="00701662" w:rsidRPr="00E464FD" w:rsidRDefault="00701662" w:rsidP="00B74297"/>
    <w:p w14:paraId="2240259F" w14:textId="74EBE2DE" w:rsidR="00A0101C" w:rsidRDefault="00B74297" w:rsidP="00B74297">
      <w:pPr>
        <w:pStyle w:val="Heading1"/>
        <w:rPr>
          <w:lang w:val="en-CA"/>
        </w:rPr>
      </w:pPr>
      <w:r>
        <w:rPr>
          <w:lang w:val="en-CA"/>
        </w:rPr>
        <w:t>Conclusion</w:t>
      </w:r>
    </w:p>
    <w:p w14:paraId="27EF6FA1" w14:textId="714F067C" w:rsidR="00B74297" w:rsidRDefault="00B74297" w:rsidP="00B74297">
      <w:pPr>
        <w:rPr>
          <w:lang w:val="en-CA"/>
        </w:rPr>
      </w:pPr>
      <w:r>
        <w:rPr>
          <w:rFonts w:hint="eastAsia"/>
          <w:lang w:val="en-CA"/>
        </w:rPr>
        <w:t xml:space="preserve">Current boundary handling is regarding less VPDU rule in VVC 3.0 draft, in order to reduce the hardware </w:t>
      </w:r>
      <w:r>
        <w:rPr>
          <w:lang w:val="en-CA"/>
        </w:rPr>
        <w:t>implementation</w:t>
      </w:r>
      <w:r>
        <w:rPr>
          <w:rFonts w:hint="eastAsia"/>
          <w:lang w:val="en-CA"/>
        </w:rPr>
        <w:t xml:space="preserve"> </w:t>
      </w:r>
      <w:r>
        <w:rPr>
          <w:lang w:val="en-CA"/>
        </w:rPr>
        <w:t>payload and memory bandwidth, a implicitly QT boundary handling method is proposed on top of the current boundary handling. Simulation results shows 0.XX% and 0.</w:t>
      </w:r>
      <w:r>
        <w:rPr>
          <w:rFonts w:hint="eastAsia"/>
          <w:lang w:val="en-CA"/>
        </w:rPr>
        <w:t xml:space="preserve">XX coding loss for RA and LDB on average. </w:t>
      </w:r>
      <w:r w:rsidR="00A96AD9">
        <w:rPr>
          <w:lang w:val="en-CA"/>
        </w:rPr>
        <w:t>The contribution is proposed to be included in the VVC</w:t>
      </w:r>
    </w:p>
    <w:p w14:paraId="683A7A8F" w14:textId="77777777" w:rsidR="00507229" w:rsidRPr="002B0364" w:rsidRDefault="00507229" w:rsidP="00507229">
      <w:pPr>
        <w:pStyle w:val="Heading1"/>
        <w:tabs>
          <w:tab w:val="clear" w:pos="1800"/>
          <w:tab w:val="clear" w:pos="2160"/>
          <w:tab w:val="clear" w:pos="2520"/>
          <w:tab w:val="clear" w:pos="2880"/>
          <w:tab w:val="clear" w:pos="3240"/>
          <w:tab w:val="clear" w:pos="3600"/>
          <w:tab w:val="clear" w:pos="3960"/>
          <w:tab w:val="clear" w:pos="4320"/>
        </w:tabs>
        <w:ind w:left="432" w:hanging="432"/>
      </w:pPr>
      <w:r w:rsidRPr="002B0364">
        <w:t>Acknowledgement</w:t>
      </w:r>
    </w:p>
    <w:p w14:paraId="2E03F0D2" w14:textId="319AB147" w:rsidR="00507229" w:rsidRPr="00AE542F" w:rsidRDefault="00507229" w:rsidP="00B74297">
      <w:pPr>
        <w:rPr>
          <w:szCs w:val="22"/>
          <w:lang w:val="en-CA"/>
        </w:rPr>
      </w:pPr>
      <w:r>
        <w:rPr>
          <w:rFonts w:hint="eastAsia"/>
          <w:szCs w:val="22"/>
          <w:lang w:val="en-CA"/>
        </w:rPr>
        <w:t xml:space="preserve">We would </w:t>
      </w:r>
      <w:r>
        <w:rPr>
          <w:szCs w:val="22"/>
          <w:lang w:val="en-CA"/>
        </w:rPr>
        <w:t>like</w:t>
      </w:r>
      <w:r>
        <w:rPr>
          <w:rFonts w:hint="eastAsia"/>
          <w:szCs w:val="22"/>
          <w:lang w:val="en-CA"/>
        </w:rPr>
        <w:t xml:space="preserve"> </w:t>
      </w:r>
      <w:r>
        <w:rPr>
          <w:szCs w:val="22"/>
          <w:lang w:val="en-CA"/>
        </w:rPr>
        <w:t xml:space="preserve">to thank </w:t>
      </w:r>
      <w:r w:rsidR="00D9656B">
        <w:rPr>
          <w:szCs w:val="22"/>
        </w:rPr>
        <w:t>F</w:t>
      </w:r>
      <w:r w:rsidR="00DE15A5" w:rsidRPr="00DE15A5">
        <w:rPr>
          <w:szCs w:val="22"/>
        </w:rPr>
        <w:t xml:space="preserve">raunhofer </w:t>
      </w:r>
      <w:r w:rsidR="006217E2">
        <w:rPr>
          <w:szCs w:val="22"/>
        </w:rPr>
        <w:t>HHI</w:t>
      </w:r>
      <w:r>
        <w:rPr>
          <w:szCs w:val="22"/>
          <w:lang w:val="en-CA"/>
        </w:rPr>
        <w:t xml:space="preserve"> for cross-checking this proposal.</w:t>
      </w:r>
    </w:p>
    <w:p w14:paraId="3F3085A0" w14:textId="43830FE9" w:rsidR="001F67EA" w:rsidRDefault="001F67EA" w:rsidP="00663876">
      <w:pPr>
        <w:pStyle w:val="Heading1"/>
        <w:rPr>
          <w:lang w:val="en-CA"/>
        </w:rPr>
      </w:pPr>
      <w:r>
        <w:rPr>
          <w:lang w:val="en-CA"/>
        </w:rPr>
        <w:t>Reference</w:t>
      </w:r>
    </w:p>
    <w:p w14:paraId="357B45DE" w14:textId="56DE0B10" w:rsidR="009B4963" w:rsidRPr="002769E4" w:rsidRDefault="004A14D0" w:rsidP="009B4963">
      <w:pPr>
        <w:rPr>
          <w:lang w:eastAsia="zh-CN"/>
        </w:rPr>
      </w:pPr>
      <w:r w:rsidRPr="00F20F54">
        <w:rPr>
          <w:lang w:eastAsia="zh-CN"/>
        </w:rPr>
        <w:t>[1</w:t>
      </w:r>
      <w:r w:rsidR="009B4963" w:rsidRPr="00F20F54">
        <w:rPr>
          <w:lang w:eastAsia="zh-CN"/>
        </w:rPr>
        <w:t xml:space="preserve">] “ </w:t>
      </w:r>
      <w:r w:rsidR="00F20F54" w:rsidRPr="00F20F54">
        <w:rPr>
          <w:lang w:eastAsia="zh-CN"/>
        </w:rPr>
        <w:t>CE1.2.1: Constraint for binary and ternary partitions</w:t>
      </w:r>
      <w:r w:rsidR="009B4963" w:rsidRPr="00F20F54">
        <w:rPr>
          <w:lang w:eastAsia="zh-CN"/>
        </w:rPr>
        <w:t xml:space="preserve">”, </w:t>
      </w:r>
      <w:r w:rsidR="00F20F54" w:rsidRPr="00F20F54">
        <w:rPr>
          <w:lang w:eastAsia="zh-CN"/>
        </w:rPr>
        <w:t>C.-M. Tsai, C.-W. Hsu, T.-D. Chuang, C.-Y. Chen, Y</w:t>
      </w:r>
      <w:r w:rsidR="00F20F54">
        <w:rPr>
          <w:lang w:eastAsia="zh-CN"/>
        </w:rPr>
        <w:t>.-W. Huang, S.-M. Lei</w:t>
      </w:r>
      <w:r w:rsidR="009B4963" w:rsidRPr="00F20F54">
        <w:rPr>
          <w:lang w:eastAsia="zh-CN"/>
        </w:rPr>
        <w:t xml:space="preserve">, doc. </w:t>
      </w:r>
      <w:r w:rsidR="009B4963" w:rsidRPr="002769E4">
        <w:rPr>
          <w:lang w:eastAsia="zh-CN"/>
        </w:rPr>
        <w:t>JVET-L</w:t>
      </w:r>
      <w:r w:rsidR="00B37ECB">
        <w:rPr>
          <w:lang w:eastAsia="zh-CN"/>
        </w:rPr>
        <w:t>0081</w:t>
      </w:r>
      <w:r w:rsidR="009B4963" w:rsidRPr="002769E4">
        <w:rPr>
          <w:lang w:eastAsia="zh-CN"/>
        </w:rPr>
        <w:t>, Oct. 2018</w:t>
      </w:r>
    </w:p>
    <w:p w14:paraId="0FDA466C" w14:textId="11DF152B" w:rsidR="005357BC" w:rsidRPr="002769E4" w:rsidRDefault="005357BC" w:rsidP="005357BC">
      <w:pPr>
        <w:rPr>
          <w:lang w:eastAsia="zh-CN"/>
        </w:rPr>
      </w:pPr>
      <w:r>
        <w:rPr>
          <w:lang w:val="de-DE" w:eastAsia="zh-CN"/>
        </w:rPr>
        <w:t>[2</w:t>
      </w:r>
      <w:r w:rsidRPr="00A6258A">
        <w:rPr>
          <w:lang w:val="de-DE" w:eastAsia="zh-CN"/>
        </w:rPr>
        <w:t xml:space="preserve">] “ Versatile Video Coding (Draft 3)”, B. Bross, J. Chen, S. Liu, doc. </w:t>
      </w:r>
      <w:r w:rsidRPr="002769E4">
        <w:rPr>
          <w:lang w:eastAsia="zh-CN"/>
        </w:rPr>
        <w:t>JVET-L1001, Oct. 2018</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BF4E96E" w14:textId="77777777" w:rsidR="002C5025" w:rsidRDefault="002C5025" w:rsidP="002C5025">
      <w:pPr>
        <w:rPr>
          <w:b/>
          <w:bCs/>
          <w:sz w:val="20"/>
        </w:rPr>
      </w:pPr>
      <w:r>
        <w:rPr>
          <w:b/>
          <w:bCs/>
          <w:lang w:eastAsia="ko-KR"/>
        </w:rPr>
        <w:t>Huawei Technologies Co.,Ltd.</w:t>
      </w:r>
      <w:r>
        <w:rPr>
          <w:b/>
          <w:bC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5C4ADF" w14:textId="77777777" w:rsidR="002C6EC2" w:rsidRDefault="002C6EC2">
      <w:r>
        <w:separator/>
      </w:r>
    </w:p>
  </w:endnote>
  <w:endnote w:type="continuationSeparator" w:id="0">
    <w:p w14:paraId="2ACA8F44" w14:textId="77777777" w:rsidR="002C6EC2" w:rsidRDefault="002C6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E408C">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E408C">
      <w:rPr>
        <w:rStyle w:val="PageNumber"/>
        <w:noProof/>
      </w:rPr>
      <w:t>2019-01-16</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A1AADD" w14:textId="77777777" w:rsidR="002C6EC2" w:rsidRDefault="002C6EC2">
      <w:r>
        <w:separator/>
      </w:r>
    </w:p>
  </w:footnote>
  <w:footnote w:type="continuationSeparator" w:id="0">
    <w:p w14:paraId="2A43BE6A" w14:textId="77777777" w:rsidR="002C6EC2" w:rsidRDefault="002C6E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15596"/>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67EA"/>
    <w:rsid w:val="001F797E"/>
    <w:rsid w:val="002055A6"/>
    <w:rsid w:val="00206460"/>
    <w:rsid w:val="002069B4"/>
    <w:rsid w:val="00215DFC"/>
    <w:rsid w:val="0021645F"/>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430"/>
    <w:rsid w:val="002B2E83"/>
    <w:rsid w:val="002C5025"/>
    <w:rsid w:val="002C6EC2"/>
    <w:rsid w:val="002D0AF6"/>
    <w:rsid w:val="002E058B"/>
    <w:rsid w:val="002E408C"/>
    <w:rsid w:val="002F164D"/>
    <w:rsid w:val="003021BC"/>
    <w:rsid w:val="00306206"/>
    <w:rsid w:val="00312A39"/>
    <w:rsid w:val="00317D85"/>
    <w:rsid w:val="00325834"/>
    <w:rsid w:val="00327C56"/>
    <w:rsid w:val="003315A1"/>
    <w:rsid w:val="003373EC"/>
    <w:rsid w:val="00342FF4"/>
    <w:rsid w:val="00344E5A"/>
    <w:rsid w:val="00346148"/>
    <w:rsid w:val="003669EA"/>
    <w:rsid w:val="003706CC"/>
    <w:rsid w:val="00377710"/>
    <w:rsid w:val="00397450"/>
    <w:rsid w:val="003A2D8E"/>
    <w:rsid w:val="003A7CE6"/>
    <w:rsid w:val="003C20E4"/>
    <w:rsid w:val="003D6342"/>
    <w:rsid w:val="003E6F90"/>
    <w:rsid w:val="003E73ED"/>
    <w:rsid w:val="003F5D0F"/>
    <w:rsid w:val="00414101"/>
    <w:rsid w:val="004219CF"/>
    <w:rsid w:val="004234F0"/>
    <w:rsid w:val="00433DDB"/>
    <w:rsid w:val="00435A29"/>
    <w:rsid w:val="004365D3"/>
    <w:rsid w:val="00437619"/>
    <w:rsid w:val="00465A1E"/>
    <w:rsid w:val="0049445A"/>
    <w:rsid w:val="004A14D0"/>
    <w:rsid w:val="004A2A63"/>
    <w:rsid w:val="004B210C"/>
    <w:rsid w:val="004D405F"/>
    <w:rsid w:val="004E4F4F"/>
    <w:rsid w:val="004E6789"/>
    <w:rsid w:val="004F0FD6"/>
    <w:rsid w:val="004F61E3"/>
    <w:rsid w:val="00502E10"/>
    <w:rsid w:val="00507229"/>
    <w:rsid w:val="0051015C"/>
    <w:rsid w:val="00516CF1"/>
    <w:rsid w:val="00531AE9"/>
    <w:rsid w:val="005357BC"/>
    <w:rsid w:val="0054261C"/>
    <w:rsid w:val="00550A66"/>
    <w:rsid w:val="00563734"/>
    <w:rsid w:val="00567EC7"/>
    <w:rsid w:val="00570013"/>
    <w:rsid w:val="005753EC"/>
    <w:rsid w:val="005801A2"/>
    <w:rsid w:val="005952A5"/>
    <w:rsid w:val="005A33A1"/>
    <w:rsid w:val="005B217D"/>
    <w:rsid w:val="005B3252"/>
    <w:rsid w:val="005C385F"/>
    <w:rsid w:val="005E1AC6"/>
    <w:rsid w:val="005F6F1B"/>
    <w:rsid w:val="00615995"/>
    <w:rsid w:val="00616155"/>
    <w:rsid w:val="006217E2"/>
    <w:rsid w:val="00624B33"/>
    <w:rsid w:val="0063041A"/>
    <w:rsid w:val="00630AA2"/>
    <w:rsid w:val="00646707"/>
    <w:rsid w:val="006529AA"/>
    <w:rsid w:val="00657F7E"/>
    <w:rsid w:val="00662E58"/>
    <w:rsid w:val="006637F2"/>
    <w:rsid w:val="00663876"/>
    <w:rsid w:val="006642A5"/>
    <w:rsid w:val="00664DCF"/>
    <w:rsid w:val="00674839"/>
    <w:rsid w:val="006A2DBF"/>
    <w:rsid w:val="006C5D39"/>
    <w:rsid w:val="006D6D9B"/>
    <w:rsid w:val="006D7963"/>
    <w:rsid w:val="006E2810"/>
    <w:rsid w:val="006E5417"/>
    <w:rsid w:val="006E6146"/>
    <w:rsid w:val="006F0794"/>
    <w:rsid w:val="006F7528"/>
    <w:rsid w:val="00701662"/>
    <w:rsid w:val="007023DE"/>
    <w:rsid w:val="00712F60"/>
    <w:rsid w:val="00720E3B"/>
    <w:rsid w:val="00724FB8"/>
    <w:rsid w:val="0074393F"/>
    <w:rsid w:val="00745F6B"/>
    <w:rsid w:val="007504F3"/>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94DA6"/>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C5E"/>
    <w:rsid w:val="0099518F"/>
    <w:rsid w:val="009A523D"/>
    <w:rsid w:val="009B02A1"/>
    <w:rsid w:val="009B3361"/>
    <w:rsid w:val="009B4963"/>
    <w:rsid w:val="009D7CE6"/>
    <w:rsid w:val="009F474A"/>
    <w:rsid w:val="009F496B"/>
    <w:rsid w:val="00A0101C"/>
    <w:rsid w:val="00A01439"/>
    <w:rsid w:val="00A02E61"/>
    <w:rsid w:val="00A05CFF"/>
    <w:rsid w:val="00A13048"/>
    <w:rsid w:val="00A46843"/>
    <w:rsid w:val="00A56B97"/>
    <w:rsid w:val="00A6093D"/>
    <w:rsid w:val="00A767DC"/>
    <w:rsid w:val="00A76A6D"/>
    <w:rsid w:val="00A83253"/>
    <w:rsid w:val="00A96AD9"/>
    <w:rsid w:val="00AA4440"/>
    <w:rsid w:val="00AA6E84"/>
    <w:rsid w:val="00AB1A1C"/>
    <w:rsid w:val="00AD05A8"/>
    <w:rsid w:val="00AD5901"/>
    <w:rsid w:val="00AE341B"/>
    <w:rsid w:val="00AE542F"/>
    <w:rsid w:val="00B01905"/>
    <w:rsid w:val="00B07CA7"/>
    <w:rsid w:val="00B1279A"/>
    <w:rsid w:val="00B37ECB"/>
    <w:rsid w:val="00B4194A"/>
    <w:rsid w:val="00B437E8"/>
    <w:rsid w:val="00B512F2"/>
    <w:rsid w:val="00B5222E"/>
    <w:rsid w:val="00B53179"/>
    <w:rsid w:val="00B57A23"/>
    <w:rsid w:val="00B600CD"/>
    <w:rsid w:val="00B61C96"/>
    <w:rsid w:val="00B73A2A"/>
    <w:rsid w:val="00B74297"/>
    <w:rsid w:val="00B75A51"/>
    <w:rsid w:val="00B827C6"/>
    <w:rsid w:val="00B94B06"/>
    <w:rsid w:val="00B94C28"/>
    <w:rsid w:val="00BC10BA"/>
    <w:rsid w:val="00BC55FD"/>
    <w:rsid w:val="00BC5AFD"/>
    <w:rsid w:val="00C00DDE"/>
    <w:rsid w:val="00C04F43"/>
    <w:rsid w:val="00C0609D"/>
    <w:rsid w:val="00C115AB"/>
    <w:rsid w:val="00C26CCB"/>
    <w:rsid w:val="00C30249"/>
    <w:rsid w:val="00C36285"/>
    <w:rsid w:val="00C3723B"/>
    <w:rsid w:val="00C42466"/>
    <w:rsid w:val="00C606C9"/>
    <w:rsid w:val="00C80288"/>
    <w:rsid w:val="00C84003"/>
    <w:rsid w:val="00C90650"/>
    <w:rsid w:val="00C97D78"/>
    <w:rsid w:val="00CC2AAE"/>
    <w:rsid w:val="00CC5A42"/>
    <w:rsid w:val="00CD0EAB"/>
    <w:rsid w:val="00CE10D7"/>
    <w:rsid w:val="00CE5E02"/>
    <w:rsid w:val="00CF34DB"/>
    <w:rsid w:val="00CF3917"/>
    <w:rsid w:val="00CF558F"/>
    <w:rsid w:val="00D010C0"/>
    <w:rsid w:val="00D073E2"/>
    <w:rsid w:val="00D40AEF"/>
    <w:rsid w:val="00D446EC"/>
    <w:rsid w:val="00D51BF0"/>
    <w:rsid w:val="00D531DB"/>
    <w:rsid w:val="00D55942"/>
    <w:rsid w:val="00D807BF"/>
    <w:rsid w:val="00D82FCC"/>
    <w:rsid w:val="00D9656B"/>
    <w:rsid w:val="00DA17FC"/>
    <w:rsid w:val="00DA7887"/>
    <w:rsid w:val="00DB2C26"/>
    <w:rsid w:val="00DD02F4"/>
    <w:rsid w:val="00DD0615"/>
    <w:rsid w:val="00DD6622"/>
    <w:rsid w:val="00DE15A5"/>
    <w:rsid w:val="00DE1C7C"/>
    <w:rsid w:val="00DE29F3"/>
    <w:rsid w:val="00DE6B43"/>
    <w:rsid w:val="00E11923"/>
    <w:rsid w:val="00E262D4"/>
    <w:rsid w:val="00E36250"/>
    <w:rsid w:val="00E464FD"/>
    <w:rsid w:val="00E47F2D"/>
    <w:rsid w:val="00E54511"/>
    <w:rsid w:val="00E61DAC"/>
    <w:rsid w:val="00E66C65"/>
    <w:rsid w:val="00E72B80"/>
    <w:rsid w:val="00E73FCC"/>
    <w:rsid w:val="00E75FE3"/>
    <w:rsid w:val="00E86C4C"/>
    <w:rsid w:val="00E907A3"/>
    <w:rsid w:val="00EA5AE0"/>
    <w:rsid w:val="00EB56E1"/>
    <w:rsid w:val="00EB7AB1"/>
    <w:rsid w:val="00ED4B96"/>
    <w:rsid w:val="00EE7CD8"/>
    <w:rsid w:val="00EF37F6"/>
    <w:rsid w:val="00EF48CC"/>
    <w:rsid w:val="00F00801"/>
    <w:rsid w:val="00F20F54"/>
    <w:rsid w:val="00F2488D"/>
    <w:rsid w:val="00F601A0"/>
    <w:rsid w:val="00F712E9"/>
    <w:rsid w:val="00F73032"/>
    <w:rsid w:val="00F848FC"/>
    <w:rsid w:val="00F906F6"/>
    <w:rsid w:val="00F9282A"/>
    <w:rsid w:val="00F96BAD"/>
    <w:rsid w:val="00FA139D"/>
    <w:rsid w:val="00FA5787"/>
    <w:rsid w:val="00FA60F5"/>
    <w:rsid w:val="00FB0E84"/>
    <w:rsid w:val="00FC2405"/>
    <w:rsid w:val="00FD01C2"/>
    <w:rsid w:val="00FE595C"/>
    <w:rsid w:val="00FF0CE3"/>
    <w:rsid w:val="00FF25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27831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ianle.chen@huawei.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semih.esenlik@huawei.com" TargetMode="External"/><Relationship Id="rId4" Type="http://schemas.openxmlformats.org/officeDocument/2006/relationships/webSettings" Target="webSettings.xml"/><Relationship Id="rId9" Type="http://schemas.openxmlformats.org/officeDocument/2006/relationships/hyperlink" Target="mailto:han.gao@huawei.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3</Pages>
  <Words>658</Words>
  <Characters>3753</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4403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58</cp:revision>
  <cp:lastPrinted>1900-01-01T08:00:00Z</cp:lastPrinted>
  <dcterms:created xsi:type="dcterms:W3CDTF">2018-08-09T13:44:00Z</dcterms:created>
  <dcterms:modified xsi:type="dcterms:W3CDTF">2019-01-16T21:25:00Z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1547673853</vt:lpwstr>
  </property>
</Properties>
</file>