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43C362C8" w:rsidR="008A4B4C" w:rsidRPr="005B217D" w:rsidRDefault="00E61DAC" w:rsidP="00E73BEE">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E73BEE">
              <w:rPr>
                <w:lang w:val="en-CA"/>
              </w:rPr>
              <w:t>0284</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40C07F3" w:rsidR="00E61DAC" w:rsidRPr="005B217D" w:rsidRDefault="00625A78" w:rsidP="00E3675B">
            <w:pPr>
              <w:spacing w:before="60" w:after="60"/>
              <w:rPr>
                <w:b/>
                <w:szCs w:val="22"/>
                <w:lang w:val="en-CA"/>
              </w:rPr>
            </w:pPr>
            <w:r>
              <w:rPr>
                <w:b/>
                <w:szCs w:val="22"/>
                <w:lang w:val="en-CA"/>
              </w:rPr>
              <w:t>CE9</w:t>
            </w:r>
            <w:r w:rsidR="00837ED7">
              <w:rPr>
                <w:b/>
                <w:szCs w:val="22"/>
                <w:lang w:val="en-CA"/>
              </w:rPr>
              <w:t>-related</w:t>
            </w:r>
            <w:r>
              <w:rPr>
                <w:b/>
                <w:szCs w:val="22"/>
                <w:lang w:val="en-CA"/>
              </w:rPr>
              <w:t xml:space="preserve">: </w:t>
            </w:r>
            <w:r w:rsidR="00193700">
              <w:rPr>
                <w:b/>
                <w:szCs w:val="22"/>
                <w:lang w:val="en-CA"/>
              </w:rPr>
              <w:t>BDOF</w:t>
            </w:r>
            <w:r w:rsidR="00E3675B">
              <w:rPr>
                <w:b/>
                <w:szCs w:val="22"/>
                <w:lang w:val="en-CA"/>
              </w:rPr>
              <w:t xml:space="preserve"> Modifications to Enable </w:t>
            </w:r>
            <w:r w:rsidR="00D11DE3">
              <w:rPr>
                <w:b/>
                <w:szCs w:val="22"/>
                <w:lang w:val="en-CA"/>
              </w:rPr>
              <w:t xml:space="preserve">64x64 </w:t>
            </w:r>
            <w:r w:rsidR="00E3675B">
              <w:rPr>
                <w:b/>
                <w:szCs w:val="22"/>
                <w:lang w:val="en-CA"/>
              </w:rPr>
              <w:t>VPDU</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8082738" w:rsidR="00E61DAC" w:rsidRPr="005B217D" w:rsidRDefault="0013458C" w:rsidP="009D3F00">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71841E8" w:rsidR="00E61DAC" w:rsidRPr="005B217D" w:rsidRDefault="00E61DAC" w:rsidP="009D3F0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13BD1B1" w14:textId="31516AD6" w:rsidR="005B231B" w:rsidRDefault="005B231B">
            <w:pPr>
              <w:spacing w:before="60" w:after="60"/>
              <w:rPr>
                <w:szCs w:val="22"/>
                <w:lang w:val="en-CA"/>
              </w:rPr>
            </w:pPr>
            <w:r>
              <w:rPr>
                <w:szCs w:val="22"/>
                <w:lang w:val="en-CA"/>
              </w:rPr>
              <w:t>Huanbang Chen,</w:t>
            </w:r>
          </w:p>
          <w:p w14:paraId="7A2BA890" w14:textId="77777777" w:rsidR="00E61DAC" w:rsidRDefault="005B742B">
            <w:pPr>
              <w:spacing w:before="60" w:after="60"/>
              <w:rPr>
                <w:szCs w:val="22"/>
                <w:lang w:val="en-CA"/>
              </w:rPr>
            </w:pPr>
            <w:r>
              <w:rPr>
                <w:szCs w:val="22"/>
                <w:lang w:val="en-CA"/>
              </w:rPr>
              <w:t>Xiang Ma,</w:t>
            </w:r>
          </w:p>
          <w:p w14:paraId="0EFAC503" w14:textId="44B7BDC7" w:rsidR="005B231B" w:rsidRDefault="005B231B">
            <w:pPr>
              <w:spacing w:before="60" w:after="60"/>
              <w:rPr>
                <w:szCs w:val="22"/>
                <w:lang w:val="en-CA"/>
              </w:rPr>
            </w:pPr>
            <w:r>
              <w:rPr>
                <w:szCs w:val="22"/>
                <w:lang w:val="en-CA"/>
              </w:rPr>
              <w:t>Semih Esenlik,</w:t>
            </w:r>
          </w:p>
          <w:p w14:paraId="38741AAD" w14:textId="77777777" w:rsidR="005B742B" w:rsidRDefault="005B742B">
            <w:pPr>
              <w:spacing w:before="60" w:after="60"/>
              <w:rPr>
                <w:szCs w:val="22"/>
                <w:lang w:val="en-CA"/>
              </w:rPr>
            </w:pPr>
            <w:r>
              <w:rPr>
                <w:szCs w:val="22"/>
                <w:lang w:val="en-CA"/>
              </w:rPr>
              <w:t>Haitao Yang,</w:t>
            </w:r>
          </w:p>
          <w:p w14:paraId="49D81240" w14:textId="5C09DA35" w:rsidR="005B742B" w:rsidRPr="005B217D" w:rsidRDefault="005B742B">
            <w:pPr>
              <w:spacing w:before="60" w:after="60"/>
              <w:rPr>
                <w:szCs w:val="22"/>
                <w:lang w:val="en-CA"/>
              </w:rPr>
            </w:pPr>
            <w:r>
              <w:rPr>
                <w:szCs w:val="22"/>
                <w:lang w:val="en-CA"/>
              </w:rPr>
              <w:t>Jianle Chen</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0B569344" w14:textId="6F05C132" w:rsidR="00E61DAC" w:rsidRDefault="00E61DAC" w:rsidP="00E51A55">
            <w:pPr>
              <w:spacing w:before="60" w:after="60"/>
              <w:rPr>
                <w:szCs w:val="22"/>
                <w:lang w:val="en-CA"/>
              </w:rPr>
            </w:pPr>
            <w:r w:rsidRPr="005B217D">
              <w:rPr>
                <w:szCs w:val="22"/>
                <w:lang w:val="en-CA"/>
              </w:rPr>
              <w:br/>
            </w:r>
            <w:r w:rsidR="000A1554">
              <w:rPr>
                <w:szCs w:val="22"/>
                <w:lang w:val="en-CA"/>
              </w:rPr>
              <w:t>+49-162-210-6260</w:t>
            </w:r>
            <w:r w:rsidRPr="005B217D">
              <w:rPr>
                <w:szCs w:val="22"/>
                <w:lang w:val="en-CA"/>
              </w:rPr>
              <w:br/>
            </w:r>
            <w:hyperlink r:id="rId9" w:history="1">
              <w:r w:rsidR="00E51A55" w:rsidRPr="00AA34A5">
                <w:rPr>
                  <w:rStyle w:val="Hyperlink"/>
                  <w:szCs w:val="22"/>
                  <w:lang w:val="en-CA"/>
                </w:rPr>
                <w:t>semih.esenlik@huawei.com</w:t>
              </w:r>
            </w:hyperlink>
          </w:p>
          <w:p w14:paraId="4F2B2D98" w14:textId="11D0F3B7" w:rsidR="00E51A55" w:rsidRDefault="00032384" w:rsidP="00E51A55">
            <w:pPr>
              <w:spacing w:before="60" w:after="60"/>
              <w:rPr>
                <w:szCs w:val="22"/>
                <w:lang w:val="en-CA"/>
              </w:rPr>
            </w:pPr>
            <w:hyperlink r:id="rId10" w:history="1">
              <w:r w:rsidR="00E51A55" w:rsidRPr="00AA34A5">
                <w:rPr>
                  <w:rStyle w:val="Hyperlink"/>
                  <w:szCs w:val="22"/>
                  <w:lang w:val="en-CA"/>
                </w:rPr>
                <w:t>jianle.chen@huawei.com</w:t>
              </w:r>
            </w:hyperlink>
          </w:p>
          <w:p w14:paraId="32C2ABFD" w14:textId="3A8659AE" w:rsidR="00E51A55" w:rsidRPr="005B217D" w:rsidRDefault="00E51A55" w:rsidP="00E51A55">
            <w:pPr>
              <w:spacing w:before="60" w:after="60"/>
              <w:rPr>
                <w:szCs w:val="22"/>
                <w:lang w:val="en-CA"/>
              </w:rPr>
            </w:pPr>
          </w:p>
        </w:tc>
      </w:tr>
      <w:tr w:rsidR="006F6FC3" w:rsidRPr="005B217D" w14:paraId="49AFAA61" w14:textId="77777777" w:rsidTr="000962AC">
        <w:tc>
          <w:tcPr>
            <w:tcW w:w="1458" w:type="dxa"/>
          </w:tcPr>
          <w:p w14:paraId="2C08AF6B" w14:textId="7756E7DC" w:rsidR="006F6FC3" w:rsidRPr="005B217D" w:rsidRDefault="006F6FC3" w:rsidP="006F6FC3">
            <w:pPr>
              <w:spacing w:before="60" w:after="60"/>
              <w:rPr>
                <w:i/>
                <w:szCs w:val="22"/>
                <w:lang w:val="en-CA"/>
              </w:rPr>
            </w:pPr>
            <w:r w:rsidRPr="005B217D">
              <w:rPr>
                <w:i/>
                <w:szCs w:val="22"/>
                <w:lang w:val="en-CA"/>
              </w:rPr>
              <w:t>Source:</w:t>
            </w:r>
          </w:p>
        </w:tc>
        <w:tc>
          <w:tcPr>
            <w:tcW w:w="7902" w:type="dxa"/>
            <w:gridSpan w:val="3"/>
          </w:tcPr>
          <w:p w14:paraId="643E6B85" w14:textId="79E4EE1D" w:rsidR="006F6FC3" w:rsidRPr="005B217D" w:rsidRDefault="006F6FC3" w:rsidP="006F6FC3">
            <w:pPr>
              <w:spacing w:before="60" w:after="60"/>
              <w:rPr>
                <w:szCs w:val="22"/>
                <w:lang w:val="en-CA"/>
              </w:rPr>
            </w:pPr>
            <w:r w:rsidRPr="00345B71">
              <w:rPr>
                <w:szCs w:val="22"/>
                <w:lang w:val="en-CA"/>
              </w:rPr>
              <w:t>Huawei</w:t>
            </w:r>
            <w:r>
              <w:rPr>
                <w:szCs w:val="22"/>
                <w:lang w:val="en-CA"/>
              </w:rPr>
              <w:t xml:space="preserve"> Technologies.</w:t>
            </w:r>
            <w:r w:rsidRPr="00345B71">
              <w:rPr>
                <w:szCs w:val="22"/>
                <w:lang w:val="en-CA"/>
              </w:rPr>
              <w:t xml:space="preserve"> </w:t>
            </w:r>
            <w:r w:rsidRPr="00345B71">
              <w:rPr>
                <w:rFonts w:hint="eastAsia"/>
                <w:szCs w:val="22"/>
                <w:lang w:val="en-CA" w:eastAsia="zh-CN"/>
              </w:rPr>
              <w:t>Co.,</w:t>
            </w:r>
            <w:r>
              <w:rPr>
                <w:szCs w:val="22"/>
                <w:lang w:val="en-CA" w:eastAsia="zh-CN"/>
              </w:rPr>
              <w:t xml:space="preserve"> </w:t>
            </w:r>
            <w:r w:rsidRPr="00345B71">
              <w:rPr>
                <w:rFonts w:hint="eastAsia"/>
                <w:szCs w:val="22"/>
                <w:lang w:val="en-CA" w:eastAsia="zh-CN"/>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4C41A21D" w:rsidR="00263398" w:rsidRDefault="00E3675B" w:rsidP="009234A5">
      <w:pPr>
        <w:rPr>
          <w:szCs w:val="22"/>
          <w:lang w:val="en-CA"/>
        </w:rPr>
      </w:pPr>
      <w:r>
        <w:rPr>
          <w:szCs w:val="22"/>
          <w:lang w:val="en-CA"/>
        </w:rPr>
        <w:t xml:space="preserve">This contribution presents modifications to </w:t>
      </w:r>
      <w:r w:rsidR="00193700">
        <w:rPr>
          <w:szCs w:val="22"/>
          <w:lang w:val="en-CA"/>
        </w:rPr>
        <w:t>BDOF (Bi-Directional Optical Flow)</w:t>
      </w:r>
      <w:r>
        <w:rPr>
          <w:szCs w:val="22"/>
          <w:lang w:val="en-CA"/>
        </w:rPr>
        <w:t xml:space="preserve"> in order to enable 64x64 square VPDU (Virtual Pipeline</w:t>
      </w:r>
      <w:r w:rsidR="00193700">
        <w:rPr>
          <w:szCs w:val="22"/>
          <w:lang w:val="en-CA"/>
        </w:rPr>
        <w:t xml:space="preserve"> Data Unit)</w:t>
      </w:r>
      <w:r>
        <w:rPr>
          <w:szCs w:val="22"/>
          <w:lang w:val="en-CA"/>
        </w:rPr>
        <w:t xml:space="preserve">. The </w:t>
      </w:r>
      <w:r w:rsidR="00513298">
        <w:rPr>
          <w:szCs w:val="22"/>
          <w:lang w:val="en-CA"/>
        </w:rPr>
        <w:t>document presents results of 4</w:t>
      </w:r>
      <w:r>
        <w:rPr>
          <w:szCs w:val="22"/>
          <w:lang w:val="en-CA"/>
        </w:rPr>
        <w:t xml:space="preserve"> </w:t>
      </w:r>
      <w:r w:rsidR="000B7A42">
        <w:rPr>
          <w:szCs w:val="22"/>
          <w:lang w:val="en-CA"/>
        </w:rPr>
        <w:t xml:space="preserve">alternative </w:t>
      </w:r>
      <w:r>
        <w:rPr>
          <w:szCs w:val="22"/>
          <w:lang w:val="en-CA"/>
        </w:rPr>
        <w:t>methods:</w:t>
      </w:r>
    </w:p>
    <w:p w14:paraId="236B0D2D" w14:textId="192428EC" w:rsidR="00E3675B" w:rsidRDefault="00E3675B" w:rsidP="00E3675B">
      <w:pPr>
        <w:pStyle w:val="ListParagraph"/>
        <w:numPr>
          <w:ilvl w:val="0"/>
          <w:numId w:val="12"/>
        </w:numPr>
        <w:rPr>
          <w:szCs w:val="22"/>
          <w:lang w:val="en-CA"/>
        </w:rPr>
      </w:pPr>
      <w:r>
        <w:rPr>
          <w:szCs w:val="22"/>
          <w:lang w:val="en-CA"/>
        </w:rPr>
        <w:t xml:space="preserve">Disabling </w:t>
      </w:r>
      <w:r w:rsidR="00513298">
        <w:rPr>
          <w:szCs w:val="22"/>
          <w:lang w:val="en-CA"/>
        </w:rPr>
        <w:t>BDOF</w:t>
      </w:r>
      <w:r>
        <w:rPr>
          <w:szCs w:val="22"/>
          <w:lang w:val="en-CA"/>
        </w:rPr>
        <w:t xml:space="preserve"> for CUs greater than 64 </w:t>
      </w:r>
      <w:r w:rsidR="00DE4216">
        <w:rPr>
          <w:szCs w:val="22"/>
          <w:lang w:val="en-CA"/>
        </w:rPr>
        <w:t xml:space="preserve">luma samples </w:t>
      </w:r>
      <w:r>
        <w:rPr>
          <w:szCs w:val="22"/>
          <w:lang w:val="en-CA"/>
        </w:rPr>
        <w:t>in one dimension,</w:t>
      </w:r>
    </w:p>
    <w:p w14:paraId="3DFEE427" w14:textId="1E2C4AE4" w:rsidR="00E3675B" w:rsidRDefault="00E3675B" w:rsidP="00E3675B">
      <w:pPr>
        <w:pStyle w:val="ListParagraph"/>
        <w:numPr>
          <w:ilvl w:val="0"/>
          <w:numId w:val="12"/>
        </w:numPr>
        <w:rPr>
          <w:szCs w:val="22"/>
          <w:lang w:val="en-CA"/>
        </w:rPr>
      </w:pPr>
      <w:r>
        <w:rPr>
          <w:szCs w:val="22"/>
          <w:lang w:val="en-CA"/>
        </w:rPr>
        <w:t xml:space="preserve">Splitting </w:t>
      </w:r>
      <w:r w:rsidR="00513298">
        <w:rPr>
          <w:szCs w:val="22"/>
          <w:lang w:val="en-CA"/>
        </w:rPr>
        <w:t xml:space="preserve">BDOF </w:t>
      </w:r>
      <w:r>
        <w:rPr>
          <w:szCs w:val="22"/>
          <w:lang w:val="en-CA"/>
        </w:rPr>
        <w:t>application region into 2 or 4 smaller sub</w:t>
      </w:r>
      <w:r w:rsidR="00ED5698">
        <w:rPr>
          <w:szCs w:val="22"/>
          <w:lang w:val="en-CA"/>
        </w:rPr>
        <w:t xml:space="preserve">-regions, if the region crosses </w:t>
      </w:r>
      <w:r>
        <w:rPr>
          <w:szCs w:val="22"/>
          <w:lang w:val="en-CA"/>
        </w:rPr>
        <w:t>a 64x64 VPDU</w:t>
      </w:r>
      <w:r w:rsidR="00ED5698">
        <w:rPr>
          <w:szCs w:val="22"/>
          <w:lang w:val="en-CA"/>
        </w:rPr>
        <w:t xml:space="preserve"> boundary</w:t>
      </w:r>
    </w:p>
    <w:p w14:paraId="3AB4087C" w14:textId="045BB556" w:rsidR="00513298" w:rsidRPr="00513298" w:rsidRDefault="00513298" w:rsidP="00513298">
      <w:pPr>
        <w:pStyle w:val="ListParagraph"/>
        <w:numPr>
          <w:ilvl w:val="0"/>
          <w:numId w:val="12"/>
        </w:numPr>
        <w:rPr>
          <w:szCs w:val="22"/>
          <w:lang w:val="en-CA"/>
        </w:rPr>
      </w:pPr>
      <w:r>
        <w:rPr>
          <w:szCs w:val="22"/>
          <w:lang w:val="en-CA"/>
        </w:rPr>
        <w:t>Disabling 1 row (</w:t>
      </w:r>
      <w:r w:rsidR="00104435">
        <w:rPr>
          <w:szCs w:val="22"/>
          <w:lang w:val="en-CA"/>
        </w:rPr>
        <w:t>or</w:t>
      </w:r>
      <w:r>
        <w:rPr>
          <w:szCs w:val="22"/>
          <w:lang w:val="en-CA"/>
        </w:rPr>
        <w:t xml:space="preserve"> </w:t>
      </w:r>
      <w:r w:rsidR="00A06547">
        <w:rPr>
          <w:szCs w:val="22"/>
          <w:lang w:val="en-CA"/>
        </w:rPr>
        <w:t>1</w:t>
      </w:r>
      <w:r>
        <w:rPr>
          <w:szCs w:val="22"/>
          <w:lang w:val="en-CA"/>
        </w:rPr>
        <w:t xml:space="preserve"> column) of BDOF sub-blocks that are adjacent to the VPDU boundaries, </w:t>
      </w:r>
      <w:r w:rsidR="00104435">
        <w:rPr>
          <w:szCs w:val="22"/>
          <w:lang w:val="en-CA"/>
        </w:rPr>
        <w:t>if the CU applying BDOF crosses a horizontal (or vertical) VPDU boundary.</w:t>
      </w:r>
      <w:r w:rsidR="00866942">
        <w:rPr>
          <w:szCs w:val="22"/>
          <w:lang w:val="en-CA"/>
        </w:rPr>
        <w:t xml:space="preserve"> The subblocks that are disabled lay at the top (or left) of the VPDU boundary.</w:t>
      </w:r>
    </w:p>
    <w:p w14:paraId="41FB5BAD" w14:textId="6CD28E92" w:rsidR="00104435" w:rsidRPr="00513298" w:rsidRDefault="00104435" w:rsidP="00104435">
      <w:pPr>
        <w:pStyle w:val="ListParagraph"/>
        <w:numPr>
          <w:ilvl w:val="0"/>
          <w:numId w:val="12"/>
        </w:numPr>
        <w:rPr>
          <w:szCs w:val="22"/>
          <w:lang w:val="en-CA"/>
        </w:rPr>
      </w:pPr>
      <w:r>
        <w:rPr>
          <w:szCs w:val="22"/>
          <w:lang w:val="en-CA"/>
        </w:rPr>
        <w:t xml:space="preserve">Disabling 2 rows (or </w:t>
      </w:r>
      <w:r w:rsidR="00A06547">
        <w:rPr>
          <w:szCs w:val="22"/>
          <w:lang w:val="en-CA"/>
        </w:rPr>
        <w:t>2</w:t>
      </w:r>
      <w:r>
        <w:rPr>
          <w:szCs w:val="22"/>
          <w:lang w:val="en-CA"/>
        </w:rPr>
        <w:t xml:space="preserve"> column) of BDOF sub-blocks that are adjacent to the VPDU boundaries, if the CU applying BDOF crosses a horizontal (or vertical) VPDU boundary.</w:t>
      </w:r>
    </w:p>
    <w:p w14:paraId="155BD5EC" w14:textId="284381A9" w:rsidR="00E3675B" w:rsidRPr="00E3675B" w:rsidRDefault="00E3675B" w:rsidP="00E3675B">
      <w:pPr>
        <w:rPr>
          <w:szCs w:val="22"/>
          <w:lang w:val="en-CA"/>
        </w:rPr>
      </w:pPr>
      <w:r>
        <w:rPr>
          <w:szCs w:val="22"/>
          <w:lang w:val="en-CA"/>
        </w:rPr>
        <w:t xml:space="preserve">The simulation results show </w:t>
      </w:r>
      <w:r w:rsidR="000407FE">
        <w:rPr>
          <w:szCs w:val="22"/>
          <w:lang w:val="en-CA"/>
        </w:rPr>
        <w:t>negligible</w:t>
      </w:r>
      <w:r>
        <w:rPr>
          <w:szCs w:val="22"/>
          <w:lang w:val="en-CA"/>
        </w:rPr>
        <w:t xml:space="preserve"> loss </w:t>
      </w:r>
      <w:r w:rsidR="00E81A07">
        <w:rPr>
          <w:szCs w:val="22"/>
          <w:lang w:val="en-CA"/>
        </w:rPr>
        <w:t>in BD-rate performance</w:t>
      </w:r>
      <w:r>
        <w:rPr>
          <w:szCs w:val="22"/>
          <w:lang w:val="en-CA"/>
        </w:rPr>
        <w:t>.</w:t>
      </w:r>
    </w:p>
    <w:p w14:paraId="7D2AC1F0" w14:textId="65A8A5CC" w:rsidR="00745F6B" w:rsidRPr="005B217D" w:rsidRDefault="00745F6B" w:rsidP="00E11923">
      <w:pPr>
        <w:pStyle w:val="Heading1"/>
        <w:rPr>
          <w:lang w:val="en-CA"/>
        </w:rPr>
      </w:pPr>
      <w:r w:rsidRPr="005B217D">
        <w:rPr>
          <w:lang w:val="en-CA"/>
        </w:rPr>
        <w:t>Introduction</w:t>
      </w:r>
    </w:p>
    <w:p w14:paraId="1539A21D" w14:textId="3CAA5479" w:rsidR="001F2594" w:rsidRDefault="00E3675B" w:rsidP="009234A5">
      <w:pPr>
        <w:rPr>
          <w:szCs w:val="22"/>
          <w:lang w:val="en-CA"/>
        </w:rPr>
      </w:pPr>
      <w:r>
        <w:rPr>
          <w:szCs w:val="22"/>
          <w:lang w:val="en-CA"/>
        </w:rPr>
        <w:t>During the 12</w:t>
      </w:r>
      <w:r w:rsidRPr="00E3675B">
        <w:rPr>
          <w:szCs w:val="22"/>
          <w:vertAlign w:val="superscript"/>
          <w:lang w:val="en-CA"/>
        </w:rPr>
        <w:t>th</w:t>
      </w:r>
      <w:r>
        <w:rPr>
          <w:szCs w:val="22"/>
          <w:lang w:val="en-CA"/>
        </w:rPr>
        <w:t xml:space="preserve"> JVET meeting</w:t>
      </w:r>
      <w:r w:rsidR="00193700">
        <w:rPr>
          <w:szCs w:val="22"/>
          <w:lang w:val="en-CA"/>
        </w:rPr>
        <w:t xml:space="preserve"> in Macau, the concept of VPDU was introduced into the VVC</w:t>
      </w:r>
      <w:r w:rsidR="0046587B">
        <w:rPr>
          <w:szCs w:val="22"/>
          <w:lang w:val="en-CA"/>
        </w:rPr>
        <w:t xml:space="preserve"> draft</w:t>
      </w:r>
      <w:r w:rsidR="00193700">
        <w:rPr>
          <w:szCs w:val="22"/>
          <w:lang w:val="en-CA"/>
        </w:rPr>
        <w:t xml:space="preserve"> specification. The goal of VPDU is to guarantee completion of the processing of one 64x64 square region before starting the processing of other 64x64 square regions. This method is intended to reduce the memory footprint of the pipelined hardware implementations. </w:t>
      </w:r>
    </w:p>
    <w:p w14:paraId="1593D55E" w14:textId="70AF3586" w:rsidR="001848D7" w:rsidRDefault="00193700" w:rsidP="009234A5">
      <w:pPr>
        <w:rPr>
          <w:szCs w:val="22"/>
          <w:lang w:val="en-CA"/>
        </w:rPr>
      </w:pPr>
      <w:r>
        <w:rPr>
          <w:szCs w:val="22"/>
          <w:lang w:val="en-CA"/>
        </w:rPr>
        <w:t>During the same meeting</w:t>
      </w:r>
      <w:r w:rsidR="001848D7">
        <w:rPr>
          <w:szCs w:val="22"/>
          <w:lang w:val="en-CA"/>
        </w:rPr>
        <w:t xml:space="preserve"> BDOF </w:t>
      </w:r>
      <w:r w:rsidR="0046587B">
        <w:rPr>
          <w:szCs w:val="22"/>
          <w:lang w:val="en-CA"/>
        </w:rPr>
        <w:t>was</w:t>
      </w:r>
      <w:r w:rsidR="001848D7">
        <w:rPr>
          <w:szCs w:val="22"/>
          <w:lang w:val="en-CA"/>
        </w:rPr>
        <w:t xml:space="preserve"> included in the VVC </w:t>
      </w:r>
      <w:r w:rsidR="0046587B">
        <w:rPr>
          <w:szCs w:val="22"/>
          <w:lang w:val="en-CA"/>
        </w:rPr>
        <w:t xml:space="preserve">draft </w:t>
      </w:r>
      <w:r w:rsidR="001848D7">
        <w:rPr>
          <w:szCs w:val="22"/>
          <w:lang w:val="en-CA"/>
        </w:rPr>
        <w:t xml:space="preserve">specification. It is noted that in the current specification the maximum luma CU size that is allowed to apply BDOF is set to be </w:t>
      </w:r>
      <w:r w:rsidR="00865EAB">
        <w:rPr>
          <w:szCs w:val="22"/>
          <w:lang w:val="en-CA"/>
        </w:rPr>
        <w:t xml:space="preserve">equal to </w:t>
      </w:r>
      <w:r w:rsidR="001848D7">
        <w:rPr>
          <w:szCs w:val="22"/>
          <w:lang w:val="en-CA"/>
        </w:rPr>
        <w:t xml:space="preserve">128x128. </w:t>
      </w:r>
    </w:p>
    <w:p w14:paraId="785F78B1" w14:textId="2A7BFA93" w:rsidR="00E51A55" w:rsidRDefault="00E51A55" w:rsidP="00E51A55">
      <w:pPr>
        <w:pStyle w:val="Heading1"/>
        <w:rPr>
          <w:lang w:val="en-CA"/>
        </w:rPr>
      </w:pPr>
      <w:r>
        <w:rPr>
          <w:lang w:val="en-CA"/>
        </w:rPr>
        <w:t xml:space="preserve">Problem Statement </w:t>
      </w:r>
    </w:p>
    <w:p w14:paraId="5BAD82B3" w14:textId="4A4A84DC" w:rsidR="00E51A55" w:rsidRDefault="000407FE" w:rsidP="00E51A55">
      <w:pPr>
        <w:rPr>
          <w:lang w:val="en-CA"/>
        </w:rPr>
      </w:pPr>
      <w:r>
        <w:rPr>
          <w:lang w:val="en-CA"/>
        </w:rPr>
        <w:t xml:space="preserve">Assume a CTU is split horizontally into 2 leaf CUs, and the top CU applies BDOF. </w:t>
      </w:r>
      <w:r w:rsidR="0049264F">
        <w:rPr>
          <w:lang w:val="en-CA"/>
        </w:rPr>
        <w:t xml:space="preserve">Since BDOF is applied to coding blocks that are larger than 64 </w:t>
      </w:r>
      <w:r w:rsidR="00F533D9">
        <w:rPr>
          <w:lang w:val="en-CA"/>
        </w:rPr>
        <w:t xml:space="preserve">luma </w:t>
      </w:r>
      <w:r w:rsidR="0049264F">
        <w:rPr>
          <w:lang w:val="en-CA"/>
        </w:rPr>
        <w:t xml:space="preserve">samples in </w:t>
      </w:r>
      <w:r>
        <w:rPr>
          <w:lang w:val="en-CA"/>
        </w:rPr>
        <w:t>one dimension, two problems exist:</w:t>
      </w:r>
    </w:p>
    <w:p w14:paraId="0BA29EFD" w14:textId="7507A5A6" w:rsidR="000407FE" w:rsidRDefault="000407FE" w:rsidP="000407FE">
      <w:pPr>
        <w:pStyle w:val="ListParagraph"/>
        <w:numPr>
          <w:ilvl w:val="0"/>
          <w:numId w:val="13"/>
        </w:numPr>
        <w:rPr>
          <w:lang w:val="en-CA"/>
        </w:rPr>
      </w:pPr>
      <w:r>
        <w:rPr>
          <w:lang w:val="en-CA"/>
        </w:rPr>
        <w:t>The CU-based early termination decision requires that SAD matching cost is computed for the whole CU. Accordingly in order the finish the processing of the top-left VPDU, top-right VPDU also needs to be reconstructed. Hence the intended goal of sequential processing of VPDUs cannot be achieved.</w:t>
      </w:r>
    </w:p>
    <w:p w14:paraId="34DB8301" w14:textId="50FA6CD2" w:rsidR="000407FE" w:rsidRPr="000407FE" w:rsidRDefault="000407FE" w:rsidP="000407FE">
      <w:pPr>
        <w:pStyle w:val="ListParagraph"/>
        <w:numPr>
          <w:ilvl w:val="0"/>
          <w:numId w:val="13"/>
        </w:numPr>
        <w:rPr>
          <w:lang w:val="en-CA"/>
        </w:rPr>
      </w:pPr>
      <w:r>
        <w:rPr>
          <w:lang w:val="en-CA"/>
        </w:rPr>
        <w:t xml:space="preserve">BDOF is applied on a 4x4 sub-block basis where gradients are computed for the 6x6 extended window surrounding the sub-block. Similarly to the first problem, the top-right VPDU needs to be </w:t>
      </w:r>
      <w:r>
        <w:rPr>
          <w:lang w:val="en-CA"/>
        </w:rPr>
        <w:lastRenderedPageBreak/>
        <w:t>reconstructed in order to enable the computation of gradients along the VPDU boundary, before the processing of top-left VPDU is finished.</w:t>
      </w:r>
    </w:p>
    <w:p w14:paraId="08D5425C" w14:textId="6FC13979" w:rsidR="00E51A55" w:rsidRDefault="000407FE" w:rsidP="000407FE">
      <w:pPr>
        <w:pStyle w:val="Heading1"/>
        <w:rPr>
          <w:lang w:val="en-CA"/>
        </w:rPr>
      </w:pPr>
      <w:r>
        <w:rPr>
          <w:lang w:val="en-CA"/>
        </w:rPr>
        <w:t>Proposed Solutions</w:t>
      </w:r>
    </w:p>
    <w:p w14:paraId="36DA4CCE" w14:textId="0D439B2E" w:rsidR="000407FE" w:rsidRDefault="00F62D04" w:rsidP="000407FE">
      <w:pPr>
        <w:rPr>
          <w:lang w:val="en-CA"/>
        </w:rPr>
      </w:pPr>
      <w:r>
        <w:rPr>
          <w:lang w:val="en-CA"/>
        </w:rPr>
        <w:t>Four</w:t>
      </w:r>
      <w:r w:rsidR="000407FE">
        <w:rPr>
          <w:lang w:val="en-CA"/>
        </w:rPr>
        <w:t xml:space="preserve"> solutions are proposed to solve the above mentioned problems. </w:t>
      </w:r>
    </w:p>
    <w:p w14:paraId="529111E2" w14:textId="4DFB7210" w:rsidR="000407FE" w:rsidRDefault="000407FE" w:rsidP="000407FE">
      <w:pPr>
        <w:pStyle w:val="Heading2"/>
        <w:rPr>
          <w:lang w:val="en-CA"/>
        </w:rPr>
      </w:pPr>
      <w:r>
        <w:rPr>
          <w:lang w:val="en-CA"/>
        </w:rPr>
        <w:t>Disabling BDOF for large CUs</w:t>
      </w:r>
    </w:p>
    <w:p w14:paraId="62C6D177" w14:textId="2F97FEA0" w:rsidR="000407FE" w:rsidRDefault="000407FE" w:rsidP="000407FE">
      <w:pPr>
        <w:rPr>
          <w:lang w:val="en-CA"/>
        </w:rPr>
      </w:pPr>
      <w:r>
        <w:rPr>
          <w:lang w:val="en-CA"/>
        </w:rPr>
        <w:t xml:space="preserve">According to the first proposed solution, the BDOF is disabled for CUs </w:t>
      </w:r>
      <w:r w:rsidR="00154C73">
        <w:rPr>
          <w:lang w:val="en-CA"/>
        </w:rPr>
        <w:t>which</w:t>
      </w:r>
      <w:r>
        <w:rPr>
          <w:lang w:val="en-CA"/>
        </w:rPr>
        <w:t xml:space="preserve"> </w:t>
      </w:r>
      <w:r w:rsidR="00154C73">
        <w:rPr>
          <w:lang w:val="en-CA"/>
        </w:rPr>
        <w:t>has</w:t>
      </w:r>
      <w:r>
        <w:rPr>
          <w:lang w:val="en-CA"/>
        </w:rPr>
        <w:t xml:space="preserve"> </w:t>
      </w:r>
      <w:r w:rsidR="00154C73">
        <w:rPr>
          <w:lang w:val="en-CA"/>
        </w:rPr>
        <w:t>one dimension</w:t>
      </w:r>
      <w:r>
        <w:rPr>
          <w:lang w:val="en-CA"/>
        </w:rPr>
        <w:t xml:space="preserve"> greater than </w:t>
      </w:r>
      <w:r w:rsidR="00154C73">
        <w:rPr>
          <w:lang w:val="en-CA"/>
        </w:rPr>
        <w:t>64</w:t>
      </w:r>
      <w:r>
        <w:rPr>
          <w:lang w:val="en-CA"/>
        </w:rPr>
        <w:t xml:space="preserve"> samples. It is noted that </w:t>
      </w:r>
      <w:r w:rsidR="00B27D38">
        <w:rPr>
          <w:lang w:val="en-CA"/>
        </w:rPr>
        <w:t>this modification together with the CU split constraints imposed by the VPDU conditions guarantee that a BDOF application region never crosses a VPDU boundary.</w:t>
      </w:r>
    </w:p>
    <w:p w14:paraId="764B9384" w14:textId="2B6EB2EA" w:rsidR="00B27D38" w:rsidRDefault="00B27D38" w:rsidP="00B27D38">
      <w:pPr>
        <w:pStyle w:val="Heading2"/>
        <w:rPr>
          <w:lang w:val="en-CA"/>
        </w:rPr>
      </w:pPr>
      <w:r>
        <w:rPr>
          <w:lang w:val="en-CA"/>
        </w:rPr>
        <w:t>Implicit splitting of BDOF application region</w:t>
      </w:r>
    </w:p>
    <w:p w14:paraId="4C672112" w14:textId="0B8EE9F0" w:rsidR="00B27D38" w:rsidRPr="000407FE" w:rsidRDefault="00B27D38" w:rsidP="00B27D38">
      <w:pPr>
        <w:rPr>
          <w:lang w:val="en-CA"/>
        </w:rPr>
      </w:pPr>
      <w:r>
        <w:rPr>
          <w:lang w:val="en-CA"/>
        </w:rPr>
        <w:t xml:space="preserve">According to the second proposed solution, if BDOF is applied </w:t>
      </w:r>
      <w:r w:rsidR="00B74603">
        <w:rPr>
          <w:lang w:val="en-CA"/>
        </w:rPr>
        <w:t>at</w:t>
      </w:r>
      <w:r>
        <w:rPr>
          <w:lang w:val="en-CA"/>
        </w:rPr>
        <w:t xml:space="preserve"> a CU </w:t>
      </w:r>
      <w:r w:rsidR="00B74603">
        <w:rPr>
          <w:lang w:val="en-CA"/>
        </w:rPr>
        <w:t>which has</w:t>
      </w:r>
      <w:r>
        <w:rPr>
          <w:lang w:val="en-CA"/>
        </w:rPr>
        <w:t xml:space="preserve"> one dimension </w:t>
      </w:r>
      <w:r w:rsidR="00B74603">
        <w:rPr>
          <w:lang w:val="en-CA"/>
        </w:rPr>
        <w:t xml:space="preserve">that is </w:t>
      </w:r>
      <w:r>
        <w:rPr>
          <w:lang w:val="en-CA"/>
        </w:rPr>
        <w:t xml:space="preserve">greater than </w:t>
      </w:r>
      <w:r w:rsidR="00B74603">
        <w:rPr>
          <w:lang w:val="en-CA"/>
        </w:rPr>
        <w:t>64</w:t>
      </w:r>
      <w:r>
        <w:rPr>
          <w:lang w:val="en-CA"/>
        </w:rPr>
        <w:t xml:space="preserve"> samples, the CU is split into 64x64 square regions, where each region is considered to be an independent BDOF application region. In other words, The BDOF operation considers the </w:t>
      </w:r>
      <w:r w:rsidR="00F2385C">
        <w:rPr>
          <w:lang w:val="en-CA"/>
        </w:rPr>
        <w:t>CU to be composed of multiple sub-block</w:t>
      </w:r>
      <w:r>
        <w:rPr>
          <w:lang w:val="en-CA"/>
        </w:rPr>
        <w:t xml:space="preserve">s of size 64x64, and the gradients are calculated using padded samples </w:t>
      </w:r>
      <w:r w:rsidR="00F2385C">
        <w:rPr>
          <w:lang w:val="en-CA"/>
        </w:rPr>
        <w:t>along the VPDU</w:t>
      </w:r>
      <w:r w:rsidR="00B74603">
        <w:rPr>
          <w:lang w:val="en-CA"/>
        </w:rPr>
        <w:t xml:space="preserve"> boundaries</w:t>
      </w:r>
      <w:r w:rsidR="00F2385C">
        <w:rPr>
          <w:lang w:val="en-CA"/>
        </w:rPr>
        <w:t xml:space="preserve"> that divide the CU into sub-blocks.</w:t>
      </w:r>
    </w:p>
    <w:p w14:paraId="3B27AD7A" w14:textId="009394B1" w:rsidR="00BA7FBF" w:rsidRDefault="00BA7FBF" w:rsidP="00BA7FBF">
      <w:pPr>
        <w:pStyle w:val="Heading2"/>
        <w:rPr>
          <w:lang w:val="en-CA"/>
        </w:rPr>
      </w:pPr>
      <w:r>
        <w:rPr>
          <w:lang w:val="en-CA"/>
        </w:rPr>
        <w:t>Disabling BDOF sub-blocks along the VPDU edges</w:t>
      </w:r>
    </w:p>
    <w:p w14:paraId="7C36E760" w14:textId="420975E4" w:rsidR="00BA7FBF" w:rsidRDefault="00BA7FBF" w:rsidP="00BA7FBF">
      <w:pPr>
        <w:rPr>
          <w:lang w:val="en-CA"/>
        </w:rPr>
      </w:pPr>
      <w:r>
        <w:rPr>
          <w:lang w:val="en-CA"/>
        </w:rPr>
        <w:t>According to th</w:t>
      </w:r>
      <w:r w:rsidR="0073523F">
        <w:rPr>
          <w:lang w:val="en-CA"/>
        </w:rPr>
        <w:t xml:space="preserve">e third proposed solution, if </w:t>
      </w:r>
      <w:r>
        <w:rPr>
          <w:lang w:val="en-CA"/>
        </w:rPr>
        <w:t xml:space="preserve">BDOF is applied </w:t>
      </w:r>
      <w:r w:rsidR="0073523F">
        <w:rPr>
          <w:lang w:val="en-CA"/>
        </w:rPr>
        <w:t xml:space="preserve">at </w:t>
      </w:r>
      <w:r w:rsidR="00F81179">
        <w:rPr>
          <w:lang w:val="en-CA"/>
        </w:rPr>
        <w:t>a CU which has one dimension that is greater than 64 samples</w:t>
      </w:r>
      <w:r>
        <w:rPr>
          <w:lang w:val="en-CA"/>
        </w:rPr>
        <w:t>, the BDOF subblocks along the VPDU edges are disabled. This is illustrated in the example below, where a</w:t>
      </w:r>
      <w:r w:rsidR="00C87BBE">
        <w:rPr>
          <w:lang w:val="en-CA"/>
        </w:rPr>
        <w:t xml:space="preserve"> CU is equal in size to 128x128.</w:t>
      </w:r>
    </w:p>
    <w:p w14:paraId="217BAAF6" w14:textId="77777777" w:rsidR="00BA7FBF" w:rsidRDefault="00BA7FBF" w:rsidP="00BA7FBF">
      <w:pPr>
        <w:rPr>
          <w:lang w:val="en-CA"/>
        </w:rPr>
      </w:pPr>
    </w:p>
    <w:p w14:paraId="30E486BB" w14:textId="3E6C1DE5" w:rsidR="00DD1F42" w:rsidRDefault="00DD1F42" w:rsidP="007E1B01">
      <w:pPr>
        <w:jc w:val="center"/>
        <w:rPr>
          <w:color w:val="1F497D"/>
          <w:sz w:val="21"/>
        </w:rPr>
      </w:pPr>
      <w:r>
        <w:rPr>
          <w:noProof/>
          <w:color w:val="1F497D"/>
        </w:rPr>
        <w:drawing>
          <wp:inline distT="0" distB="0" distL="0" distR="0" wp14:anchorId="38DDD296" wp14:editId="37383D97">
            <wp:extent cx="5076825" cy="3439438"/>
            <wp:effectExtent l="0" t="0" r="0" b="8890"/>
            <wp:docPr id="25" name="Picture 25" descr="cid:image009.png@01D496E2.73079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9.png@01D496E2.730798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095462" cy="3452064"/>
                    </a:xfrm>
                    <a:prstGeom prst="rect">
                      <a:avLst/>
                    </a:prstGeom>
                    <a:noFill/>
                    <a:ln>
                      <a:noFill/>
                    </a:ln>
                  </pic:spPr>
                </pic:pic>
              </a:graphicData>
            </a:graphic>
          </wp:inline>
        </w:drawing>
      </w:r>
    </w:p>
    <w:p w14:paraId="47989291" w14:textId="6D7A566D" w:rsidR="00BA7FBF" w:rsidRPr="000407FE" w:rsidRDefault="00BA7FBF" w:rsidP="00DD1F42">
      <w:pPr>
        <w:rPr>
          <w:lang w:val="en-CA"/>
        </w:rPr>
      </w:pPr>
    </w:p>
    <w:p w14:paraId="74FBADE8" w14:textId="3BC29A90" w:rsidR="00B27D38" w:rsidRDefault="003F2C71" w:rsidP="002B5962">
      <w:pPr>
        <w:jc w:val="center"/>
        <w:rPr>
          <w:lang w:val="en-CA"/>
        </w:rPr>
      </w:pPr>
      <w:r>
        <w:rPr>
          <w:lang w:val="en-CA"/>
        </w:rPr>
        <w:t>Figure 1: Illustration of the region where BDOF is disabled.</w:t>
      </w:r>
    </w:p>
    <w:p w14:paraId="753685DA" w14:textId="4EA19E28" w:rsidR="000742CD" w:rsidRDefault="000742CD" w:rsidP="00645386">
      <w:pPr>
        <w:rPr>
          <w:lang w:val="en-CA"/>
        </w:rPr>
      </w:pPr>
      <w:r>
        <w:rPr>
          <w:lang w:val="en-CA"/>
        </w:rPr>
        <w:t>In this solution the CU-based early termination is disabled additionally if the CU size is greater than 64 in one dimension.</w:t>
      </w:r>
      <w:r w:rsidR="00134BFD" w:rsidRPr="00134BFD">
        <w:rPr>
          <w:szCs w:val="22"/>
          <w:lang w:val="en-CA"/>
        </w:rPr>
        <w:t xml:space="preserve"> </w:t>
      </w:r>
      <w:r w:rsidR="00134BFD">
        <w:rPr>
          <w:szCs w:val="22"/>
          <w:lang w:val="en-CA"/>
        </w:rPr>
        <w:t>The subblocks that are disabled are located at the top or left of the VPDU boundary.</w:t>
      </w:r>
    </w:p>
    <w:p w14:paraId="5E89FA37" w14:textId="23B92704" w:rsidR="00FD16D0" w:rsidRDefault="00FD16D0" w:rsidP="00FD16D0">
      <w:pPr>
        <w:pStyle w:val="Heading2"/>
        <w:rPr>
          <w:lang w:val="en-CA"/>
        </w:rPr>
      </w:pPr>
      <w:r>
        <w:rPr>
          <w:lang w:val="en-CA"/>
        </w:rPr>
        <w:lastRenderedPageBreak/>
        <w:t>Disabling BDOF sub-blocks along the VPDU edges – alternative 2</w:t>
      </w:r>
    </w:p>
    <w:p w14:paraId="6E50F6B4" w14:textId="6D694F97" w:rsidR="00FD16D0" w:rsidRDefault="00FD16D0" w:rsidP="00FD16D0">
      <w:pPr>
        <w:rPr>
          <w:lang w:val="en-CA"/>
        </w:rPr>
      </w:pPr>
      <w:r>
        <w:rPr>
          <w:lang w:val="en-CA"/>
        </w:rPr>
        <w:t xml:space="preserve">According to the </w:t>
      </w:r>
      <w:r w:rsidR="00F461C5">
        <w:rPr>
          <w:lang w:val="en-CA"/>
        </w:rPr>
        <w:t>fourth</w:t>
      </w:r>
      <w:r>
        <w:rPr>
          <w:lang w:val="en-CA"/>
        </w:rPr>
        <w:t xml:space="preserve"> proposed solution, </w:t>
      </w:r>
      <w:r w:rsidR="00B57222">
        <w:rPr>
          <w:lang w:val="en-CA"/>
        </w:rPr>
        <w:t>if BDOF is applied at a CU which has one dimension that is greater than 64 samples</w:t>
      </w:r>
      <w:r>
        <w:rPr>
          <w:lang w:val="en-CA"/>
        </w:rPr>
        <w:t>, the BDOF subblocks along the VPDU edges are disabled. This is illustrated in the example below, where a CU is equal in size to 128x128.</w:t>
      </w:r>
    </w:p>
    <w:p w14:paraId="331558B8" w14:textId="77777777" w:rsidR="00FD16D0" w:rsidRDefault="00FD16D0" w:rsidP="00FD16D0">
      <w:pPr>
        <w:rPr>
          <w:lang w:val="en-CA"/>
        </w:rPr>
      </w:pPr>
    </w:p>
    <w:p w14:paraId="54F95219" w14:textId="1C73EB1C" w:rsidR="00FD16D0" w:rsidRDefault="00FD16D0" w:rsidP="00FD16D0">
      <w:pPr>
        <w:jc w:val="center"/>
        <w:rPr>
          <w:color w:val="1F497D"/>
          <w:sz w:val="21"/>
        </w:rPr>
      </w:pPr>
    </w:p>
    <w:p w14:paraId="7BCF7F51" w14:textId="236481B6" w:rsidR="00FD16D0" w:rsidRPr="000407FE" w:rsidRDefault="00F461C5" w:rsidP="00F461C5">
      <w:pPr>
        <w:jc w:val="center"/>
        <w:rPr>
          <w:lang w:val="en-CA"/>
        </w:rPr>
      </w:pPr>
      <w:r>
        <w:rPr>
          <w:noProof/>
          <w:color w:val="1F497D"/>
        </w:rPr>
        <w:drawing>
          <wp:inline distT="0" distB="0" distL="0" distR="0" wp14:anchorId="0B9245CF" wp14:editId="70E04509">
            <wp:extent cx="5112689" cy="3576066"/>
            <wp:effectExtent l="0" t="0" r="0" b="5715"/>
            <wp:docPr id="30" name="Picture 30" descr="cid:image008.png@01D496E2.73079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8.png@01D496E2.730798C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5121583" cy="3582287"/>
                    </a:xfrm>
                    <a:prstGeom prst="rect">
                      <a:avLst/>
                    </a:prstGeom>
                    <a:noFill/>
                    <a:ln>
                      <a:noFill/>
                    </a:ln>
                  </pic:spPr>
                </pic:pic>
              </a:graphicData>
            </a:graphic>
          </wp:inline>
        </w:drawing>
      </w:r>
    </w:p>
    <w:p w14:paraId="62543864" w14:textId="77777777" w:rsidR="00FD16D0" w:rsidRDefault="00FD16D0" w:rsidP="00FD16D0">
      <w:pPr>
        <w:jc w:val="center"/>
        <w:rPr>
          <w:lang w:val="en-CA"/>
        </w:rPr>
      </w:pPr>
      <w:r>
        <w:rPr>
          <w:lang w:val="en-CA"/>
        </w:rPr>
        <w:t>Figure 1: Illustration of the region where BDOF is disabled.</w:t>
      </w:r>
    </w:p>
    <w:p w14:paraId="540438CE" w14:textId="5FBDB754" w:rsidR="00FD16D0" w:rsidRDefault="00F461C5" w:rsidP="00FD16D0">
      <w:pPr>
        <w:rPr>
          <w:lang w:val="en-CA"/>
        </w:rPr>
      </w:pPr>
      <w:r>
        <w:rPr>
          <w:lang w:val="en-CA"/>
        </w:rPr>
        <w:t xml:space="preserve">The subblocks at both side of the VPDU </w:t>
      </w:r>
      <w:r w:rsidR="00104435">
        <w:rPr>
          <w:lang w:val="en-CA"/>
        </w:rPr>
        <w:t xml:space="preserve">boundaries </w:t>
      </w:r>
      <w:r>
        <w:rPr>
          <w:lang w:val="en-CA"/>
        </w:rPr>
        <w:t xml:space="preserve">are disabled in this alternative in order to prevent the need to calculate the gradients (or store) at the VPDU boundary. </w:t>
      </w:r>
      <w:r w:rsidR="00A160D3">
        <w:rPr>
          <w:lang w:val="en-CA"/>
        </w:rPr>
        <w:t>Similarly to the third alternative solution, CU-based early termination is disabled additionally if the CU size is greater than 64 in one dimension.</w:t>
      </w:r>
    </w:p>
    <w:p w14:paraId="491C5231" w14:textId="77777777" w:rsidR="00FD16D0" w:rsidRDefault="00FD16D0" w:rsidP="00645386">
      <w:pPr>
        <w:rPr>
          <w:lang w:val="en-CA"/>
        </w:rPr>
      </w:pPr>
    </w:p>
    <w:p w14:paraId="40E80D93" w14:textId="02F4747E" w:rsidR="00645386" w:rsidRDefault="00645386" w:rsidP="00645386">
      <w:pPr>
        <w:pStyle w:val="Heading1"/>
        <w:rPr>
          <w:lang w:val="en-CA"/>
        </w:rPr>
      </w:pPr>
      <w:r>
        <w:rPr>
          <w:lang w:val="en-CA"/>
        </w:rPr>
        <w:t>Simulation Results</w:t>
      </w:r>
    </w:p>
    <w:p w14:paraId="31D807AA" w14:textId="47AAC8F1" w:rsidR="00D904CF" w:rsidRPr="00D904CF" w:rsidRDefault="00D904CF" w:rsidP="00D904CF">
      <w:pPr>
        <w:rPr>
          <w:lang w:val="en-CA"/>
        </w:rPr>
      </w:pPr>
      <w:r>
        <w:rPr>
          <w:lang w:val="en-CA"/>
        </w:rPr>
        <w:t>The simulation results for the proposed solutions are presented in the tables below.</w:t>
      </w:r>
    </w:p>
    <w:p w14:paraId="5A5794EF" w14:textId="77777777" w:rsidR="00413560" w:rsidRDefault="00413560" w:rsidP="00413560">
      <w:pPr>
        <w:pStyle w:val="Heading2"/>
        <w:rPr>
          <w:lang w:val="en-CA"/>
        </w:rPr>
      </w:pPr>
      <w:r>
        <w:rPr>
          <w:lang w:val="en-CA"/>
        </w:rPr>
        <w:t>Disabling BDOF for large CUs</w:t>
      </w:r>
    </w:p>
    <w:tbl>
      <w:tblPr>
        <w:tblW w:w="6940" w:type="dxa"/>
        <w:jc w:val="center"/>
        <w:tblLook w:val="04A0" w:firstRow="1" w:lastRow="0" w:firstColumn="1" w:lastColumn="0" w:noHBand="0" w:noVBand="1"/>
      </w:tblPr>
      <w:tblGrid>
        <w:gridCol w:w="1640"/>
        <w:gridCol w:w="1161"/>
        <w:gridCol w:w="1160"/>
        <w:gridCol w:w="1160"/>
        <w:gridCol w:w="871"/>
        <w:gridCol w:w="948"/>
      </w:tblGrid>
      <w:tr w:rsidR="00D904CF" w:rsidRPr="00D904CF" w14:paraId="703C391A" w14:textId="77777777" w:rsidTr="00D904CF">
        <w:trPr>
          <w:trHeight w:val="255"/>
          <w:jc w:val="center"/>
        </w:trPr>
        <w:tc>
          <w:tcPr>
            <w:tcW w:w="1640" w:type="dxa"/>
            <w:tcBorders>
              <w:top w:val="nil"/>
              <w:left w:val="nil"/>
              <w:bottom w:val="nil"/>
              <w:right w:val="nil"/>
            </w:tcBorders>
            <w:shd w:val="clear" w:color="auto" w:fill="auto"/>
            <w:noWrap/>
            <w:vAlign w:val="center"/>
            <w:hideMark/>
          </w:tcPr>
          <w:p w14:paraId="3CB7181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22E1C5"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904CF">
              <w:rPr>
                <w:rFonts w:ascii="Arial" w:hAnsi="Arial" w:cs="Arial"/>
                <w:b/>
                <w:bCs/>
                <w:color w:val="000000"/>
                <w:sz w:val="18"/>
                <w:szCs w:val="18"/>
              </w:rPr>
              <w:t>Random Access Main 10</w:t>
            </w:r>
          </w:p>
        </w:tc>
      </w:tr>
      <w:tr w:rsidR="00D904CF" w:rsidRPr="00D904CF" w14:paraId="3671E72A" w14:textId="77777777" w:rsidTr="00D904CF">
        <w:trPr>
          <w:trHeight w:val="255"/>
          <w:jc w:val="center"/>
        </w:trPr>
        <w:tc>
          <w:tcPr>
            <w:tcW w:w="1640" w:type="dxa"/>
            <w:tcBorders>
              <w:top w:val="nil"/>
              <w:left w:val="nil"/>
              <w:bottom w:val="nil"/>
              <w:right w:val="nil"/>
            </w:tcBorders>
            <w:shd w:val="clear" w:color="auto" w:fill="auto"/>
            <w:noWrap/>
            <w:vAlign w:val="center"/>
            <w:hideMark/>
          </w:tcPr>
          <w:p w14:paraId="516781E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F00EB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904CF">
              <w:rPr>
                <w:rFonts w:ascii="Arial" w:hAnsi="Arial" w:cs="Arial"/>
                <w:b/>
                <w:bCs/>
                <w:color w:val="000000"/>
                <w:sz w:val="18"/>
                <w:szCs w:val="18"/>
              </w:rPr>
              <w:t>Over VTM-3.0</w:t>
            </w:r>
          </w:p>
        </w:tc>
      </w:tr>
      <w:tr w:rsidR="00D904CF" w:rsidRPr="00D904CF" w14:paraId="6B7D08D8" w14:textId="77777777" w:rsidTr="00D904CF">
        <w:trPr>
          <w:trHeight w:val="255"/>
          <w:jc w:val="center"/>
        </w:trPr>
        <w:tc>
          <w:tcPr>
            <w:tcW w:w="1640" w:type="dxa"/>
            <w:tcBorders>
              <w:top w:val="nil"/>
              <w:left w:val="nil"/>
              <w:bottom w:val="nil"/>
              <w:right w:val="nil"/>
            </w:tcBorders>
            <w:shd w:val="clear" w:color="auto" w:fill="auto"/>
            <w:noWrap/>
            <w:vAlign w:val="center"/>
            <w:hideMark/>
          </w:tcPr>
          <w:p w14:paraId="4ABDF7D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61" w:type="dxa"/>
            <w:tcBorders>
              <w:top w:val="nil"/>
              <w:left w:val="single" w:sz="8" w:space="0" w:color="auto"/>
              <w:bottom w:val="single" w:sz="8" w:space="0" w:color="auto"/>
              <w:right w:val="nil"/>
            </w:tcBorders>
            <w:shd w:val="clear" w:color="auto" w:fill="auto"/>
            <w:noWrap/>
            <w:vAlign w:val="center"/>
            <w:hideMark/>
          </w:tcPr>
          <w:p w14:paraId="74D90AA7"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Y</w:t>
            </w:r>
          </w:p>
        </w:tc>
        <w:tc>
          <w:tcPr>
            <w:tcW w:w="1160" w:type="dxa"/>
            <w:tcBorders>
              <w:top w:val="nil"/>
              <w:left w:val="nil"/>
              <w:bottom w:val="single" w:sz="8" w:space="0" w:color="auto"/>
              <w:right w:val="nil"/>
            </w:tcBorders>
            <w:shd w:val="clear" w:color="auto" w:fill="auto"/>
            <w:noWrap/>
            <w:vAlign w:val="center"/>
            <w:hideMark/>
          </w:tcPr>
          <w:p w14:paraId="457AA0E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U</w:t>
            </w:r>
          </w:p>
        </w:tc>
        <w:tc>
          <w:tcPr>
            <w:tcW w:w="1160" w:type="dxa"/>
            <w:tcBorders>
              <w:top w:val="nil"/>
              <w:left w:val="nil"/>
              <w:bottom w:val="single" w:sz="8" w:space="0" w:color="auto"/>
              <w:right w:val="single" w:sz="4" w:space="0" w:color="auto"/>
            </w:tcBorders>
            <w:shd w:val="clear" w:color="auto" w:fill="auto"/>
            <w:noWrap/>
            <w:vAlign w:val="center"/>
            <w:hideMark/>
          </w:tcPr>
          <w:p w14:paraId="0C7C927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V</w:t>
            </w:r>
          </w:p>
        </w:tc>
        <w:tc>
          <w:tcPr>
            <w:tcW w:w="871" w:type="dxa"/>
            <w:tcBorders>
              <w:top w:val="nil"/>
              <w:left w:val="nil"/>
              <w:bottom w:val="single" w:sz="8" w:space="0" w:color="auto"/>
              <w:right w:val="nil"/>
            </w:tcBorders>
            <w:shd w:val="clear" w:color="auto" w:fill="auto"/>
            <w:noWrap/>
            <w:vAlign w:val="center"/>
            <w:hideMark/>
          </w:tcPr>
          <w:p w14:paraId="220BCE6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39FAF45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DecT</w:t>
            </w:r>
          </w:p>
        </w:tc>
      </w:tr>
      <w:tr w:rsidR="00D904CF" w:rsidRPr="00D904CF" w14:paraId="296292A0" w14:textId="77777777" w:rsidTr="00D90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C932B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A1</w:t>
            </w:r>
          </w:p>
        </w:tc>
        <w:tc>
          <w:tcPr>
            <w:tcW w:w="1161" w:type="dxa"/>
            <w:tcBorders>
              <w:top w:val="nil"/>
              <w:left w:val="nil"/>
              <w:bottom w:val="nil"/>
              <w:right w:val="nil"/>
            </w:tcBorders>
            <w:shd w:val="clear" w:color="auto" w:fill="auto"/>
            <w:noWrap/>
            <w:vAlign w:val="center"/>
            <w:hideMark/>
          </w:tcPr>
          <w:p w14:paraId="5FAC68A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0.23%</w:t>
            </w:r>
          </w:p>
        </w:tc>
        <w:tc>
          <w:tcPr>
            <w:tcW w:w="1160" w:type="dxa"/>
            <w:tcBorders>
              <w:top w:val="nil"/>
              <w:left w:val="nil"/>
              <w:bottom w:val="nil"/>
              <w:right w:val="nil"/>
            </w:tcBorders>
            <w:shd w:val="clear" w:color="auto" w:fill="auto"/>
            <w:noWrap/>
            <w:vAlign w:val="center"/>
            <w:hideMark/>
          </w:tcPr>
          <w:p w14:paraId="7436DED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0.19%</w:t>
            </w:r>
          </w:p>
        </w:tc>
        <w:tc>
          <w:tcPr>
            <w:tcW w:w="1160" w:type="dxa"/>
            <w:tcBorders>
              <w:top w:val="nil"/>
              <w:left w:val="nil"/>
              <w:bottom w:val="nil"/>
              <w:right w:val="single" w:sz="4" w:space="0" w:color="auto"/>
            </w:tcBorders>
            <w:shd w:val="clear" w:color="auto" w:fill="auto"/>
            <w:noWrap/>
            <w:vAlign w:val="center"/>
            <w:hideMark/>
          </w:tcPr>
          <w:p w14:paraId="781110E9"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0.14%</w:t>
            </w:r>
          </w:p>
        </w:tc>
        <w:tc>
          <w:tcPr>
            <w:tcW w:w="871" w:type="dxa"/>
            <w:tcBorders>
              <w:top w:val="nil"/>
              <w:left w:val="nil"/>
              <w:bottom w:val="nil"/>
              <w:right w:val="nil"/>
            </w:tcBorders>
            <w:shd w:val="clear" w:color="auto" w:fill="auto"/>
            <w:noWrap/>
            <w:vAlign w:val="center"/>
            <w:hideMark/>
          </w:tcPr>
          <w:p w14:paraId="41C2BD3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66E2E47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97%</w:t>
            </w:r>
          </w:p>
        </w:tc>
      </w:tr>
      <w:tr w:rsidR="00D904CF" w:rsidRPr="00D904CF" w14:paraId="549D914B"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9FDA3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A2</w:t>
            </w:r>
          </w:p>
        </w:tc>
        <w:tc>
          <w:tcPr>
            <w:tcW w:w="1161" w:type="dxa"/>
            <w:tcBorders>
              <w:top w:val="nil"/>
              <w:left w:val="nil"/>
              <w:bottom w:val="nil"/>
              <w:right w:val="nil"/>
            </w:tcBorders>
            <w:shd w:val="clear" w:color="auto" w:fill="auto"/>
            <w:noWrap/>
            <w:vAlign w:val="center"/>
            <w:hideMark/>
          </w:tcPr>
          <w:p w14:paraId="208364D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0.30%</w:t>
            </w:r>
          </w:p>
        </w:tc>
        <w:tc>
          <w:tcPr>
            <w:tcW w:w="1160" w:type="dxa"/>
            <w:tcBorders>
              <w:top w:val="nil"/>
              <w:left w:val="nil"/>
              <w:bottom w:val="nil"/>
              <w:right w:val="nil"/>
            </w:tcBorders>
            <w:shd w:val="clear" w:color="auto" w:fill="auto"/>
            <w:noWrap/>
            <w:vAlign w:val="center"/>
            <w:hideMark/>
          </w:tcPr>
          <w:p w14:paraId="6BC18046"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0.23%</w:t>
            </w:r>
          </w:p>
        </w:tc>
        <w:tc>
          <w:tcPr>
            <w:tcW w:w="1160" w:type="dxa"/>
            <w:tcBorders>
              <w:top w:val="nil"/>
              <w:left w:val="nil"/>
              <w:bottom w:val="nil"/>
              <w:right w:val="single" w:sz="4" w:space="0" w:color="auto"/>
            </w:tcBorders>
            <w:shd w:val="clear" w:color="auto" w:fill="auto"/>
            <w:noWrap/>
            <w:vAlign w:val="center"/>
            <w:hideMark/>
          </w:tcPr>
          <w:p w14:paraId="7962DF4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0.20%</w:t>
            </w:r>
          </w:p>
        </w:tc>
        <w:tc>
          <w:tcPr>
            <w:tcW w:w="871" w:type="dxa"/>
            <w:tcBorders>
              <w:top w:val="nil"/>
              <w:left w:val="nil"/>
              <w:bottom w:val="nil"/>
              <w:right w:val="nil"/>
            </w:tcBorders>
            <w:shd w:val="clear" w:color="auto" w:fill="auto"/>
            <w:noWrap/>
            <w:vAlign w:val="center"/>
            <w:hideMark/>
          </w:tcPr>
          <w:p w14:paraId="611CD60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98%</w:t>
            </w:r>
          </w:p>
        </w:tc>
        <w:tc>
          <w:tcPr>
            <w:tcW w:w="948" w:type="dxa"/>
            <w:tcBorders>
              <w:top w:val="nil"/>
              <w:left w:val="nil"/>
              <w:bottom w:val="nil"/>
              <w:right w:val="single" w:sz="8" w:space="0" w:color="auto"/>
            </w:tcBorders>
            <w:shd w:val="clear" w:color="auto" w:fill="auto"/>
            <w:noWrap/>
            <w:vAlign w:val="center"/>
            <w:hideMark/>
          </w:tcPr>
          <w:p w14:paraId="2A4C852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r>
      <w:tr w:rsidR="00D904CF" w:rsidRPr="00D904CF" w14:paraId="625317BE"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DBDFC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B</w:t>
            </w:r>
          </w:p>
        </w:tc>
        <w:tc>
          <w:tcPr>
            <w:tcW w:w="1161" w:type="dxa"/>
            <w:tcBorders>
              <w:top w:val="nil"/>
              <w:left w:val="nil"/>
              <w:bottom w:val="nil"/>
              <w:right w:val="nil"/>
            </w:tcBorders>
            <w:shd w:val="clear" w:color="auto" w:fill="auto"/>
            <w:noWrap/>
            <w:vAlign w:val="center"/>
            <w:hideMark/>
          </w:tcPr>
          <w:p w14:paraId="7D25E1C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0.15%</w:t>
            </w:r>
          </w:p>
        </w:tc>
        <w:tc>
          <w:tcPr>
            <w:tcW w:w="1160" w:type="dxa"/>
            <w:tcBorders>
              <w:top w:val="nil"/>
              <w:left w:val="nil"/>
              <w:bottom w:val="nil"/>
              <w:right w:val="nil"/>
            </w:tcBorders>
            <w:shd w:val="clear" w:color="auto" w:fill="auto"/>
            <w:noWrap/>
            <w:vAlign w:val="center"/>
            <w:hideMark/>
          </w:tcPr>
          <w:p w14:paraId="3154CBB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0.15%</w:t>
            </w:r>
          </w:p>
        </w:tc>
        <w:tc>
          <w:tcPr>
            <w:tcW w:w="1160" w:type="dxa"/>
            <w:tcBorders>
              <w:top w:val="nil"/>
              <w:left w:val="nil"/>
              <w:bottom w:val="nil"/>
              <w:right w:val="single" w:sz="4" w:space="0" w:color="auto"/>
            </w:tcBorders>
            <w:shd w:val="clear" w:color="auto" w:fill="auto"/>
            <w:noWrap/>
            <w:vAlign w:val="center"/>
            <w:hideMark/>
          </w:tcPr>
          <w:p w14:paraId="1D172B2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1CDE650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1AD7C2A6"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98%</w:t>
            </w:r>
          </w:p>
        </w:tc>
      </w:tr>
      <w:tr w:rsidR="00D904CF" w:rsidRPr="00D904CF" w14:paraId="7725DD95"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C2D22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C</w:t>
            </w:r>
          </w:p>
        </w:tc>
        <w:tc>
          <w:tcPr>
            <w:tcW w:w="1161" w:type="dxa"/>
            <w:tcBorders>
              <w:top w:val="nil"/>
              <w:left w:val="nil"/>
              <w:bottom w:val="nil"/>
              <w:right w:val="nil"/>
            </w:tcBorders>
            <w:shd w:val="clear" w:color="auto" w:fill="auto"/>
            <w:noWrap/>
            <w:vAlign w:val="center"/>
            <w:hideMark/>
          </w:tcPr>
          <w:p w14:paraId="55040A5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170E6B7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0.02%</w:t>
            </w:r>
          </w:p>
        </w:tc>
        <w:tc>
          <w:tcPr>
            <w:tcW w:w="1160" w:type="dxa"/>
            <w:tcBorders>
              <w:top w:val="nil"/>
              <w:left w:val="nil"/>
              <w:bottom w:val="nil"/>
              <w:right w:val="single" w:sz="4" w:space="0" w:color="auto"/>
            </w:tcBorders>
            <w:shd w:val="clear" w:color="auto" w:fill="auto"/>
            <w:noWrap/>
            <w:vAlign w:val="center"/>
            <w:hideMark/>
          </w:tcPr>
          <w:p w14:paraId="1F3DEB0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14:paraId="256F59B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c>
          <w:tcPr>
            <w:tcW w:w="948" w:type="dxa"/>
            <w:tcBorders>
              <w:top w:val="nil"/>
              <w:left w:val="nil"/>
              <w:bottom w:val="nil"/>
              <w:right w:val="single" w:sz="8" w:space="0" w:color="auto"/>
            </w:tcBorders>
            <w:shd w:val="clear" w:color="auto" w:fill="auto"/>
            <w:noWrap/>
            <w:vAlign w:val="center"/>
            <w:hideMark/>
          </w:tcPr>
          <w:p w14:paraId="3BD1B55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r>
      <w:tr w:rsidR="00D904CF" w:rsidRPr="00D904CF" w14:paraId="4FDC4D17"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2925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E</w:t>
            </w:r>
          </w:p>
        </w:tc>
        <w:tc>
          <w:tcPr>
            <w:tcW w:w="1161" w:type="dxa"/>
            <w:tcBorders>
              <w:top w:val="nil"/>
              <w:left w:val="nil"/>
              <w:bottom w:val="nil"/>
              <w:right w:val="nil"/>
            </w:tcBorders>
            <w:shd w:val="clear" w:color="auto" w:fill="auto"/>
            <w:noWrap/>
            <w:vAlign w:val="center"/>
            <w:hideMark/>
          </w:tcPr>
          <w:p w14:paraId="17A40A9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c>
          <w:tcPr>
            <w:tcW w:w="1160" w:type="dxa"/>
            <w:tcBorders>
              <w:top w:val="nil"/>
              <w:left w:val="nil"/>
              <w:bottom w:val="nil"/>
              <w:right w:val="nil"/>
            </w:tcBorders>
            <w:shd w:val="clear" w:color="auto" w:fill="auto"/>
            <w:noWrap/>
            <w:vAlign w:val="center"/>
            <w:hideMark/>
          </w:tcPr>
          <w:p w14:paraId="0B3607B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0" w:type="dxa"/>
            <w:tcBorders>
              <w:top w:val="nil"/>
              <w:left w:val="nil"/>
              <w:bottom w:val="nil"/>
              <w:right w:val="single" w:sz="4" w:space="0" w:color="auto"/>
            </w:tcBorders>
            <w:shd w:val="clear" w:color="auto" w:fill="auto"/>
            <w:noWrap/>
            <w:vAlign w:val="center"/>
            <w:hideMark/>
          </w:tcPr>
          <w:p w14:paraId="32D1BF75"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33AAC126"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c>
          <w:tcPr>
            <w:tcW w:w="948" w:type="dxa"/>
            <w:tcBorders>
              <w:top w:val="nil"/>
              <w:left w:val="nil"/>
              <w:bottom w:val="nil"/>
              <w:right w:val="single" w:sz="8" w:space="0" w:color="auto"/>
            </w:tcBorders>
            <w:shd w:val="clear" w:color="auto" w:fill="auto"/>
            <w:noWrap/>
            <w:vAlign w:val="center"/>
            <w:hideMark/>
          </w:tcPr>
          <w:p w14:paraId="38C099E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r>
      <w:tr w:rsidR="00D904CF" w:rsidRPr="00D904CF" w14:paraId="0A603606" w14:textId="77777777" w:rsidTr="00D90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864AF7"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904CF">
              <w:rPr>
                <w:rFonts w:ascii="Arial" w:hAnsi="Arial" w:cs="Arial"/>
                <w:b/>
                <w:bCs/>
                <w:color w:val="000000"/>
                <w:sz w:val="18"/>
                <w:szCs w:val="18"/>
              </w:rPr>
              <w:t>Overall</w:t>
            </w:r>
          </w:p>
        </w:tc>
        <w:tc>
          <w:tcPr>
            <w:tcW w:w="1161" w:type="dxa"/>
            <w:tcBorders>
              <w:top w:val="single" w:sz="8" w:space="0" w:color="auto"/>
              <w:left w:val="nil"/>
              <w:bottom w:val="nil"/>
              <w:right w:val="nil"/>
            </w:tcBorders>
            <w:shd w:val="clear" w:color="auto" w:fill="auto"/>
            <w:noWrap/>
            <w:vAlign w:val="center"/>
            <w:hideMark/>
          </w:tcPr>
          <w:p w14:paraId="27F6B6E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0.16%</w:t>
            </w:r>
          </w:p>
        </w:tc>
        <w:tc>
          <w:tcPr>
            <w:tcW w:w="1160" w:type="dxa"/>
            <w:tcBorders>
              <w:top w:val="single" w:sz="8" w:space="0" w:color="auto"/>
              <w:left w:val="nil"/>
              <w:bottom w:val="nil"/>
              <w:right w:val="nil"/>
            </w:tcBorders>
            <w:shd w:val="clear" w:color="auto" w:fill="auto"/>
            <w:noWrap/>
            <w:vAlign w:val="center"/>
            <w:hideMark/>
          </w:tcPr>
          <w:p w14:paraId="3ED2A4B7"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0.14%</w:t>
            </w:r>
          </w:p>
        </w:tc>
        <w:tc>
          <w:tcPr>
            <w:tcW w:w="1160" w:type="dxa"/>
            <w:tcBorders>
              <w:top w:val="single" w:sz="8" w:space="0" w:color="auto"/>
              <w:left w:val="nil"/>
              <w:bottom w:val="nil"/>
              <w:right w:val="single" w:sz="4" w:space="0" w:color="auto"/>
            </w:tcBorders>
            <w:shd w:val="clear" w:color="auto" w:fill="auto"/>
            <w:noWrap/>
            <w:vAlign w:val="center"/>
            <w:hideMark/>
          </w:tcPr>
          <w:p w14:paraId="3205C53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226AB1E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c>
          <w:tcPr>
            <w:tcW w:w="948" w:type="dxa"/>
            <w:tcBorders>
              <w:top w:val="single" w:sz="8" w:space="0" w:color="auto"/>
              <w:left w:val="nil"/>
              <w:bottom w:val="nil"/>
              <w:right w:val="single" w:sz="8" w:space="0" w:color="auto"/>
            </w:tcBorders>
            <w:shd w:val="clear" w:color="auto" w:fill="auto"/>
            <w:noWrap/>
            <w:vAlign w:val="center"/>
            <w:hideMark/>
          </w:tcPr>
          <w:p w14:paraId="7238DC16"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98%</w:t>
            </w:r>
          </w:p>
        </w:tc>
      </w:tr>
      <w:tr w:rsidR="00D904CF" w:rsidRPr="00D904CF" w14:paraId="78DB713F" w14:textId="77777777" w:rsidTr="00D90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054BB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D</w:t>
            </w:r>
          </w:p>
        </w:tc>
        <w:tc>
          <w:tcPr>
            <w:tcW w:w="1161" w:type="dxa"/>
            <w:tcBorders>
              <w:top w:val="single" w:sz="8" w:space="0" w:color="auto"/>
              <w:left w:val="nil"/>
              <w:bottom w:val="nil"/>
              <w:right w:val="nil"/>
            </w:tcBorders>
            <w:shd w:val="clear" w:color="auto" w:fill="auto"/>
            <w:noWrap/>
            <w:vAlign w:val="center"/>
            <w:hideMark/>
          </w:tcPr>
          <w:p w14:paraId="6E37570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0.09%</w:t>
            </w:r>
          </w:p>
        </w:tc>
        <w:tc>
          <w:tcPr>
            <w:tcW w:w="1160" w:type="dxa"/>
            <w:tcBorders>
              <w:top w:val="single" w:sz="8" w:space="0" w:color="auto"/>
              <w:left w:val="nil"/>
              <w:bottom w:val="nil"/>
              <w:right w:val="nil"/>
            </w:tcBorders>
            <w:shd w:val="clear" w:color="auto" w:fill="auto"/>
            <w:noWrap/>
            <w:vAlign w:val="center"/>
            <w:hideMark/>
          </w:tcPr>
          <w:p w14:paraId="5C13227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0.07%</w:t>
            </w:r>
          </w:p>
        </w:tc>
        <w:tc>
          <w:tcPr>
            <w:tcW w:w="1160" w:type="dxa"/>
            <w:tcBorders>
              <w:top w:val="single" w:sz="8" w:space="0" w:color="auto"/>
              <w:left w:val="nil"/>
              <w:bottom w:val="nil"/>
              <w:right w:val="single" w:sz="4" w:space="0" w:color="auto"/>
            </w:tcBorders>
            <w:shd w:val="clear" w:color="auto" w:fill="auto"/>
            <w:noWrap/>
            <w:vAlign w:val="center"/>
            <w:hideMark/>
          </w:tcPr>
          <w:p w14:paraId="651E884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5F5FAD9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c>
          <w:tcPr>
            <w:tcW w:w="948" w:type="dxa"/>
            <w:tcBorders>
              <w:top w:val="single" w:sz="8" w:space="0" w:color="auto"/>
              <w:left w:val="nil"/>
              <w:bottom w:val="nil"/>
              <w:right w:val="single" w:sz="8" w:space="0" w:color="auto"/>
            </w:tcBorders>
            <w:shd w:val="clear" w:color="auto" w:fill="auto"/>
            <w:noWrap/>
            <w:vAlign w:val="center"/>
            <w:hideMark/>
          </w:tcPr>
          <w:p w14:paraId="7494505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60FDD944" w14:textId="77777777" w:rsidTr="00D904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594751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F (optional)</w:t>
            </w:r>
          </w:p>
        </w:tc>
        <w:tc>
          <w:tcPr>
            <w:tcW w:w="1161" w:type="dxa"/>
            <w:tcBorders>
              <w:top w:val="nil"/>
              <w:left w:val="nil"/>
              <w:bottom w:val="single" w:sz="8" w:space="0" w:color="auto"/>
              <w:right w:val="nil"/>
            </w:tcBorders>
            <w:shd w:val="clear" w:color="auto" w:fill="auto"/>
            <w:noWrap/>
            <w:vAlign w:val="center"/>
            <w:hideMark/>
          </w:tcPr>
          <w:p w14:paraId="7B5D199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-0.04%</w:t>
            </w:r>
          </w:p>
        </w:tc>
        <w:tc>
          <w:tcPr>
            <w:tcW w:w="1160" w:type="dxa"/>
            <w:tcBorders>
              <w:top w:val="nil"/>
              <w:left w:val="nil"/>
              <w:bottom w:val="single" w:sz="8" w:space="0" w:color="auto"/>
              <w:right w:val="nil"/>
            </w:tcBorders>
            <w:shd w:val="clear" w:color="auto" w:fill="auto"/>
            <w:noWrap/>
            <w:vAlign w:val="center"/>
            <w:hideMark/>
          </w:tcPr>
          <w:p w14:paraId="3DACC4E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-0.02%</w:t>
            </w:r>
          </w:p>
        </w:tc>
        <w:tc>
          <w:tcPr>
            <w:tcW w:w="1160" w:type="dxa"/>
            <w:tcBorders>
              <w:top w:val="nil"/>
              <w:left w:val="nil"/>
              <w:bottom w:val="single" w:sz="8" w:space="0" w:color="auto"/>
              <w:right w:val="single" w:sz="4" w:space="0" w:color="auto"/>
            </w:tcBorders>
            <w:shd w:val="clear" w:color="auto" w:fill="auto"/>
            <w:noWrap/>
            <w:vAlign w:val="center"/>
            <w:hideMark/>
          </w:tcPr>
          <w:p w14:paraId="280B7BC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871" w:type="dxa"/>
            <w:tcBorders>
              <w:top w:val="nil"/>
              <w:left w:val="nil"/>
              <w:bottom w:val="single" w:sz="8" w:space="0" w:color="auto"/>
              <w:right w:val="nil"/>
            </w:tcBorders>
            <w:shd w:val="clear" w:color="auto" w:fill="auto"/>
            <w:noWrap/>
            <w:vAlign w:val="center"/>
            <w:hideMark/>
          </w:tcPr>
          <w:p w14:paraId="5B979C23"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99%</w:t>
            </w:r>
          </w:p>
        </w:tc>
        <w:tc>
          <w:tcPr>
            <w:tcW w:w="948" w:type="dxa"/>
            <w:tcBorders>
              <w:top w:val="nil"/>
              <w:left w:val="nil"/>
              <w:bottom w:val="single" w:sz="8" w:space="0" w:color="auto"/>
              <w:right w:val="single" w:sz="8" w:space="0" w:color="auto"/>
            </w:tcBorders>
            <w:shd w:val="clear" w:color="auto" w:fill="auto"/>
            <w:noWrap/>
            <w:vAlign w:val="center"/>
            <w:hideMark/>
          </w:tcPr>
          <w:p w14:paraId="624DE2A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98%</w:t>
            </w:r>
          </w:p>
        </w:tc>
      </w:tr>
    </w:tbl>
    <w:p w14:paraId="54FDBD9A" w14:textId="0E2FBF8C" w:rsidR="00D904CF" w:rsidRDefault="00D904CF" w:rsidP="00D904CF">
      <w:pPr>
        <w:jc w:val="center"/>
        <w:rPr>
          <w:lang w:val="en-CA"/>
        </w:rPr>
      </w:pPr>
      <w:r>
        <w:rPr>
          <w:lang w:val="en-CA"/>
        </w:rPr>
        <w:lastRenderedPageBreak/>
        <w:t>Table 1: Simulation results for d</w:t>
      </w:r>
      <w:r w:rsidRPr="00D904CF">
        <w:rPr>
          <w:lang w:val="en-CA"/>
        </w:rPr>
        <w:t>isabling BDOF for large CUs</w:t>
      </w:r>
    </w:p>
    <w:p w14:paraId="18B3557D" w14:textId="77777777" w:rsidR="00D904CF" w:rsidRPr="00D904CF" w:rsidRDefault="00D904CF" w:rsidP="00D904CF">
      <w:pPr>
        <w:rPr>
          <w:lang w:val="en-CA"/>
        </w:rPr>
      </w:pPr>
    </w:p>
    <w:p w14:paraId="3C83CE7A" w14:textId="51243199" w:rsidR="00413560" w:rsidRDefault="00413560" w:rsidP="00413560">
      <w:pPr>
        <w:pStyle w:val="Heading2"/>
        <w:rPr>
          <w:lang w:val="en-CA"/>
        </w:rPr>
      </w:pPr>
      <w:r>
        <w:rPr>
          <w:lang w:val="en-CA"/>
        </w:rPr>
        <w:t>Implicit splitting of BDOF application region</w:t>
      </w:r>
    </w:p>
    <w:tbl>
      <w:tblPr>
        <w:tblW w:w="6940" w:type="dxa"/>
        <w:jc w:val="center"/>
        <w:tblLook w:val="04A0" w:firstRow="1" w:lastRow="0" w:firstColumn="1" w:lastColumn="0" w:noHBand="0" w:noVBand="1"/>
      </w:tblPr>
      <w:tblGrid>
        <w:gridCol w:w="1640"/>
        <w:gridCol w:w="1144"/>
        <w:gridCol w:w="1144"/>
        <w:gridCol w:w="1144"/>
        <w:gridCol w:w="934"/>
        <w:gridCol w:w="934"/>
      </w:tblGrid>
      <w:tr w:rsidR="00D904CF" w:rsidRPr="00D904CF" w14:paraId="50E24E31" w14:textId="77777777" w:rsidTr="00D904CF">
        <w:trPr>
          <w:trHeight w:val="255"/>
          <w:jc w:val="center"/>
        </w:trPr>
        <w:tc>
          <w:tcPr>
            <w:tcW w:w="1640" w:type="dxa"/>
            <w:tcBorders>
              <w:top w:val="nil"/>
              <w:left w:val="nil"/>
              <w:bottom w:val="nil"/>
              <w:right w:val="nil"/>
            </w:tcBorders>
            <w:shd w:val="clear" w:color="auto" w:fill="auto"/>
            <w:noWrap/>
            <w:vAlign w:val="center"/>
            <w:hideMark/>
          </w:tcPr>
          <w:p w14:paraId="5329ABE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0B5935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904CF">
              <w:rPr>
                <w:rFonts w:ascii="Arial" w:hAnsi="Arial" w:cs="Arial"/>
                <w:b/>
                <w:bCs/>
                <w:color w:val="000000"/>
                <w:sz w:val="18"/>
                <w:szCs w:val="18"/>
              </w:rPr>
              <w:t>Random Access Main 10</w:t>
            </w:r>
          </w:p>
        </w:tc>
      </w:tr>
      <w:tr w:rsidR="00D904CF" w:rsidRPr="00D904CF" w14:paraId="0F57362E" w14:textId="77777777" w:rsidTr="00D904CF">
        <w:trPr>
          <w:trHeight w:val="255"/>
          <w:jc w:val="center"/>
        </w:trPr>
        <w:tc>
          <w:tcPr>
            <w:tcW w:w="1640" w:type="dxa"/>
            <w:tcBorders>
              <w:top w:val="nil"/>
              <w:left w:val="nil"/>
              <w:bottom w:val="nil"/>
              <w:right w:val="nil"/>
            </w:tcBorders>
            <w:shd w:val="clear" w:color="auto" w:fill="auto"/>
            <w:noWrap/>
            <w:vAlign w:val="center"/>
            <w:hideMark/>
          </w:tcPr>
          <w:p w14:paraId="14DE82A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745E461"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904CF">
              <w:rPr>
                <w:rFonts w:ascii="Arial" w:hAnsi="Arial" w:cs="Arial"/>
                <w:b/>
                <w:bCs/>
                <w:color w:val="000000"/>
                <w:sz w:val="18"/>
                <w:szCs w:val="18"/>
              </w:rPr>
              <w:t>Over VTM-3.0</w:t>
            </w:r>
          </w:p>
        </w:tc>
      </w:tr>
      <w:tr w:rsidR="00D904CF" w:rsidRPr="00D904CF" w14:paraId="2DA12CDC" w14:textId="77777777" w:rsidTr="00D904CF">
        <w:trPr>
          <w:trHeight w:val="255"/>
          <w:jc w:val="center"/>
        </w:trPr>
        <w:tc>
          <w:tcPr>
            <w:tcW w:w="1640" w:type="dxa"/>
            <w:tcBorders>
              <w:top w:val="nil"/>
              <w:left w:val="nil"/>
              <w:bottom w:val="nil"/>
              <w:right w:val="nil"/>
            </w:tcBorders>
            <w:shd w:val="clear" w:color="auto" w:fill="auto"/>
            <w:noWrap/>
            <w:vAlign w:val="center"/>
            <w:hideMark/>
          </w:tcPr>
          <w:p w14:paraId="1FC64D7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59798E4"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73D12C8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AA73999"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C597FB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0858737"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DecT</w:t>
            </w:r>
          </w:p>
        </w:tc>
      </w:tr>
      <w:tr w:rsidR="00D904CF" w:rsidRPr="00D904CF" w14:paraId="2DB3FABC" w14:textId="77777777" w:rsidTr="00D90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42D2A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6D975B1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28EF4D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154F5B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53642E9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455D773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1CAF360C"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A6D224"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6D892B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D82004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F507BC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DAA5E89"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BF9794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7C513A25"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8B9313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3A2EAE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C1B1994"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6B1254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4F0A8F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3F8F6CE4"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0C6B08CB"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3309D0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B0595B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704DB52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702C2017"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67D7FABA"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3BAB2D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03A1BA2E" w14:textId="77777777" w:rsidTr="00D904CF">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13D19C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013C74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31D1E284"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5BEBA58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A3902E4"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7830CFD3"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 </w:t>
            </w:r>
          </w:p>
        </w:tc>
      </w:tr>
      <w:tr w:rsidR="00D904CF" w:rsidRPr="00D904CF" w14:paraId="5402C858" w14:textId="77777777" w:rsidTr="00D90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70392B"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D904CF">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624E2B3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6BDDD6D7"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3887F6D5"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5315259D"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6D50E8E0"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04DCEA2C" w14:textId="77777777" w:rsidTr="00D904CF">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CCB243"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CDF6319"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1144" w:type="dxa"/>
            <w:tcBorders>
              <w:top w:val="single" w:sz="8" w:space="0" w:color="auto"/>
              <w:left w:val="nil"/>
              <w:bottom w:val="nil"/>
              <w:right w:val="nil"/>
            </w:tcBorders>
            <w:shd w:val="clear" w:color="auto" w:fill="auto"/>
            <w:noWrap/>
            <w:vAlign w:val="center"/>
            <w:hideMark/>
          </w:tcPr>
          <w:p w14:paraId="70E976BE"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1144" w:type="dxa"/>
            <w:tcBorders>
              <w:top w:val="single" w:sz="8" w:space="0" w:color="auto"/>
              <w:left w:val="nil"/>
              <w:bottom w:val="nil"/>
              <w:right w:val="single" w:sz="4" w:space="0" w:color="auto"/>
            </w:tcBorders>
            <w:shd w:val="clear" w:color="auto" w:fill="auto"/>
            <w:noWrap/>
            <w:vAlign w:val="center"/>
            <w:hideMark/>
          </w:tcPr>
          <w:p w14:paraId="477D4DDC"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2D20CE0F"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5E8DE6D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r w:rsidR="00D904CF" w:rsidRPr="00D904CF" w14:paraId="7B33ACB2" w14:textId="77777777" w:rsidTr="00D904CF">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A105255"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F335122"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7EBC5F69"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1BA54C16"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0.01%</w:t>
            </w:r>
          </w:p>
        </w:tc>
        <w:tc>
          <w:tcPr>
            <w:tcW w:w="934" w:type="dxa"/>
            <w:tcBorders>
              <w:top w:val="nil"/>
              <w:left w:val="nil"/>
              <w:bottom w:val="single" w:sz="8" w:space="0" w:color="auto"/>
              <w:right w:val="nil"/>
            </w:tcBorders>
            <w:shd w:val="clear" w:color="auto" w:fill="auto"/>
            <w:noWrap/>
            <w:vAlign w:val="center"/>
            <w:hideMark/>
          </w:tcPr>
          <w:p w14:paraId="2F64B518"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45843009" w14:textId="77777777" w:rsidR="00D904CF" w:rsidRPr="00D904CF" w:rsidRDefault="00D904CF" w:rsidP="00D904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D904CF">
              <w:rPr>
                <w:rFonts w:ascii="Arial" w:hAnsi="Arial" w:cs="Arial"/>
                <w:color w:val="000000"/>
                <w:sz w:val="18"/>
                <w:szCs w:val="18"/>
              </w:rPr>
              <w:t>100%</w:t>
            </w:r>
          </w:p>
        </w:tc>
      </w:tr>
    </w:tbl>
    <w:p w14:paraId="5BF1932B" w14:textId="69A6B81A" w:rsidR="00D904CF" w:rsidRDefault="00D904CF" w:rsidP="00D904CF">
      <w:pPr>
        <w:jc w:val="center"/>
        <w:rPr>
          <w:lang w:val="en-CA"/>
        </w:rPr>
      </w:pPr>
      <w:r>
        <w:rPr>
          <w:lang w:val="en-CA"/>
        </w:rPr>
        <w:t>Table 2: S</w:t>
      </w:r>
      <w:r w:rsidR="00523E96">
        <w:rPr>
          <w:lang w:val="en-CA"/>
        </w:rPr>
        <w:t>imulation results for i</w:t>
      </w:r>
      <w:r w:rsidR="00523E96" w:rsidRPr="00523E96">
        <w:rPr>
          <w:lang w:val="en-CA"/>
        </w:rPr>
        <w:t>mplicit splitting of BDOF application region</w:t>
      </w:r>
    </w:p>
    <w:p w14:paraId="0584FE6B" w14:textId="77777777" w:rsidR="00D904CF" w:rsidRPr="00D904CF" w:rsidRDefault="00D904CF" w:rsidP="00D904CF">
      <w:pPr>
        <w:rPr>
          <w:lang w:val="en-CA"/>
        </w:rPr>
      </w:pPr>
    </w:p>
    <w:p w14:paraId="5E5AB3B4" w14:textId="77777777" w:rsidR="00413560" w:rsidRDefault="00413560" w:rsidP="00413560">
      <w:pPr>
        <w:pStyle w:val="Heading2"/>
        <w:rPr>
          <w:lang w:val="en-CA"/>
        </w:rPr>
      </w:pPr>
      <w:r>
        <w:rPr>
          <w:lang w:val="en-CA"/>
        </w:rPr>
        <w:t>Disabling BDOF sub-blocks along the VPDU edges</w:t>
      </w:r>
    </w:p>
    <w:tbl>
      <w:tblPr>
        <w:tblW w:w="6940" w:type="dxa"/>
        <w:jc w:val="center"/>
        <w:tblLook w:val="04A0" w:firstRow="1" w:lastRow="0" w:firstColumn="1" w:lastColumn="0" w:noHBand="0" w:noVBand="1"/>
      </w:tblPr>
      <w:tblGrid>
        <w:gridCol w:w="1640"/>
        <w:gridCol w:w="1052"/>
        <w:gridCol w:w="1169"/>
        <w:gridCol w:w="1169"/>
        <w:gridCol w:w="955"/>
        <w:gridCol w:w="955"/>
      </w:tblGrid>
      <w:tr w:rsidR="00A160D3" w:rsidRPr="00A160D3" w14:paraId="7F5F39CF" w14:textId="77777777" w:rsidTr="00A160D3">
        <w:trPr>
          <w:trHeight w:val="255"/>
          <w:jc w:val="center"/>
        </w:trPr>
        <w:tc>
          <w:tcPr>
            <w:tcW w:w="1640" w:type="dxa"/>
            <w:tcBorders>
              <w:top w:val="nil"/>
              <w:left w:val="nil"/>
              <w:bottom w:val="nil"/>
              <w:right w:val="nil"/>
            </w:tcBorders>
            <w:shd w:val="clear" w:color="auto" w:fill="auto"/>
            <w:noWrap/>
            <w:vAlign w:val="center"/>
            <w:hideMark/>
          </w:tcPr>
          <w:p w14:paraId="1C82D887"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B97235"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160D3">
              <w:rPr>
                <w:rFonts w:ascii="Arial" w:hAnsi="Arial" w:cs="Arial"/>
                <w:b/>
                <w:bCs/>
                <w:color w:val="000000"/>
                <w:sz w:val="18"/>
                <w:szCs w:val="18"/>
              </w:rPr>
              <w:t>Random Access Main 10</w:t>
            </w:r>
          </w:p>
        </w:tc>
      </w:tr>
      <w:tr w:rsidR="00A160D3" w:rsidRPr="00A160D3" w14:paraId="6716A1B7" w14:textId="77777777" w:rsidTr="00A160D3">
        <w:trPr>
          <w:trHeight w:val="255"/>
          <w:jc w:val="center"/>
        </w:trPr>
        <w:tc>
          <w:tcPr>
            <w:tcW w:w="1640" w:type="dxa"/>
            <w:tcBorders>
              <w:top w:val="nil"/>
              <w:left w:val="nil"/>
              <w:bottom w:val="nil"/>
              <w:right w:val="nil"/>
            </w:tcBorders>
            <w:shd w:val="clear" w:color="auto" w:fill="auto"/>
            <w:noWrap/>
            <w:vAlign w:val="center"/>
            <w:hideMark/>
          </w:tcPr>
          <w:p w14:paraId="0339C33F"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A0403E7"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160D3">
              <w:rPr>
                <w:rFonts w:ascii="Arial" w:hAnsi="Arial" w:cs="Arial"/>
                <w:b/>
                <w:bCs/>
                <w:color w:val="000000"/>
                <w:sz w:val="18"/>
                <w:szCs w:val="18"/>
              </w:rPr>
              <w:t>Over VTM-3.0</w:t>
            </w:r>
          </w:p>
        </w:tc>
      </w:tr>
      <w:tr w:rsidR="00A160D3" w:rsidRPr="00A160D3" w14:paraId="0038164A" w14:textId="77777777" w:rsidTr="00A160D3">
        <w:trPr>
          <w:trHeight w:val="255"/>
          <w:jc w:val="center"/>
        </w:trPr>
        <w:tc>
          <w:tcPr>
            <w:tcW w:w="1640" w:type="dxa"/>
            <w:tcBorders>
              <w:top w:val="nil"/>
              <w:left w:val="nil"/>
              <w:bottom w:val="nil"/>
              <w:right w:val="nil"/>
            </w:tcBorders>
            <w:shd w:val="clear" w:color="auto" w:fill="auto"/>
            <w:noWrap/>
            <w:vAlign w:val="center"/>
            <w:hideMark/>
          </w:tcPr>
          <w:p w14:paraId="6A46D06E"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052" w:type="dxa"/>
            <w:tcBorders>
              <w:top w:val="nil"/>
              <w:left w:val="single" w:sz="8" w:space="0" w:color="auto"/>
              <w:bottom w:val="single" w:sz="8" w:space="0" w:color="auto"/>
              <w:right w:val="nil"/>
            </w:tcBorders>
            <w:shd w:val="clear" w:color="auto" w:fill="auto"/>
            <w:noWrap/>
            <w:vAlign w:val="center"/>
            <w:hideMark/>
          </w:tcPr>
          <w:p w14:paraId="39B6FBD4"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Y</w:t>
            </w:r>
          </w:p>
        </w:tc>
        <w:tc>
          <w:tcPr>
            <w:tcW w:w="1169" w:type="dxa"/>
            <w:tcBorders>
              <w:top w:val="nil"/>
              <w:left w:val="nil"/>
              <w:bottom w:val="single" w:sz="8" w:space="0" w:color="auto"/>
              <w:right w:val="nil"/>
            </w:tcBorders>
            <w:shd w:val="clear" w:color="auto" w:fill="auto"/>
            <w:noWrap/>
            <w:vAlign w:val="center"/>
            <w:hideMark/>
          </w:tcPr>
          <w:p w14:paraId="3BE7D520"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U</w:t>
            </w:r>
          </w:p>
        </w:tc>
        <w:tc>
          <w:tcPr>
            <w:tcW w:w="1169" w:type="dxa"/>
            <w:tcBorders>
              <w:top w:val="nil"/>
              <w:left w:val="nil"/>
              <w:bottom w:val="single" w:sz="8" w:space="0" w:color="auto"/>
              <w:right w:val="single" w:sz="4" w:space="0" w:color="auto"/>
            </w:tcBorders>
            <w:shd w:val="clear" w:color="auto" w:fill="auto"/>
            <w:noWrap/>
            <w:vAlign w:val="center"/>
            <w:hideMark/>
          </w:tcPr>
          <w:p w14:paraId="47E7EFB0"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V</w:t>
            </w:r>
          </w:p>
        </w:tc>
        <w:tc>
          <w:tcPr>
            <w:tcW w:w="955" w:type="dxa"/>
            <w:tcBorders>
              <w:top w:val="nil"/>
              <w:left w:val="nil"/>
              <w:bottom w:val="single" w:sz="8" w:space="0" w:color="auto"/>
              <w:right w:val="nil"/>
            </w:tcBorders>
            <w:shd w:val="clear" w:color="auto" w:fill="auto"/>
            <w:noWrap/>
            <w:vAlign w:val="center"/>
            <w:hideMark/>
          </w:tcPr>
          <w:p w14:paraId="27E2FC38"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EncT</w:t>
            </w:r>
          </w:p>
        </w:tc>
        <w:tc>
          <w:tcPr>
            <w:tcW w:w="955" w:type="dxa"/>
            <w:tcBorders>
              <w:top w:val="nil"/>
              <w:left w:val="nil"/>
              <w:bottom w:val="single" w:sz="8" w:space="0" w:color="auto"/>
              <w:right w:val="single" w:sz="8" w:space="0" w:color="auto"/>
            </w:tcBorders>
            <w:shd w:val="clear" w:color="auto" w:fill="auto"/>
            <w:noWrap/>
            <w:vAlign w:val="center"/>
            <w:hideMark/>
          </w:tcPr>
          <w:p w14:paraId="49F2BC8C"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DecT</w:t>
            </w:r>
          </w:p>
        </w:tc>
      </w:tr>
      <w:tr w:rsidR="00A160D3" w:rsidRPr="00A160D3" w14:paraId="2C4474C9" w14:textId="77777777" w:rsidTr="00A160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BB6AE"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A1</w:t>
            </w:r>
          </w:p>
        </w:tc>
        <w:tc>
          <w:tcPr>
            <w:tcW w:w="1052" w:type="dxa"/>
            <w:tcBorders>
              <w:top w:val="nil"/>
              <w:left w:val="nil"/>
              <w:bottom w:val="nil"/>
              <w:right w:val="nil"/>
            </w:tcBorders>
            <w:shd w:val="clear" w:color="auto" w:fill="auto"/>
            <w:noWrap/>
            <w:vAlign w:val="center"/>
            <w:hideMark/>
          </w:tcPr>
          <w:p w14:paraId="765BE19D"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3DEB3949"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0.02%</w:t>
            </w:r>
          </w:p>
        </w:tc>
        <w:tc>
          <w:tcPr>
            <w:tcW w:w="1169" w:type="dxa"/>
            <w:tcBorders>
              <w:top w:val="nil"/>
              <w:left w:val="nil"/>
              <w:bottom w:val="nil"/>
              <w:right w:val="single" w:sz="4" w:space="0" w:color="auto"/>
            </w:tcBorders>
            <w:shd w:val="clear" w:color="auto" w:fill="auto"/>
            <w:noWrap/>
            <w:vAlign w:val="center"/>
            <w:hideMark/>
          </w:tcPr>
          <w:p w14:paraId="040189DA"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0.03%</w:t>
            </w:r>
          </w:p>
        </w:tc>
        <w:tc>
          <w:tcPr>
            <w:tcW w:w="955" w:type="dxa"/>
            <w:tcBorders>
              <w:top w:val="nil"/>
              <w:left w:val="nil"/>
              <w:bottom w:val="nil"/>
              <w:right w:val="nil"/>
            </w:tcBorders>
            <w:shd w:val="clear" w:color="auto" w:fill="auto"/>
            <w:noWrap/>
            <w:vAlign w:val="center"/>
            <w:hideMark/>
          </w:tcPr>
          <w:p w14:paraId="4A122BFD"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c>
          <w:tcPr>
            <w:tcW w:w="955" w:type="dxa"/>
            <w:tcBorders>
              <w:top w:val="nil"/>
              <w:left w:val="nil"/>
              <w:bottom w:val="nil"/>
              <w:right w:val="single" w:sz="8" w:space="0" w:color="auto"/>
            </w:tcBorders>
            <w:shd w:val="clear" w:color="auto" w:fill="auto"/>
            <w:noWrap/>
            <w:vAlign w:val="center"/>
            <w:hideMark/>
          </w:tcPr>
          <w:p w14:paraId="362E60CD"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103%</w:t>
            </w:r>
          </w:p>
        </w:tc>
      </w:tr>
      <w:tr w:rsidR="00A160D3" w:rsidRPr="00A160D3" w14:paraId="3FD98895" w14:textId="77777777" w:rsidTr="00A160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9411477"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A2</w:t>
            </w:r>
          </w:p>
        </w:tc>
        <w:tc>
          <w:tcPr>
            <w:tcW w:w="1052" w:type="dxa"/>
            <w:tcBorders>
              <w:top w:val="nil"/>
              <w:left w:val="nil"/>
              <w:bottom w:val="nil"/>
              <w:right w:val="nil"/>
            </w:tcBorders>
            <w:shd w:val="clear" w:color="auto" w:fill="auto"/>
            <w:noWrap/>
            <w:vAlign w:val="center"/>
            <w:hideMark/>
          </w:tcPr>
          <w:p w14:paraId="30BB0414"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0.04%</w:t>
            </w:r>
          </w:p>
        </w:tc>
        <w:tc>
          <w:tcPr>
            <w:tcW w:w="1169" w:type="dxa"/>
            <w:tcBorders>
              <w:top w:val="nil"/>
              <w:left w:val="nil"/>
              <w:bottom w:val="nil"/>
              <w:right w:val="nil"/>
            </w:tcBorders>
            <w:shd w:val="clear" w:color="auto" w:fill="auto"/>
            <w:noWrap/>
            <w:vAlign w:val="center"/>
            <w:hideMark/>
          </w:tcPr>
          <w:p w14:paraId="11984DDB"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1AEF9531"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0.06%</w:t>
            </w:r>
          </w:p>
        </w:tc>
        <w:tc>
          <w:tcPr>
            <w:tcW w:w="955" w:type="dxa"/>
            <w:tcBorders>
              <w:top w:val="nil"/>
              <w:left w:val="nil"/>
              <w:bottom w:val="nil"/>
              <w:right w:val="nil"/>
            </w:tcBorders>
            <w:shd w:val="clear" w:color="auto" w:fill="auto"/>
            <w:noWrap/>
            <w:vAlign w:val="center"/>
            <w:hideMark/>
          </w:tcPr>
          <w:p w14:paraId="743B28FA"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c>
          <w:tcPr>
            <w:tcW w:w="955" w:type="dxa"/>
            <w:tcBorders>
              <w:top w:val="nil"/>
              <w:left w:val="nil"/>
              <w:bottom w:val="nil"/>
              <w:right w:val="single" w:sz="8" w:space="0" w:color="auto"/>
            </w:tcBorders>
            <w:shd w:val="clear" w:color="auto" w:fill="auto"/>
            <w:noWrap/>
            <w:vAlign w:val="center"/>
            <w:hideMark/>
          </w:tcPr>
          <w:p w14:paraId="1C9FF728"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103%</w:t>
            </w:r>
          </w:p>
        </w:tc>
      </w:tr>
      <w:tr w:rsidR="00A160D3" w:rsidRPr="00A160D3" w14:paraId="68F25045" w14:textId="77777777" w:rsidTr="00A160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5987CF"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B</w:t>
            </w:r>
          </w:p>
        </w:tc>
        <w:tc>
          <w:tcPr>
            <w:tcW w:w="1052" w:type="dxa"/>
            <w:tcBorders>
              <w:top w:val="nil"/>
              <w:left w:val="nil"/>
              <w:bottom w:val="nil"/>
              <w:right w:val="nil"/>
            </w:tcBorders>
            <w:shd w:val="clear" w:color="auto" w:fill="auto"/>
            <w:noWrap/>
            <w:vAlign w:val="center"/>
            <w:hideMark/>
          </w:tcPr>
          <w:p w14:paraId="60BBD535"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0.03%</w:t>
            </w:r>
          </w:p>
        </w:tc>
        <w:tc>
          <w:tcPr>
            <w:tcW w:w="1169" w:type="dxa"/>
            <w:tcBorders>
              <w:top w:val="nil"/>
              <w:left w:val="nil"/>
              <w:bottom w:val="nil"/>
              <w:right w:val="nil"/>
            </w:tcBorders>
            <w:shd w:val="clear" w:color="auto" w:fill="auto"/>
            <w:noWrap/>
            <w:vAlign w:val="center"/>
            <w:hideMark/>
          </w:tcPr>
          <w:p w14:paraId="20EF3742"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0.05%</w:t>
            </w:r>
          </w:p>
        </w:tc>
        <w:tc>
          <w:tcPr>
            <w:tcW w:w="1169" w:type="dxa"/>
            <w:tcBorders>
              <w:top w:val="nil"/>
              <w:left w:val="nil"/>
              <w:bottom w:val="nil"/>
              <w:right w:val="single" w:sz="4" w:space="0" w:color="auto"/>
            </w:tcBorders>
            <w:shd w:val="clear" w:color="auto" w:fill="auto"/>
            <w:noWrap/>
            <w:vAlign w:val="center"/>
            <w:hideMark/>
          </w:tcPr>
          <w:p w14:paraId="1427B320"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0.00%</w:t>
            </w:r>
          </w:p>
        </w:tc>
        <w:tc>
          <w:tcPr>
            <w:tcW w:w="955" w:type="dxa"/>
            <w:tcBorders>
              <w:top w:val="nil"/>
              <w:left w:val="nil"/>
              <w:bottom w:val="nil"/>
              <w:right w:val="nil"/>
            </w:tcBorders>
            <w:shd w:val="clear" w:color="auto" w:fill="auto"/>
            <w:noWrap/>
            <w:vAlign w:val="center"/>
            <w:hideMark/>
          </w:tcPr>
          <w:p w14:paraId="520F856D"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c>
          <w:tcPr>
            <w:tcW w:w="955" w:type="dxa"/>
            <w:tcBorders>
              <w:top w:val="nil"/>
              <w:left w:val="nil"/>
              <w:bottom w:val="nil"/>
              <w:right w:val="single" w:sz="8" w:space="0" w:color="auto"/>
            </w:tcBorders>
            <w:shd w:val="clear" w:color="auto" w:fill="auto"/>
            <w:noWrap/>
            <w:vAlign w:val="center"/>
            <w:hideMark/>
          </w:tcPr>
          <w:p w14:paraId="387E8648"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103%</w:t>
            </w:r>
          </w:p>
        </w:tc>
      </w:tr>
      <w:tr w:rsidR="00A160D3" w:rsidRPr="00A160D3" w14:paraId="55360F3E" w14:textId="77777777" w:rsidTr="00A160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FE5849"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C</w:t>
            </w:r>
          </w:p>
        </w:tc>
        <w:tc>
          <w:tcPr>
            <w:tcW w:w="1052" w:type="dxa"/>
            <w:tcBorders>
              <w:top w:val="nil"/>
              <w:left w:val="nil"/>
              <w:bottom w:val="nil"/>
              <w:right w:val="nil"/>
            </w:tcBorders>
            <w:shd w:val="clear" w:color="auto" w:fill="auto"/>
            <w:noWrap/>
            <w:vAlign w:val="center"/>
            <w:hideMark/>
          </w:tcPr>
          <w:p w14:paraId="628DAD9A"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0.00%</w:t>
            </w:r>
          </w:p>
        </w:tc>
        <w:tc>
          <w:tcPr>
            <w:tcW w:w="1169" w:type="dxa"/>
            <w:tcBorders>
              <w:top w:val="nil"/>
              <w:left w:val="nil"/>
              <w:bottom w:val="nil"/>
              <w:right w:val="nil"/>
            </w:tcBorders>
            <w:shd w:val="clear" w:color="auto" w:fill="auto"/>
            <w:noWrap/>
            <w:vAlign w:val="center"/>
            <w:hideMark/>
          </w:tcPr>
          <w:p w14:paraId="7049D8EA"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0.01%</w:t>
            </w:r>
          </w:p>
        </w:tc>
        <w:tc>
          <w:tcPr>
            <w:tcW w:w="1169" w:type="dxa"/>
            <w:tcBorders>
              <w:top w:val="nil"/>
              <w:left w:val="nil"/>
              <w:bottom w:val="nil"/>
              <w:right w:val="single" w:sz="4" w:space="0" w:color="auto"/>
            </w:tcBorders>
            <w:shd w:val="clear" w:color="auto" w:fill="auto"/>
            <w:noWrap/>
            <w:vAlign w:val="center"/>
            <w:hideMark/>
          </w:tcPr>
          <w:p w14:paraId="5C137F65"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-0.01%</w:t>
            </w:r>
          </w:p>
        </w:tc>
        <w:tc>
          <w:tcPr>
            <w:tcW w:w="955" w:type="dxa"/>
            <w:tcBorders>
              <w:top w:val="nil"/>
              <w:left w:val="nil"/>
              <w:bottom w:val="nil"/>
              <w:right w:val="nil"/>
            </w:tcBorders>
            <w:shd w:val="clear" w:color="auto" w:fill="auto"/>
            <w:noWrap/>
            <w:vAlign w:val="center"/>
            <w:hideMark/>
          </w:tcPr>
          <w:p w14:paraId="730B1F3A"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c>
          <w:tcPr>
            <w:tcW w:w="955" w:type="dxa"/>
            <w:tcBorders>
              <w:top w:val="nil"/>
              <w:left w:val="nil"/>
              <w:bottom w:val="nil"/>
              <w:right w:val="single" w:sz="8" w:space="0" w:color="auto"/>
            </w:tcBorders>
            <w:shd w:val="clear" w:color="auto" w:fill="auto"/>
            <w:noWrap/>
            <w:vAlign w:val="center"/>
            <w:hideMark/>
          </w:tcPr>
          <w:p w14:paraId="0CB9F699"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r>
      <w:tr w:rsidR="00A160D3" w:rsidRPr="00A160D3" w14:paraId="44CDA207" w14:textId="77777777" w:rsidTr="00A160D3">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F39831"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E</w:t>
            </w:r>
          </w:p>
        </w:tc>
        <w:tc>
          <w:tcPr>
            <w:tcW w:w="1052" w:type="dxa"/>
            <w:tcBorders>
              <w:top w:val="nil"/>
              <w:left w:val="nil"/>
              <w:bottom w:val="nil"/>
              <w:right w:val="nil"/>
            </w:tcBorders>
            <w:shd w:val="clear" w:color="auto" w:fill="auto"/>
            <w:noWrap/>
            <w:vAlign w:val="center"/>
            <w:hideMark/>
          </w:tcPr>
          <w:p w14:paraId="3D223B09"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 </w:t>
            </w:r>
          </w:p>
        </w:tc>
        <w:tc>
          <w:tcPr>
            <w:tcW w:w="1169" w:type="dxa"/>
            <w:tcBorders>
              <w:top w:val="nil"/>
              <w:left w:val="nil"/>
              <w:bottom w:val="nil"/>
              <w:right w:val="nil"/>
            </w:tcBorders>
            <w:shd w:val="clear" w:color="auto" w:fill="auto"/>
            <w:noWrap/>
            <w:vAlign w:val="center"/>
            <w:hideMark/>
          </w:tcPr>
          <w:p w14:paraId="653F9AB0"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69" w:type="dxa"/>
            <w:tcBorders>
              <w:top w:val="nil"/>
              <w:left w:val="nil"/>
              <w:bottom w:val="nil"/>
              <w:right w:val="single" w:sz="4" w:space="0" w:color="auto"/>
            </w:tcBorders>
            <w:shd w:val="clear" w:color="auto" w:fill="auto"/>
            <w:noWrap/>
            <w:vAlign w:val="center"/>
            <w:hideMark/>
          </w:tcPr>
          <w:p w14:paraId="541E4AA5"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 </w:t>
            </w:r>
          </w:p>
        </w:tc>
        <w:tc>
          <w:tcPr>
            <w:tcW w:w="955" w:type="dxa"/>
            <w:tcBorders>
              <w:top w:val="nil"/>
              <w:left w:val="nil"/>
              <w:bottom w:val="nil"/>
              <w:right w:val="nil"/>
            </w:tcBorders>
            <w:shd w:val="clear" w:color="auto" w:fill="auto"/>
            <w:noWrap/>
            <w:vAlign w:val="center"/>
            <w:hideMark/>
          </w:tcPr>
          <w:p w14:paraId="29228DAF"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 </w:t>
            </w:r>
          </w:p>
        </w:tc>
        <w:tc>
          <w:tcPr>
            <w:tcW w:w="955" w:type="dxa"/>
            <w:tcBorders>
              <w:top w:val="nil"/>
              <w:left w:val="nil"/>
              <w:bottom w:val="nil"/>
              <w:right w:val="single" w:sz="8" w:space="0" w:color="auto"/>
            </w:tcBorders>
            <w:shd w:val="clear" w:color="auto" w:fill="auto"/>
            <w:noWrap/>
            <w:vAlign w:val="center"/>
            <w:hideMark/>
          </w:tcPr>
          <w:p w14:paraId="2DA24213"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 </w:t>
            </w:r>
          </w:p>
        </w:tc>
      </w:tr>
      <w:tr w:rsidR="00A160D3" w:rsidRPr="00A160D3" w14:paraId="565C62FD" w14:textId="77777777" w:rsidTr="00A160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CDB931"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160D3">
              <w:rPr>
                <w:rFonts w:ascii="Arial" w:hAnsi="Arial" w:cs="Arial"/>
                <w:b/>
                <w:bCs/>
                <w:color w:val="000000"/>
                <w:sz w:val="18"/>
                <w:szCs w:val="18"/>
              </w:rPr>
              <w:t>Overall</w:t>
            </w:r>
          </w:p>
        </w:tc>
        <w:tc>
          <w:tcPr>
            <w:tcW w:w="1052" w:type="dxa"/>
            <w:tcBorders>
              <w:top w:val="single" w:sz="8" w:space="0" w:color="auto"/>
              <w:left w:val="nil"/>
              <w:bottom w:val="nil"/>
              <w:right w:val="nil"/>
            </w:tcBorders>
            <w:shd w:val="clear" w:color="auto" w:fill="auto"/>
            <w:noWrap/>
            <w:vAlign w:val="center"/>
            <w:hideMark/>
          </w:tcPr>
          <w:p w14:paraId="32464DB1"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0.02%</w:t>
            </w:r>
          </w:p>
        </w:tc>
        <w:tc>
          <w:tcPr>
            <w:tcW w:w="1169" w:type="dxa"/>
            <w:tcBorders>
              <w:top w:val="single" w:sz="8" w:space="0" w:color="auto"/>
              <w:left w:val="nil"/>
              <w:bottom w:val="nil"/>
              <w:right w:val="nil"/>
            </w:tcBorders>
            <w:shd w:val="clear" w:color="auto" w:fill="auto"/>
            <w:noWrap/>
            <w:vAlign w:val="center"/>
            <w:hideMark/>
          </w:tcPr>
          <w:p w14:paraId="4E1F3E51"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0.03%</w:t>
            </w:r>
          </w:p>
        </w:tc>
        <w:tc>
          <w:tcPr>
            <w:tcW w:w="1169" w:type="dxa"/>
            <w:tcBorders>
              <w:top w:val="single" w:sz="8" w:space="0" w:color="auto"/>
              <w:left w:val="nil"/>
              <w:bottom w:val="nil"/>
              <w:right w:val="single" w:sz="4" w:space="0" w:color="auto"/>
            </w:tcBorders>
            <w:shd w:val="clear" w:color="auto" w:fill="auto"/>
            <w:noWrap/>
            <w:vAlign w:val="center"/>
            <w:hideMark/>
          </w:tcPr>
          <w:p w14:paraId="1FA67A0D"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0.01%</w:t>
            </w:r>
          </w:p>
        </w:tc>
        <w:tc>
          <w:tcPr>
            <w:tcW w:w="955" w:type="dxa"/>
            <w:tcBorders>
              <w:top w:val="single" w:sz="8" w:space="0" w:color="auto"/>
              <w:left w:val="nil"/>
              <w:bottom w:val="nil"/>
              <w:right w:val="nil"/>
            </w:tcBorders>
            <w:shd w:val="clear" w:color="auto" w:fill="auto"/>
            <w:noWrap/>
            <w:vAlign w:val="center"/>
            <w:hideMark/>
          </w:tcPr>
          <w:p w14:paraId="50A50948"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c>
          <w:tcPr>
            <w:tcW w:w="955" w:type="dxa"/>
            <w:tcBorders>
              <w:top w:val="single" w:sz="8" w:space="0" w:color="auto"/>
              <w:left w:val="nil"/>
              <w:bottom w:val="nil"/>
              <w:right w:val="single" w:sz="8" w:space="0" w:color="auto"/>
            </w:tcBorders>
            <w:shd w:val="clear" w:color="auto" w:fill="auto"/>
            <w:noWrap/>
            <w:vAlign w:val="center"/>
            <w:hideMark/>
          </w:tcPr>
          <w:p w14:paraId="6661F0B6"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103%</w:t>
            </w:r>
          </w:p>
        </w:tc>
      </w:tr>
      <w:tr w:rsidR="00A160D3" w:rsidRPr="00A160D3" w14:paraId="1D3CEA0D" w14:textId="77777777" w:rsidTr="00A160D3">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4E5AD4"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D</w:t>
            </w:r>
          </w:p>
        </w:tc>
        <w:tc>
          <w:tcPr>
            <w:tcW w:w="1052" w:type="dxa"/>
            <w:tcBorders>
              <w:top w:val="single" w:sz="8" w:space="0" w:color="auto"/>
              <w:left w:val="nil"/>
              <w:bottom w:val="nil"/>
              <w:right w:val="nil"/>
            </w:tcBorders>
            <w:shd w:val="clear" w:color="auto" w:fill="auto"/>
            <w:noWrap/>
            <w:vAlign w:val="center"/>
            <w:hideMark/>
          </w:tcPr>
          <w:p w14:paraId="25FF4578"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0.03%</w:t>
            </w:r>
          </w:p>
        </w:tc>
        <w:tc>
          <w:tcPr>
            <w:tcW w:w="1169" w:type="dxa"/>
            <w:tcBorders>
              <w:top w:val="single" w:sz="8" w:space="0" w:color="auto"/>
              <w:left w:val="nil"/>
              <w:bottom w:val="nil"/>
              <w:right w:val="nil"/>
            </w:tcBorders>
            <w:shd w:val="clear" w:color="auto" w:fill="auto"/>
            <w:noWrap/>
            <w:vAlign w:val="center"/>
            <w:hideMark/>
          </w:tcPr>
          <w:p w14:paraId="4D18C6E3"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0.02%</w:t>
            </w:r>
          </w:p>
        </w:tc>
        <w:tc>
          <w:tcPr>
            <w:tcW w:w="1169" w:type="dxa"/>
            <w:tcBorders>
              <w:top w:val="single" w:sz="8" w:space="0" w:color="auto"/>
              <w:left w:val="nil"/>
              <w:bottom w:val="nil"/>
              <w:right w:val="single" w:sz="4" w:space="0" w:color="auto"/>
            </w:tcBorders>
            <w:shd w:val="clear" w:color="auto" w:fill="auto"/>
            <w:noWrap/>
            <w:vAlign w:val="center"/>
            <w:hideMark/>
          </w:tcPr>
          <w:p w14:paraId="4A92D871"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0.02%</w:t>
            </w:r>
          </w:p>
        </w:tc>
        <w:tc>
          <w:tcPr>
            <w:tcW w:w="955" w:type="dxa"/>
            <w:tcBorders>
              <w:top w:val="single" w:sz="8" w:space="0" w:color="auto"/>
              <w:left w:val="nil"/>
              <w:bottom w:val="nil"/>
              <w:right w:val="nil"/>
            </w:tcBorders>
            <w:shd w:val="clear" w:color="auto" w:fill="auto"/>
            <w:noWrap/>
            <w:vAlign w:val="center"/>
            <w:hideMark/>
          </w:tcPr>
          <w:p w14:paraId="7E86490E"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102%</w:t>
            </w:r>
          </w:p>
        </w:tc>
        <w:tc>
          <w:tcPr>
            <w:tcW w:w="955" w:type="dxa"/>
            <w:tcBorders>
              <w:top w:val="single" w:sz="8" w:space="0" w:color="auto"/>
              <w:left w:val="nil"/>
              <w:bottom w:val="nil"/>
              <w:right w:val="single" w:sz="8" w:space="0" w:color="auto"/>
            </w:tcBorders>
            <w:shd w:val="clear" w:color="auto" w:fill="auto"/>
            <w:noWrap/>
            <w:vAlign w:val="center"/>
            <w:hideMark/>
          </w:tcPr>
          <w:p w14:paraId="00AD8E68"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103%</w:t>
            </w:r>
          </w:p>
        </w:tc>
      </w:tr>
      <w:tr w:rsidR="00A160D3" w:rsidRPr="00A160D3" w14:paraId="4F8D1476" w14:textId="77777777" w:rsidTr="00A160D3">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EBA607"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Class F (optional)</w:t>
            </w:r>
          </w:p>
        </w:tc>
        <w:tc>
          <w:tcPr>
            <w:tcW w:w="1052" w:type="dxa"/>
            <w:tcBorders>
              <w:top w:val="nil"/>
              <w:left w:val="nil"/>
              <w:bottom w:val="single" w:sz="8" w:space="0" w:color="auto"/>
              <w:right w:val="nil"/>
            </w:tcBorders>
            <w:shd w:val="clear" w:color="auto" w:fill="auto"/>
            <w:noWrap/>
            <w:vAlign w:val="center"/>
            <w:hideMark/>
          </w:tcPr>
          <w:p w14:paraId="1F4D2D74"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0.00%</w:t>
            </w:r>
          </w:p>
        </w:tc>
        <w:tc>
          <w:tcPr>
            <w:tcW w:w="1169" w:type="dxa"/>
            <w:tcBorders>
              <w:top w:val="nil"/>
              <w:left w:val="nil"/>
              <w:bottom w:val="single" w:sz="8" w:space="0" w:color="auto"/>
              <w:right w:val="nil"/>
            </w:tcBorders>
            <w:shd w:val="clear" w:color="auto" w:fill="auto"/>
            <w:noWrap/>
            <w:vAlign w:val="center"/>
            <w:hideMark/>
          </w:tcPr>
          <w:p w14:paraId="6ED58145"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-0.01%</w:t>
            </w:r>
          </w:p>
        </w:tc>
        <w:tc>
          <w:tcPr>
            <w:tcW w:w="1169" w:type="dxa"/>
            <w:tcBorders>
              <w:top w:val="nil"/>
              <w:left w:val="nil"/>
              <w:bottom w:val="single" w:sz="8" w:space="0" w:color="auto"/>
              <w:right w:val="single" w:sz="4" w:space="0" w:color="auto"/>
            </w:tcBorders>
            <w:shd w:val="clear" w:color="auto" w:fill="auto"/>
            <w:noWrap/>
            <w:vAlign w:val="center"/>
            <w:hideMark/>
          </w:tcPr>
          <w:p w14:paraId="0FCD34DF"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-0.01%</w:t>
            </w:r>
          </w:p>
        </w:tc>
        <w:tc>
          <w:tcPr>
            <w:tcW w:w="955" w:type="dxa"/>
            <w:tcBorders>
              <w:top w:val="nil"/>
              <w:left w:val="nil"/>
              <w:bottom w:val="single" w:sz="8" w:space="0" w:color="auto"/>
              <w:right w:val="nil"/>
            </w:tcBorders>
            <w:shd w:val="clear" w:color="auto" w:fill="auto"/>
            <w:noWrap/>
            <w:vAlign w:val="center"/>
            <w:hideMark/>
          </w:tcPr>
          <w:p w14:paraId="4E720BC7"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101%</w:t>
            </w:r>
          </w:p>
        </w:tc>
        <w:tc>
          <w:tcPr>
            <w:tcW w:w="955" w:type="dxa"/>
            <w:tcBorders>
              <w:top w:val="nil"/>
              <w:left w:val="nil"/>
              <w:bottom w:val="single" w:sz="8" w:space="0" w:color="auto"/>
              <w:right w:val="single" w:sz="8" w:space="0" w:color="auto"/>
            </w:tcBorders>
            <w:shd w:val="clear" w:color="auto" w:fill="auto"/>
            <w:noWrap/>
            <w:vAlign w:val="center"/>
            <w:hideMark/>
          </w:tcPr>
          <w:p w14:paraId="083AB70D" w14:textId="77777777" w:rsidR="00A160D3" w:rsidRPr="00A160D3" w:rsidRDefault="00A160D3" w:rsidP="00A16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160D3">
              <w:rPr>
                <w:rFonts w:ascii="Arial" w:hAnsi="Arial" w:cs="Arial"/>
                <w:color w:val="000000"/>
                <w:sz w:val="18"/>
                <w:szCs w:val="18"/>
              </w:rPr>
              <w:t>106%</w:t>
            </w:r>
          </w:p>
        </w:tc>
      </w:tr>
    </w:tbl>
    <w:p w14:paraId="51CFF7F9" w14:textId="35019A25" w:rsidR="00D904CF" w:rsidRDefault="00D904CF" w:rsidP="00D904CF">
      <w:pPr>
        <w:jc w:val="center"/>
        <w:rPr>
          <w:lang w:val="en-CA"/>
        </w:rPr>
      </w:pPr>
      <w:r>
        <w:rPr>
          <w:lang w:val="en-CA"/>
        </w:rPr>
        <w:t>Table 3: Simulation results for d</w:t>
      </w:r>
      <w:r w:rsidRPr="00D904CF">
        <w:rPr>
          <w:lang w:val="en-CA"/>
        </w:rPr>
        <w:t>isabling BDOF sub-blocks along the VPDU edges</w:t>
      </w:r>
    </w:p>
    <w:p w14:paraId="242BC253" w14:textId="77777777" w:rsidR="00917A4D" w:rsidRDefault="00917A4D" w:rsidP="00D904CF">
      <w:pPr>
        <w:jc w:val="center"/>
        <w:rPr>
          <w:lang w:val="en-CA"/>
        </w:rPr>
      </w:pPr>
    </w:p>
    <w:p w14:paraId="24555566" w14:textId="133493E0" w:rsidR="00917A4D" w:rsidRDefault="00917A4D" w:rsidP="00917A4D">
      <w:pPr>
        <w:pStyle w:val="Heading2"/>
        <w:rPr>
          <w:lang w:val="en-CA"/>
        </w:rPr>
      </w:pPr>
      <w:r>
        <w:rPr>
          <w:lang w:val="en-CA"/>
        </w:rPr>
        <w:t>Disabling BDOF sub-blocks along the VPDU edges</w:t>
      </w:r>
      <w:r w:rsidR="00784839">
        <w:rPr>
          <w:lang w:val="en-CA"/>
        </w:rPr>
        <w:t xml:space="preserve"> – second alternative</w:t>
      </w:r>
    </w:p>
    <w:tbl>
      <w:tblPr>
        <w:tblW w:w="6940" w:type="dxa"/>
        <w:jc w:val="center"/>
        <w:tblLook w:val="04A0" w:firstRow="1" w:lastRow="0" w:firstColumn="1" w:lastColumn="0" w:noHBand="0" w:noVBand="1"/>
      </w:tblPr>
      <w:tblGrid>
        <w:gridCol w:w="1640"/>
        <w:gridCol w:w="1144"/>
        <w:gridCol w:w="1144"/>
        <w:gridCol w:w="1144"/>
        <w:gridCol w:w="934"/>
        <w:gridCol w:w="934"/>
      </w:tblGrid>
      <w:tr w:rsidR="00917A4D" w:rsidRPr="00917A4D" w14:paraId="61BD0D10" w14:textId="77777777" w:rsidTr="00917A4D">
        <w:trPr>
          <w:trHeight w:val="255"/>
          <w:jc w:val="center"/>
        </w:trPr>
        <w:tc>
          <w:tcPr>
            <w:tcW w:w="1640" w:type="dxa"/>
            <w:tcBorders>
              <w:top w:val="nil"/>
              <w:left w:val="nil"/>
              <w:bottom w:val="nil"/>
              <w:right w:val="nil"/>
            </w:tcBorders>
            <w:shd w:val="clear" w:color="auto" w:fill="auto"/>
            <w:noWrap/>
            <w:vAlign w:val="center"/>
            <w:hideMark/>
          </w:tcPr>
          <w:p w14:paraId="13B62DF5"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F0DDBFB"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17A4D">
              <w:rPr>
                <w:rFonts w:ascii="Arial" w:hAnsi="Arial" w:cs="Arial"/>
                <w:b/>
                <w:bCs/>
                <w:color w:val="000000"/>
                <w:sz w:val="18"/>
                <w:szCs w:val="18"/>
              </w:rPr>
              <w:t>Random Access Main 10</w:t>
            </w:r>
          </w:p>
        </w:tc>
      </w:tr>
      <w:tr w:rsidR="00917A4D" w:rsidRPr="00917A4D" w14:paraId="608A7CC7" w14:textId="77777777" w:rsidTr="00917A4D">
        <w:trPr>
          <w:trHeight w:val="255"/>
          <w:jc w:val="center"/>
        </w:trPr>
        <w:tc>
          <w:tcPr>
            <w:tcW w:w="1640" w:type="dxa"/>
            <w:tcBorders>
              <w:top w:val="nil"/>
              <w:left w:val="nil"/>
              <w:bottom w:val="nil"/>
              <w:right w:val="nil"/>
            </w:tcBorders>
            <w:shd w:val="clear" w:color="auto" w:fill="auto"/>
            <w:noWrap/>
            <w:vAlign w:val="center"/>
            <w:hideMark/>
          </w:tcPr>
          <w:p w14:paraId="2CAB19B2"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05974F"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17A4D">
              <w:rPr>
                <w:rFonts w:ascii="Arial" w:hAnsi="Arial" w:cs="Arial"/>
                <w:b/>
                <w:bCs/>
                <w:color w:val="000000"/>
                <w:sz w:val="18"/>
                <w:szCs w:val="18"/>
              </w:rPr>
              <w:t>Over VTM-3.0</w:t>
            </w:r>
          </w:p>
        </w:tc>
      </w:tr>
      <w:tr w:rsidR="00917A4D" w:rsidRPr="00917A4D" w14:paraId="224D23E0" w14:textId="77777777" w:rsidTr="00917A4D">
        <w:trPr>
          <w:trHeight w:val="255"/>
          <w:jc w:val="center"/>
        </w:trPr>
        <w:tc>
          <w:tcPr>
            <w:tcW w:w="1640" w:type="dxa"/>
            <w:tcBorders>
              <w:top w:val="nil"/>
              <w:left w:val="nil"/>
              <w:bottom w:val="nil"/>
              <w:right w:val="nil"/>
            </w:tcBorders>
            <w:shd w:val="clear" w:color="auto" w:fill="auto"/>
            <w:noWrap/>
            <w:vAlign w:val="center"/>
            <w:hideMark/>
          </w:tcPr>
          <w:p w14:paraId="3BE1B848"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5D6781C3"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6EA0D59"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C0F04A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32FF32"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A74EA4B"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DecT</w:t>
            </w:r>
          </w:p>
        </w:tc>
      </w:tr>
      <w:tr w:rsidR="00917A4D" w:rsidRPr="00917A4D" w14:paraId="3ED24B23" w14:textId="77777777" w:rsidTr="00917A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66200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CE80D67"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0.07%</w:t>
            </w:r>
          </w:p>
        </w:tc>
        <w:tc>
          <w:tcPr>
            <w:tcW w:w="1144" w:type="dxa"/>
            <w:tcBorders>
              <w:top w:val="nil"/>
              <w:left w:val="nil"/>
              <w:bottom w:val="nil"/>
              <w:right w:val="nil"/>
            </w:tcBorders>
            <w:shd w:val="clear" w:color="auto" w:fill="auto"/>
            <w:noWrap/>
            <w:vAlign w:val="center"/>
            <w:hideMark/>
          </w:tcPr>
          <w:p w14:paraId="4D57063A"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1E96C8C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19A1F8E7"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5D671A2"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103%</w:t>
            </w:r>
          </w:p>
        </w:tc>
      </w:tr>
      <w:tr w:rsidR="00917A4D" w:rsidRPr="00917A4D" w14:paraId="49D802B4" w14:textId="77777777" w:rsidTr="00917A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995E26"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ABDA8E1"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0.10%</w:t>
            </w:r>
          </w:p>
        </w:tc>
        <w:tc>
          <w:tcPr>
            <w:tcW w:w="1144" w:type="dxa"/>
            <w:tcBorders>
              <w:top w:val="nil"/>
              <w:left w:val="nil"/>
              <w:bottom w:val="nil"/>
              <w:right w:val="nil"/>
            </w:tcBorders>
            <w:shd w:val="clear" w:color="auto" w:fill="auto"/>
            <w:noWrap/>
            <w:vAlign w:val="center"/>
            <w:hideMark/>
          </w:tcPr>
          <w:p w14:paraId="490487BF"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0.08%</w:t>
            </w:r>
          </w:p>
        </w:tc>
        <w:tc>
          <w:tcPr>
            <w:tcW w:w="1144" w:type="dxa"/>
            <w:tcBorders>
              <w:top w:val="nil"/>
              <w:left w:val="nil"/>
              <w:bottom w:val="nil"/>
              <w:right w:val="single" w:sz="4" w:space="0" w:color="auto"/>
            </w:tcBorders>
            <w:shd w:val="clear" w:color="auto" w:fill="auto"/>
            <w:noWrap/>
            <w:vAlign w:val="center"/>
            <w:hideMark/>
          </w:tcPr>
          <w:p w14:paraId="4DD87337"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03C8F41A"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F494B3B"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104%</w:t>
            </w:r>
          </w:p>
        </w:tc>
      </w:tr>
      <w:tr w:rsidR="00917A4D" w:rsidRPr="00917A4D" w14:paraId="690A5361" w14:textId="77777777" w:rsidTr="00917A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EC9F49"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6A7A2F0"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7822AEEB"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659D767D"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64D782D5"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AC31506"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103%</w:t>
            </w:r>
          </w:p>
        </w:tc>
      </w:tr>
      <w:tr w:rsidR="00917A4D" w:rsidRPr="00917A4D" w14:paraId="1E15BDE3" w14:textId="77777777" w:rsidTr="00917A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2DA606"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0E4722B4"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5A0B03CB"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739D699F"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78E9E1A8"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F82F59F"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r>
      <w:tr w:rsidR="00917A4D" w:rsidRPr="00917A4D" w14:paraId="4A16D25A" w14:textId="77777777" w:rsidTr="00917A4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22813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DC4B77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1EBFDDFA"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1B36FB3"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1BD1027E"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3C5954CB"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 </w:t>
            </w:r>
          </w:p>
        </w:tc>
      </w:tr>
      <w:tr w:rsidR="00917A4D" w:rsidRPr="00917A4D" w14:paraId="152E08B7" w14:textId="77777777" w:rsidTr="00917A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890A208"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917A4D">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0FA4F6D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469F0341"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5D4CAA54"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612F50EC"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6F4069F7"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103%</w:t>
            </w:r>
          </w:p>
        </w:tc>
      </w:tr>
      <w:tr w:rsidR="00917A4D" w:rsidRPr="00917A4D" w14:paraId="7A9B953A" w14:textId="77777777" w:rsidTr="00917A4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211222F"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0659266A"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0.04%</w:t>
            </w:r>
          </w:p>
        </w:tc>
        <w:tc>
          <w:tcPr>
            <w:tcW w:w="1144" w:type="dxa"/>
            <w:tcBorders>
              <w:top w:val="single" w:sz="8" w:space="0" w:color="auto"/>
              <w:left w:val="nil"/>
              <w:bottom w:val="nil"/>
              <w:right w:val="nil"/>
            </w:tcBorders>
            <w:shd w:val="clear" w:color="auto" w:fill="auto"/>
            <w:noWrap/>
            <w:vAlign w:val="center"/>
            <w:hideMark/>
          </w:tcPr>
          <w:p w14:paraId="252372F9"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0.05%</w:t>
            </w:r>
          </w:p>
        </w:tc>
        <w:tc>
          <w:tcPr>
            <w:tcW w:w="1144" w:type="dxa"/>
            <w:tcBorders>
              <w:top w:val="single" w:sz="8" w:space="0" w:color="auto"/>
              <w:left w:val="nil"/>
              <w:bottom w:val="nil"/>
              <w:right w:val="single" w:sz="4" w:space="0" w:color="auto"/>
            </w:tcBorders>
            <w:shd w:val="clear" w:color="auto" w:fill="auto"/>
            <w:noWrap/>
            <w:vAlign w:val="center"/>
            <w:hideMark/>
          </w:tcPr>
          <w:p w14:paraId="5BFE725A"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4B75D3DE"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024DB814"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103%</w:t>
            </w:r>
          </w:p>
        </w:tc>
      </w:tr>
      <w:tr w:rsidR="00917A4D" w:rsidRPr="00917A4D" w14:paraId="5D1E4169" w14:textId="77777777" w:rsidTr="00917A4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DB8DA98"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77A6C1D2"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-0.01%</w:t>
            </w:r>
          </w:p>
        </w:tc>
        <w:tc>
          <w:tcPr>
            <w:tcW w:w="1144" w:type="dxa"/>
            <w:tcBorders>
              <w:top w:val="nil"/>
              <w:left w:val="nil"/>
              <w:bottom w:val="single" w:sz="8" w:space="0" w:color="auto"/>
              <w:right w:val="nil"/>
            </w:tcBorders>
            <w:shd w:val="clear" w:color="auto" w:fill="auto"/>
            <w:noWrap/>
            <w:vAlign w:val="center"/>
            <w:hideMark/>
          </w:tcPr>
          <w:p w14:paraId="536695DD"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19033CD"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-0.02%</w:t>
            </w:r>
          </w:p>
        </w:tc>
        <w:tc>
          <w:tcPr>
            <w:tcW w:w="934" w:type="dxa"/>
            <w:tcBorders>
              <w:top w:val="nil"/>
              <w:left w:val="nil"/>
              <w:bottom w:val="single" w:sz="8" w:space="0" w:color="auto"/>
              <w:right w:val="nil"/>
            </w:tcBorders>
            <w:shd w:val="clear" w:color="auto" w:fill="auto"/>
            <w:noWrap/>
            <w:vAlign w:val="center"/>
            <w:hideMark/>
          </w:tcPr>
          <w:p w14:paraId="34200442"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4B502813" w14:textId="77777777" w:rsidR="00917A4D" w:rsidRPr="00917A4D" w:rsidRDefault="00917A4D" w:rsidP="00917A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917A4D">
              <w:rPr>
                <w:rFonts w:ascii="Arial" w:hAnsi="Arial" w:cs="Arial"/>
                <w:color w:val="000000"/>
                <w:sz w:val="18"/>
                <w:szCs w:val="18"/>
              </w:rPr>
              <w:t>106%</w:t>
            </w:r>
          </w:p>
        </w:tc>
      </w:tr>
    </w:tbl>
    <w:p w14:paraId="110692F5" w14:textId="2DAC4A04" w:rsidR="00917A4D" w:rsidRDefault="00917A4D" w:rsidP="00917A4D">
      <w:pPr>
        <w:jc w:val="center"/>
        <w:rPr>
          <w:lang w:val="en-CA"/>
        </w:rPr>
      </w:pPr>
      <w:r>
        <w:rPr>
          <w:lang w:val="en-CA"/>
        </w:rPr>
        <w:t>Table 4: Simulation results for d</w:t>
      </w:r>
      <w:r w:rsidRPr="00D904CF">
        <w:rPr>
          <w:lang w:val="en-CA"/>
        </w:rPr>
        <w:t>isabling BDOF sub-blocks along the VPDU edges</w:t>
      </w:r>
      <w:r w:rsidR="00784839">
        <w:rPr>
          <w:lang w:val="en-CA"/>
        </w:rPr>
        <w:t xml:space="preserve"> – alternative 2</w:t>
      </w:r>
    </w:p>
    <w:p w14:paraId="30EF1A1E" w14:textId="77777777" w:rsidR="00917A4D" w:rsidRDefault="00917A4D" w:rsidP="00D904CF">
      <w:pPr>
        <w:jc w:val="center"/>
        <w:rPr>
          <w:lang w:val="en-CA"/>
        </w:rPr>
      </w:pPr>
    </w:p>
    <w:p w14:paraId="50618618" w14:textId="6544FCE1" w:rsidR="006C1244" w:rsidRDefault="006C1244" w:rsidP="006C1244">
      <w:pPr>
        <w:pStyle w:val="Heading1"/>
        <w:rPr>
          <w:lang w:val="en-CA"/>
        </w:rPr>
      </w:pPr>
      <w:r>
        <w:rPr>
          <w:lang w:val="en-CA"/>
        </w:rPr>
        <w:lastRenderedPageBreak/>
        <w:t>Conclusion</w:t>
      </w:r>
    </w:p>
    <w:p w14:paraId="1712A4D0" w14:textId="1631A23A" w:rsidR="00413560" w:rsidRPr="00413560" w:rsidRDefault="00B8068B" w:rsidP="00413560">
      <w:pPr>
        <w:rPr>
          <w:lang w:val="en-CA"/>
        </w:rPr>
      </w:pPr>
      <w:r>
        <w:rPr>
          <w:lang w:val="en-CA"/>
        </w:rPr>
        <w:t>4</w:t>
      </w:r>
      <w:r w:rsidR="006C1244">
        <w:rPr>
          <w:lang w:val="en-CA"/>
        </w:rPr>
        <w:t xml:space="preserve"> alternative methods are presented to enable 64x64 VPDU processing in the presence of BDOF. The results show negligible difference in BD-rate performance. It is recommended to adopt one of the solutions into next VVC draft.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4C03C19" w14:textId="77777777" w:rsidR="009E5A98" w:rsidRPr="005B217D" w:rsidRDefault="009E5A98" w:rsidP="009E5A98">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672F9" w14:textId="77777777" w:rsidR="00032384" w:rsidRDefault="00032384">
      <w:r>
        <w:separator/>
      </w:r>
    </w:p>
  </w:endnote>
  <w:endnote w:type="continuationSeparator" w:id="0">
    <w:p w14:paraId="5C683EA8" w14:textId="77777777" w:rsidR="00032384" w:rsidRDefault="000323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E73BEE">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73BEE">
      <w:rPr>
        <w:rStyle w:val="PageNumber"/>
        <w:noProof/>
      </w:rPr>
      <w:t>2019-01-01</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106AE8" w14:textId="77777777" w:rsidR="00032384" w:rsidRDefault="00032384">
      <w:r>
        <w:separator/>
      </w:r>
    </w:p>
  </w:footnote>
  <w:footnote w:type="continuationSeparator" w:id="0">
    <w:p w14:paraId="3102C1ED" w14:textId="77777777" w:rsidR="00032384" w:rsidRDefault="0003238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0"/>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2384"/>
    <w:rsid w:val="000407FE"/>
    <w:rsid w:val="000458BC"/>
    <w:rsid w:val="00045C41"/>
    <w:rsid w:val="00046C03"/>
    <w:rsid w:val="00062B16"/>
    <w:rsid w:val="00065039"/>
    <w:rsid w:val="000742CD"/>
    <w:rsid w:val="0007614F"/>
    <w:rsid w:val="00081398"/>
    <w:rsid w:val="00094479"/>
    <w:rsid w:val="000962AC"/>
    <w:rsid w:val="000A1554"/>
    <w:rsid w:val="000B0C0F"/>
    <w:rsid w:val="000B1C6B"/>
    <w:rsid w:val="000B4FF9"/>
    <w:rsid w:val="000B7A42"/>
    <w:rsid w:val="000C09AC"/>
    <w:rsid w:val="000E00F3"/>
    <w:rsid w:val="000F158C"/>
    <w:rsid w:val="00102F3D"/>
    <w:rsid w:val="00104435"/>
    <w:rsid w:val="00124E38"/>
    <w:rsid w:val="0012580B"/>
    <w:rsid w:val="00131F90"/>
    <w:rsid w:val="0013458C"/>
    <w:rsid w:val="00134BFD"/>
    <w:rsid w:val="0013526E"/>
    <w:rsid w:val="00146152"/>
    <w:rsid w:val="00154C73"/>
    <w:rsid w:val="00155526"/>
    <w:rsid w:val="00171371"/>
    <w:rsid w:val="00175A24"/>
    <w:rsid w:val="001848D7"/>
    <w:rsid w:val="00187E58"/>
    <w:rsid w:val="00193700"/>
    <w:rsid w:val="001A297E"/>
    <w:rsid w:val="001A368E"/>
    <w:rsid w:val="001A7329"/>
    <w:rsid w:val="001A792F"/>
    <w:rsid w:val="001B4E28"/>
    <w:rsid w:val="001B55CC"/>
    <w:rsid w:val="001C3525"/>
    <w:rsid w:val="001C3AFB"/>
    <w:rsid w:val="001D1BD2"/>
    <w:rsid w:val="001E0248"/>
    <w:rsid w:val="001E02BE"/>
    <w:rsid w:val="001E3B37"/>
    <w:rsid w:val="001F2594"/>
    <w:rsid w:val="002055A6"/>
    <w:rsid w:val="00206460"/>
    <w:rsid w:val="002069B4"/>
    <w:rsid w:val="0021081A"/>
    <w:rsid w:val="00215DFC"/>
    <w:rsid w:val="002212DF"/>
    <w:rsid w:val="00222CD4"/>
    <w:rsid w:val="00225016"/>
    <w:rsid w:val="002253CA"/>
    <w:rsid w:val="002264A6"/>
    <w:rsid w:val="00227BA7"/>
    <w:rsid w:val="0023011C"/>
    <w:rsid w:val="00231072"/>
    <w:rsid w:val="002375C1"/>
    <w:rsid w:val="00254226"/>
    <w:rsid w:val="00263398"/>
    <w:rsid w:val="00263B99"/>
    <w:rsid w:val="00266F06"/>
    <w:rsid w:val="00275BCF"/>
    <w:rsid w:val="00291E36"/>
    <w:rsid w:val="00292257"/>
    <w:rsid w:val="002A54E0"/>
    <w:rsid w:val="002B1595"/>
    <w:rsid w:val="002B191D"/>
    <w:rsid w:val="002B2E83"/>
    <w:rsid w:val="002B5962"/>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3D32"/>
    <w:rsid w:val="003A2D8E"/>
    <w:rsid w:val="003A7CE6"/>
    <w:rsid w:val="003C20E4"/>
    <w:rsid w:val="003D6342"/>
    <w:rsid w:val="003E6F90"/>
    <w:rsid w:val="003E73ED"/>
    <w:rsid w:val="003F2C71"/>
    <w:rsid w:val="003F5D0F"/>
    <w:rsid w:val="00413560"/>
    <w:rsid w:val="00414101"/>
    <w:rsid w:val="004219CF"/>
    <w:rsid w:val="004234F0"/>
    <w:rsid w:val="00433DDB"/>
    <w:rsid w:val="00435A29"/>
    <w:rsid w:val="00437619"/>
    <w:rsid w:val="0045216F"/>
    <w:rsid w:val="0046587B"/>
    <w:rsid w:val="00465A1E"/>
    <w:rsid w:val="0049264F"/>
    <w:rsid w:val="0049445A"/>
    <w:rsid w:val="004A2A63"/>
    <w:rsid w:val="004B210C"/>
    <w:rsid w:val="004D405F"/>
    <w:rsid w:val="004E4F4F"/>
    <w:rsid w:val="004E6789"/>
    <w:rsid w:val="004F61E3"/>
    <w:rsid w:val="00502E10"/>
    <w:rsid w:val="0051015C"/>
    <w:rsid w:val="00513298"/>
    <w:rsid w:val="00516CF1"/>
    <w:rsid w:val="00523E96"/>
    <w:rsid w:val="00531AE9"/>
    <w:rsid w:val="00550A66"/>
    <w:rsid w:val="00567EC7"/>
    <w:rsid w:val="00570013"/>
    <w:rsid w:val="005753EC"/>
    <w:rsid w:val="005801A2"/>
    <w:rsid w:val="005952A5"/>
    <w:rsid w:val="005A33A1"/>
    <w:rsid w:val="005B217D"/>
    <w:rsid w:val="005B231B"/>
    <w:rsid w:val="005B742B"/>
    <w:rsid w:val="005C385F"/>
    <w:rsid w:val="005E1AC6"/>
    <w:rsid w:val="005F6F1B"/>
    <w:rsid w:val="00615995"/>
    <w:rsid w:val="00616155"/>
    <w:rsid w:val="0061782A"/>
    <w:rsid w:val="00624B33"/>
    <w:rsid w:val="00625A78"/>
    <w:rsid w:val="0063041A"/>
    <w:rsid w:val="00630AA2"/>
    <w:rsid w:val="00645386"/>
    <w:rsid w:val="00646707"/>
    <w:rsid w:val="00657F7E"/>
    <w:rsid w:val="00662E58"/>
    <w:rsid w:val="006637F2"/>
    <w:rsid w:val="006642A5"/>
    <w:rsid w:val="00664DCF"/>
    <w:rsid w:val="00692A64"/>
    <w:rsid w:val="006C1244"/>
    <w:rsid w:val="006C5D39"/>
    <w:rsid w:val="006D6D9B"/>
    <w:rsid w:val="006E2810"/>
    <w:rsid w:val="006E5417"/>
    <w:rsid w:val="006F0794"/>
    <w:rsid w:val="006F6FC3"/>
    <w:rsid w:val="006F7528"/>
    <w:rsid w:val="007023DE"/>
    <w:rsid w:val="00712F60"/>
    <w:rsid w:val="00720E3B"/>
    <w:rsid w:val="0073523F"/>
    <w:rsid w:val="0074393F"/>
    <w:rsid w:val="00745F6B"/>
    <w:rsid w:val="0075585E"/>
    <w:rsid w:val="00770571"/>
    <w:rsid w:val="007768FF"/>
    <w:rsid w:val="007824D3"/>
    <w:rsid w:val="00784839"/>
    <w:rsid w:val="00796EE3"/>
    <w:rsid w:val="007A7D29"/>
    <w:rsid w:val="007B4AB8"/>
    <w:rsid w:val="007D1181"/>
    <w:rsid w:val="007E01A3"/>
    <w:rsid w:val="007E1B01"/>
    <w:rsid w:val="007F1F8B"/>
    <w:rsid w:val="007F67A1"/>
    <w:rsid w:val="00806027"/>
    <w:rsid w:val="008064C0"/>
    <w:rsid w:val="00811C05"/>
    <w:rsid w:val="008206C8"/>
    <w:rsid w:val="00837ED7"/>
    <w:rsid w:val="0086387C"/>
    <w:rsid w:val="00865EAB"/>
    <w:rsid w:val="00866942"/>
    <w:rsid w:val="00874A6C"/>
    <w:rsid w:val="00876C65"/>
    <w:rsid w:val="008A4B4C"/>
    <w:rsid w:val="008C239F"/>
    <w:rsid w:val="008E480C"/>
    <w:rsid w:val="00907757"/>
    <w:rsid w:val="00917A4D"/>
    <w:rsid w:val="009212B0"/>
    <w:rsid w:val="00921FA1"/>
    <w:rsid w:val="009234A5"/>
    <w:rsid w:val="00933453"/>
    <w:rsid w:val="009336F7"/>
    <w:rsid w:val="0093636C"/>
    <w:rsid w:val="009374A7"/>
    <w:rsid w:val="00946477"/>
    <w:rsid w:val="00955F6D"/>
    <w:rsid w:val="00977C16"/>
    <w:rsid w:val="0098551D"/>
    <w:rsid w:val="0099518F"/>
    <w:rsid w:val="009A523D"/>
    <w:rsid w:val="009B02A1"/>
    <w:rsid w:val="009B3361"/>
    <w:rsid w:val="009B613A"/>
    <w:rsid w:val="009D3F00"/>
    <w:rsid w:val="009D7CE6"/>
    <w:rsid w:val="009E5A98"/>
    <w:rsid w:val="009F496B"/>
    <w:rsid w:val="00A01439"/>
    <w:rsid w:val="00A02E61"/>
    <w:rsid w:val="00A05CFF"/>
    <w:rsid w:val="00A06547"/>
    <w:rsid w:val="00A13048"/>
    <w:rsid w:val="00A160D3"/>
    <w:rsid w:val="00A46843"/>
    <w:rsid w:val="00A56B97"/>
    <w:rsid w:val="00A6093D"/>
    <w:rsid w:val="00A767DC"/>
    <w:rsid w:val="00A76A6D"/>
    <w:rsid w:val="00A83253"/>
    <w:rsid w:val="00AA6E84"/>
    <w:rsid w:val="00AB1A1C"/>
    <w:rsid w:val="00AD05A8"/>
    <w:rsid w:val="00AE341B"/>
    <w:rsid w:val="00B01905"/>
    <w:rsid w:val="00B07CA7"/>
    <w:rsid w:val="00B1279A"/>
    <w:rsid w:val="00B27D38"/>
    <w:rsid w:val="00B4194A"/>
    <w:rsid w:val="00B437E8"/>
    <w:rsid w:val="00B5222E"/>
    <w:rsid w:val="00B53179"/>
    <w:rsid w:val="00B57222"/>
    <w:rsid w:val="00B57A23"/>
    <w:rsid w:val="00B600CD"/>
    <w:rsid w:val="00B61C96"/>
    <w:rsid w:val="00B73A2A"/>
    <w:rsid w:val="00B74603"/>
    <w:rsid w:val="00B75A51"/>
    <w:rsid w:val="00B8068B"/>
    <w:rsid w:val="00B827C6"/>
    <w:rsid w:val="00B94B06"/>
    <w:rsid w:val="00B94C28"/>
    <w:rsid w:val="00BA7FBF"/>
    <w:rsid w:val="00BC10BA"/>
    <w:rsid w:val="00BC5AFD"/>
    <w:rsid w:val="00C00DDE"/>
    <w:rsid w:val="00C04F43"/>
    <w:rsid w:val="00C0609D"/>
    <w:rsid w:val="00C115AB"/>
    <w:rsid w:val="00C26CCB"/>
    <w:rsid w:val="00C30249"/>
    <w:rsid w:val="00C3723B"/>
    <w:rsid w:val="00C42466"/>
    <w:rsid w:val="00C606C9"/>
    <w:rsid w:val="00C80288"/>
    <w:rsid w:val="00C84003"/>
    <w:rsid w:val="00C87BBE"/>
    <w:rsid w:val="00C90650"/>
    <w:rsid w:val="00C97D78"/>
    <w:rsid w:val="00CC2AAE"/>
    <w:rsid w:val="00CC5A42"/>
    <w:rsid w:val="00CD0EAB"/>
    <w:rsid w:val="00CE5E02"/>
    <w:rsid w:val="00CF34DB"/>
    <w:rsid w:val="00CF3917"/>
    <w:rsid w:val="00CF558F"/>
    <w:rsid w:val="00D010C0"/>
    <w:rsid w:val="00D073E2"/>
    <w:rsid w:val="00D11DE3"/>
    <w:rsid w:val="00D446EC"/>
    <w:rsid w:val="00D51BF0"/>
    <w:rsid w:val="00D531DB"/>
    <w:rsid w:val="00D55942"/>
    <w:rsid w:val="00D807BF"/>
    <w:rsid w:val="00D82959"/>
    <w:rsid w:val="00D82FCC"/>
    <w:rsid w:val="00D904CF"/>
    <w:rsid w:val="00DA17FC"/>
    <w:rsid w:val="00DA7887"/>
    <w:rsid w:val="00DB2C26"/>
    <w:rsid w:val="00DD02F4"/>
    <w:rsid w:val="00DD1F42"/>
    <w:rsid w:val="00DD6622"/>
    <w:rsid w:val="00DE1C7C"/>
    <w:rsid w:val="00DE4216"/>
    <w:rsid w:val="00DE6B43"/>
    <w:rsid w:val="00E11923"/>
    <w:rsid w:val="00E262D4"/>
    <w:rsid w:val="00E36250"/>
    <w:rsid w:val="00E3675B"/>
    <w:rsid w:val="00E47F2D"/>
    <w:rsid w:val="00E51A55"/>
    <w:rsid w:val="00E54511"/>
    <w:rsid w:val="00E61DAC"/>
    <w:rsid w:val="00E72B80"/>
    <w:rsid w:val="00E73BEE"/>
    <w:rsid w:val="00E75FE3"/>
    <w:rsid w:val="00E81A07"/>
    <w:rsid w:val="00E865AF"/>
    <w:rsid w:val="00E86C4C"/>
    <w:rsid w:val="00E907A3"/>
    <w:rsid w:val="00EA5AE0"/>
    <w:rsid w:val="00EB56E1"/>
    <w:rsid w:val="00EB7AB1"/>
    <w:rsid w:val="00ED5698"/>
    <w:rsid w:val="00EE7CD8"/>
    <w:rsid w:val="00EF37F6"/>
    <w:rsid w:val="00EF48CC"/>
    <w:rsid w:val="00F00801"/>
    <w:rsid w:val="00F2385C"/>
    <w:rsid w:val="00F23A8B"/>
    <w:rsid w:val="00F2488D"/>
    <w:rsid w:val="00F461C5"/>
    <w:rsid w:val="00F533D9"/>
    <w:rsid w:val="00F601A0"/>
    <w:rsid w:val="00F62D04"/>
    <w:rsid w:val="00F65C42"/>
    <w:rsid w:val="00F712E9"/>
    <w:rsid w:val="00F73032"/>
    <w:rsid w:val="00F81179"/>
    <w:rsid w:val="00F848FC"/>
    <w:rsid w:val="00F906F6"/>
    <w:rsid w:val="00F9282A"/>
    <w:rsid w:val="00F96BAD"/>
    <w:rsid w:val="00FA139D"/>
    <w:rsid w:val="00FA34C5"/>
    <w:rsid w:val="00FA60F5"/>
    <w:rsid w:val="00FB0E84"/>
    <w:rsid w:val="00FC2405"/>
    <w:rsid w:val="00FD01C2"/>
    <w:rsid w:val="00FD16D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367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335310113">
      <w:bodyDiv w:val="1"/>
      <w:marLeft w:val="0"/>
      <w:marRight w:val="0"/>
      <w:marTop w:val="0"/>
      <w:marBottom w:val="0"/>
      <w:divBdr>
        <w:top w:val="none" w:sz="0" w:space="0" w:color="auto"/>
        <w:left w:val="none" w:sz="0" w:space="0" w:color="auto"/>
        <w:bottom w:val="none" w:sz="0" w:space="0" w:color="auto"/>
        <w:right w:val="none" w:sz="0" w:space="0" w:color="auto"/>
      </w:divBdr>
    </w:div>
    <w:div w:id="562912743">
      <w:bodyDiv w:val="1"/>
      <w:marLeft w:val="0"/>
      <w:marRight w:val="0"/>
      <w:marTop w:val="0"/>
      <w:marBottom w:val="0"/>
      <w:divBdr>
        <w:top w:val="none" w:sz="0" w:space="0" w:color="auto"/>
        <w:left w:val="none" w:sz="0" w:space="0" w:color="auto"/>
        <w:bottom w:val="none" w:sz="0" w:space="0" w:color="auto"/>
        <w:right w:val="none" w:sz="0" w:space="0" w:color="auto"/>
      </w:divBdr>
    </w:div>
    <w:div w:id="937909478">
      <w:bodyDiv w:val="1"/>
      <w:marLeft w:val="0"/>
      <w:marRight w:val="0"/>
      <w:marTop w:val="0"/>
      <w:marBottom w:val="0"/>
      <w:divBdr>
        <w:top w:val="none" w:sz="0" w:space="0" w:color="auto"/>
        <w:left w:val="none" w:sz="0" w:space="0" w:color="auto"/>
        <w:bottom w:val="none" w:sz="0" w:space="0" w:color="auto"/>
        <w:right w:val="none" w:sz="0" w:space="0" w:color="auto"/>
      </w:divBdr>
    </w:div>
    <w:div w:id="1075401108">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210706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cid:image009.png@01D496E2.730798C0"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jianle.chen@huawei.com" TargetMode="External"/><Relationship Id="rId4" Type="http://schemas.openxmlformats.org/officeDocument/2006/relationships/webSettings" Target="webSettings.xml"/><Relationship Id="rId9" Type="http://schemas.openxmlformats.org/officeDocument/2006/relationships/hyperlink" Target="mailto:semih.esenlik@huawei.com" TargetMode="External"/><Relationship Id="rId14" Type="http://schemas.openxmlformats.org/officeDocument/2006/relationships/image" Target="cid:image008.png@01D496E2.730798C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1164</Words>
  <Characters>6641</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7790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68</cp:revision>
  <cp:lastPrinted>1900-01-01T08:00:00Z</cp:lastPrinted>
  <dcterms:created xsi:type="dcterms:W3CDTF">2018-08-09T13:44:00Z</dcterms:created>
  <dcterms:modified xsi:type="dcterms:W3CDTF">2019-01-02T12:42:00Z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1546432949</vt:lpwstr>
  </property>
</Properties>
</file>