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0D8F6E9" w:rsidR="00E61DAC" w:rsidRPr="005B217D" w:rsidRDefault="002172A8"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1454006B" w:rsidR="008A4B4C" w:rsidRPr="005B217D" w:rsidRDefault="00E61DAC" w:rsidP="002172A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172A8">
              <w:rPr>
                <w:lang w:val="en-CA"/>
              </w:rPr>
              <w:t>M</w:t>
            </w:r>
            <w:r w:rsidR="009729DA" w:rsidRPr="009729DA">
              <w:rPr>
                <w:lang w:val="en-CA"/>
              </w:rPr>
              <w:t>0237</w:t>
            </w:r>
            <w:r w:rsidR="002172A8">
              <w:rPr>
                <w:lang w:val="en-CA"/>
              </w:rPr>
              <w:t>-</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CD106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35EF1D" w:rsidR="00E61DAC" w:rsidRPr="005B217D" w:rsidRDefault="00DF2573" w:rsidP="000C6777">
            <w:pPr>
              <w:spacing w:before="60" w:after="60"/>
              <w:rPr>
                <w:b/>
                <w:szCs w:val="22"/>
                <w:lang w:val="en-CA"/>
              </w:rPr>
            </w:pPr>
            <w:r>
              <w:rPr>
                <w:b/>
                <w:szCs w:val="22"/>
                <w:lang w:val="en-CA"/>
              </w:rPr>
              <w:t>CE1</w:t>
            </w:r>
            <w:r w:rsidR="000C6777">
              <w:rPr>
                <w:b/>
                <w:szCs w:val="22"/>
                <w:lang w:val="en-CA"/>
              </w:rPr>
              <w:t>-related</w:t>
            </w:r>
            <w:r w:rsidR="002172A8">
              <w:rPr>
                <w:b/>
                <w:szCs w:val="22"/>
                <w:lang w:val="en-CA"/>
              </w:rPr>
              <w:t xml:space="preserve">: </w:t>
            </w:r>
            <w:r>
              <w:rPr>
                <w:b/>
                <w:szCs w:val="22"/>
                <w:lang w:val="en-CA"/>
              </w:rPr>
              <w:t xml:space="preserve">Transform tiling </w:t>
            </w:r>
            <w:r w:rsidR="000C6777">
              <w:rPr>
                <w:b/>
                <w:szCs w:val="22"/>
                <w:lang w:val="en-CA"/>
              </w:rPr>
              <w:t xml:space="preserve">with residual reordering </w:t>
            </w:r>
            <w:r>
              <w:rPr>
                <w:b/>
                <w:szCs w:val="22"/>
                <w:lang w:val="en-CA"/>
              </w:rPr>
              <w:t xml:space="preserve">for </w:t>
            </w:r>
            <w:r w:rsidR="000C6777">
              <w:rPr>
                <w:b/>
                <w:szCs w:val="22"/>
                <w:lang w:val="en-CA"/>
              </w:rPr>
              <w:t>pipelined processing of CTUs</w:t>
            </w:r>
          </w:p>
        </w:tc>
      </w:tr>
      <w:tr w:rsidR="00E61DAC" w:rsidRPr="005B217D" w14:paraId="3D8B01B2" w14:textId="77777777" w:rsidTr="00CD106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0757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D106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A30EF4" w:rsidR="00E61DAC" w:rsidRPr="005B217D" w:rsidRDefault="00DF2573" w:rsidP="00DF2573">
            <w:pPr>
              <w:spacing w:before="60" w:after="60"/>
              <w:rPr>
                <w:szCs w:val="22"/>
                <w:lang w:val="en-CA"/>
              </w:rPr>
            </w:pPr>
            <w:r>
              <w:rPr>
                <w:szCs w:val="22"/>
                <w:lang w:val="en-CA"/>
              </w:rPr>
              <w:t>Proposal</w:t>
            </w:r>
          </w:p>
        </w:tc>
      </w:tr>
      <w:tr w:rsidR="00E61DAC" w:rsidRPr="005B217D" w14:paraId="714CD808" w14:textId="77777777" w:rsidTr="00CD106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307F463D" w14:textId="77777777" w:rsidR="00DF2573" w:rsidRDefault="00DF2573" w:rsidP="00DF2573">
            <w:pPr>
              <w:spacing w:before="60" w:after="60"/>
              <w:rPr>
                <w:szCs w:val="22"/>
                <w:lang w:val="en-CA"/>
              </w:rPr>
            </w:pPr>
            <w:r>
              <w:rPr>
                <w:szCs w:val="22"/>
                <w:lang w:val="en-CA"/>
              </w:rPr>
              <w:t>C. Rosewarne,</w:t>
            </w:r>
          </w:p>
          <w:p w14:paraId="1DB66D5A" w14:textId="77777777" w:rsidR="00DF2573" w:rsidRDefault="00DF2573" w:rsidP="00DF2573">
            <w:pPr>
              <w:spacing w:before="60" w:after="60"/>
              <w:rPr>
                <w:szCs w:val="22"/>
                <w:lang w:val="en-CA"/>
              </w:rPr>
            </w:pPr>
            <w:r>
              <w:rPr>
                <w:szCs w:val="22"/>
                <w:lang w:val="en-CA"/>
              </w:rPr>
              <w:t>A. Dorrell,</w:t>
            </w:r>
          </w:p>
          <w:p w14:paraId="7A8DCB57" w14:textId="77777777" w:rsidR="00DF2573" w:rsidRDefault="00DF2573" w:rsidP="00DF2573">
            <w:pPr>
              <w:spacing w:before="60" w:after="60"/>
              <w:rPr>
                <w:szCs w:val="22"/>
                <w:lang w:val="en-CA"/>
              </w:rPr>
            </w:pPr>
            <w:r>
              <w:rPr>
                <w:szCs w:val="22"/>
                <w:lang w:val="en-CA"/>
              </w:rPr>
              <w:t>Building A, 5 Talavera Rd,</w:t>
            </w:r>
          </w:p>
          <w:p w14:paraId="49D81240" w14:textId="2CBECAE8" w:rsidR="00E61DAC" w:rsidRPr="005B217D" w:rsidRDefault="00DF2573" w:rsidP="00DF2573">
            <w:pPr>
              <w:spacing w:before="60" w:after="60"/>
              <w:rPr>
                <w:szCs w:val="22"/>
                <w:lang w:val="en-CA"/>
              </w:rPr>
            </w:pPr>
            <w:r>
              <w:rPr>
                <w:szCs w:val="22"/>
                <w:lang w:val="en-CA"/>
              </w:rPr>
              <w:t>Macquarie Park, 2113, NSW, Australia</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2E70182F" w14:textId="6F19087E" w:rsidR="00DF2573" w:rsidRDefault="00E61DAC" w:rsidP="005952A5">
            <w:pPr>
              <w:spacing w:before="60" w:after="60"/>
              <w:rPr>
                <w:szCs w:val="22"/>
                <w:lang w:val="en-CA"/>
              </w:rPr>
            </w:pPr>
            <w:r w:rsidRPr="005B217D">
              <w:rPr>
                <w:szCs w:val="22"/>
                <w:lang w:val="en-CA"/>
              </w:rPr>
              <w:br/>
            </w:r>
            <w:r w:rsidR="00DF2573">
              <w:rPr>
                <w:szCs w:val="22"/>
                <w:lang w:val="en-CA"/>
              </w:rPr>
              <w:t>+61 2 9805 2844</w:t>
            </w:r>
            <w:r w:rsidRPr="005B217D">
              <w:rPr>
                <w:szCs w:val="22"/>
                <w:lang w:val="en-CA"/>
              </w:rPr>
              <w:br/>
            </w:r>
            <w:hyperlink r:id="rId10" w:history="1">
              <w:r w:rsidR="00DF2573" w:rsidRPr="00EC41EB">
                <w:rPr>
                  <w:rStyle w:val="Hyperlink"/>
                  <w:szCs w:val="22"/>
                  <w:lang w:val="en-CA"/>
                </w:rPr>
                <w:t>chris.rosewarne@cisra.canon.com.au</w:t>
              </w:r>
            </w:hyperlink>
          </w:p>
          <w:p w14:paraId="32C2ABFD" w14:textId="2E67B6CC" w:rsidR="00DF2573" w:rsidRPr="005B217D" w:rsidRDefault="00A90204" w:rsidP="00DF2573">
            <w:pPr>
              <w:spacing w:before="60" w:after="60"/>
              <w:rPr>
                <w:szCs w:val="22"/>
                <w:lang w:val="en-CA"/>
              </w:rPr>
            </w:pPr>
            <w:hyperlink r:id="rId11" w:history="1">
              <w:r w:rsidR="00DF2573" w:rsidRPr="00EC41EB">
                <w:rPr>
                  <w:rStyle w:val="Hyperlink"/>
                  <w:szCs w:val="22"/>
                  <w:lang w:val="en-CA"/>
                </w:rPr>
                <w:t>andrew.dorrell@cisra.canon.com.au</w:t>
              </w:r>
            </w:hyperlink>
          </w:p>
        </w:tc>
      </w:tr>
      <w:tr w:rsidR="00E61DAC" w:rsidRPr="005B217D" w14:paraId="49AFAA61" w14:textId="77777777" w:rsidTr="00CD106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3D8FBD" w:rsidR="00E61DAC" w:rsidRPr="005B217D" w:rsidRDefault="00DF2573" w:rsidP="00DF2573">
            <w:pPr>
              <w:spacing w:before="60" w:after="60"/>
              <w:rPr>
                <w:szCs w:val="22"/>
                <w:lang w:val="en-CA"/>
              </w:rPr>
            </w:pPr>
            <w:r>
              <w:rPr>
                <w:szCs w:val="22"/>
                <w:lang w:val="en-CA"/>
              </w:rPr>
              <w:t>Canon Information Systems Research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C8F71B" w14:textId="57927213" w:rsidR="00DD3EFD" w:rsidRDefault="003E2986" w:rsidP="00C850D4">
      <w:pPr>
        <w:rPr>
          <w:lang w:val="en-CA"/>
        </w:rPr>
      </w:pPr>
      <w:r>
        <w:rPr>
          <w:lang w:val="en-CA"/>
        </w:rPr>
        <w:t xml:space="preserve">CE1 Test 1.2.1 tests a method of tiling TUs to enable pipeline implementation according to a 64x64 VPDU for stages after the entropy decoding. As residual coefficients of TUs </w:t>
      </w:r>
      <w:proofErr w:type="gramStart"/>
      <w:r>
        <w:rPr>
          <w:lang w:val="en-CA"/>
        </w:rPr>
        <w:t>are coded</w:t>
      </w:r>
      <w:proofErr w:type="gramEnd"/>
      <w:r>
        <w:rPr>
          <w:lang w:val="en-CA"/>
        </w:rPr>
        <w:t xml:space="preserve"> in CU order, buffering of residual coefficients belonging to later VPDUs is necessary in the entropy decoder. This contribution presents a method of </w:t>
      </w:r>
      <w:r w:rsidR="00293C29">
        <w:rPr>
          <w:lang w:val="en-CA"/>
        </w:rPr>
        <w:t xml:space="preserve">reordering residual coefficients of TUs such that they </w:t>
      </w:r>
      <w:proofErr w:type="gramStart"/>
      <w:r w:rsidR="00293C29">
        <w:rPr>
          <w:lang w:val="en-CA"/>
        </w:rPr>
        <w:t>are coded</w:t>
      </w:r>
      <w:proofErr w:type="gramEnd"/>
      <w:r w:rsidR="00293C29">
        <w:rPr>
          <w:lang w:val="en-CA"/>
        </w:rPr>
        <w:t xml:space="preserve"> in the bitstream in VPDU order. </w:t>
      </w:r>
      <w:r w:rsidR="009A5C87">
        <w:rPr>
          <w:lang w:val="en-CA"/>
        </w:rPr>
        <w:t xml:space="preserve">Coding results in RA are </w:t>
      </w:r>
      <w:r>
        <w:rPr>
          <w:lang w:val="en-CA"/>
        </w:rPr>
        <w:t>-0.12%, -0.14%, and -0.12% and LDB are -0.07%, -0.13%, and 0.01%</w:t>
      </w:r>
      <w:r w:rsidR="009A5C87">
        <w:rPr>
          <w:lang w:val="en-CA"/>
        </w:rPr>
        <w:t xml:space="preserve"> in Y, </w:t>
      </w:r>
      <w:proofErr w:type="spellStart"/>
      <w:r w:rsidR="009A5C87">
        <w:rPr>
          <w:lang w:val="en-CA"/>
        </w:rPr>
        <w:t>Cb</w:t>
      </w:r>
      <w:proofErr w:type="spellEnd"/>
      <w:r w:rsidR="009A5C87">
        <w:rPr>
          <w:lang w:val="en-CA"/>
        </w:rPr>
        <w:t>, and Cr channels, respectively.</w:t>
      </w:r>
    </w:p>
    <w:p w14:paraId="7D2AC1F0" w14:textId="26EE4272" w:rsidR="00745F6B" w:rsidRPr="005B217D" w:rsidRDefault="00FF66DB" w:rsidP="00E11923">
      <w:pPr>
        <w:pStyle w:val="Heading1"/>
        <w:rPr>
          <w:lang w:val="en-CA"/>
        </w:rPr>
      </w:pPr>
      <w:r>
        <w:rPr>
          <w:lang w:val="en-CA"/>
        </w:rPr>
        <w:t>Introduction</w:t>
      </w:r>
    </w:p>
    <w:p w14:paraId="49D98181" w14:textId="50E54AA7" w:rsidR="001A15B5" w:rsidRDefault="00293C29" w:rsidP="009234A5">
      <w:pPr>
        <w:rPr>
          <w:szCs w:val="22"/>
          <w:lang w:val="en-CA"/>
        </w:rPr>
      </w:pPr>
      <w:r>
        <w:rPr>
          <w:szCs w:val="22"/>
          <w:lang w:val="en-CA"/>
        </w:rPr>
        <w:t>The software of CE1</w:t>
      </w:r>
      <w:r w:rsidR="00305C31">
        <w:rPr>
          <w:szCs w:val="22"/>
          <w:lang w:val="en-CA"/>
        </w:rPr>
        <w:t xml:space="preserve"> </w:t>
      </w:r>
      <w:r w:rsidR="00305C31">
        <w:rPr>
          <w:szCs w:val="22"/>
          <w:lang w:val="en-CA"/>
        </w:rPr>
        <w:fldChar w:fldCharType="begin"/>
      </w:r>
      <w:r w:rsidR="00305C31">
        <w:rPr>
          <w:szCs w:val="22"/>
          <w:lang w:val="en-CA"/>
        </w:rPr>
        <w:instrText xml:space="preserve"> REF _Ref532987268 \r \h </w:instrText>
      </w:r>
      <w:r w:rsidR="00305C31">
        <w:rPr>
          <w:szCs w:val="22"/>
          <w:lang w:val="en-CA"/>
        </w:rPr>
      </w:r>
      <w:r w:rsidR="00305C31">
        <w:rPr>
          <w:szCs w:val="22"/>
          <w:lang w:val="en-CA"/>
        </w:rPr>
        <w:fldChar w:fldCharType="separate"/>
      </w:r>
      <w:r w:rsidR="00305C31">
        <w:rPr>
          <w:szCs w:val="22"/>
          <w:lang w:val="en-CA"/>
        </w:rPr>
        <w:t>[3]</w:t>
      </w:r>
      <w:r w:rsidR="00305C31">
        <w:rPr>
          <w:szCs w:val="22"/>
          <w:lang w:val="en-CA"/>
        </w:rPr>
        <w:fldChar w:fldCharType="end"/>
      </w:r>
      <w:r>
        <w:rPr>
          <w:szCs w:val="22"/>
          <w:lang w:val="en-CA"/>
        </w:rPr>
        <w:t xml:space="preserve"> test 1.2.1 implements a mechanism of splitting CUs that span a 64x64 VPDU boundary such that smaller TUs are used, with each TU being contained within one of the VPDUs of the CU. This enables processing downstream of the entropy decoder to operate in a pipelined manner.</w:t>
      </w:r>
    </w:p>
    <w:p w14:paraId="1D88D173" w14:textId="77777777" w:rsidR="00C13ED1" w:rsidRDefault="00C13ED1" w:rsidP="00C13ED1">
      <w:pPr>
        <w:pStyle w:val="Heading1"/>
        <w:rPr>
          <w:lang w:val="en-CA"/>
        </w:rPr>
      </w:pPr>
      <w:r>
        <w:rPr>
          <w:lang w:val="en-CA"/>
        </w:rPr>
        <w:t>Description of the proposed method</w:t>
      </w:r>
    </w:p>
    <w:p w14:paraId="17A8F23C" w14:textId="6CAAC506" w:rsidR="00305C31" w:rsidRDefault="00305C31" w:rsidP="00C13ED1">
      <w:pPr>
        <w:rPr>
          <w:szCs w:val="22"/>
          <w:lang w:val="en-CA"/>
        </w:rPr>
      </w:pPr>
      <w:r>
        <w:rPr>
          <w:szCs w:val="22"/>
          <w:lang w:val="en-CA"/>
        </w:rPr>
        <w:t xml:space="preserve">This contribution extends the method of </w:t>
      </w:r>
      <w:r w:rsidR="000F6D08">
        <w:rPr>
          <w:szCs w:val="22"/>
          <w:lang w:val="en-CA"/>
        </w:rPr>
        <w:t xml:space="preserve">CE1 </w:t>
      </w:r>
      <w:r>
        <w:rPr>
          <w:szCs w:val="22"/>
          <w:lang w:val="en-CA"/>
        </w:rPr>
        <w:t xml:space="preserve">Test 1.2.1. Firstly, processing in the entropy decoder </w:t>
      </w:r>
      <w:proofErr w:type="gramStart"/>
      <w:r>
        <w:rPr>
          <w:szCs w:val="22"/>
          <w:lang w:val="en-CA"/>
        </w:rPr>
        <w:t>is considered</w:t>
      </w:r>
      <w:proofErr w:type="gramEnd"/>
      <w:r>
        <w:rPr>
          <w:szCs w:val="22"/>
          <w:lang w:val="en-CA"/>
        </w:rPr>
        <w:t xml:space="preserve"> to progress from one VPDU to the next VPDU. Then, TUs of a CU For inter-coded CUs, TUs belonging to a later</w:t>
      </w:r>
    </w:p>
    <w:p w14:paraId="6E556E50" w14:textId="6D2A383F" w:rsidR="00305C31" w:rsidRDefault="00305C31" w:rsidP="00C13ED1">
      <w:pPr>
        <w:rPr>
          <w:szCs w:val="22"/>
          <w:lang w:val="en-CA"/>
        </w:rPr>
      </w:pPr>
      <w:r>
        <w:rPr>
          <w:szCs w:val="22"/>
          <w:lang w:val="en-CA"/>
        </w:rPr>
        <w:t xml:space="preserve">For example, a coding tree with a top-level vertical ternary split and the centre region further split with a horizontal ternary split results in TUs as shown in </w:t>
      </w:r>
      <w:r>
        <w:rPr>
          <w:szCs w:val="22"/>
          <w:lang w:val="en-CA"/>
        </w:rPr>
        <w:fldChar w:fldCharType="begin"/>
      </w:r>
      <w:r>
        <w:rPr>
          <w:szCs w:val="22"/>
          <w:lang w:val="en-CA"/>
        </w:rPr>
        <w:instrText xml:space="preserve"> REF _Ref533038665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w:t>
      </w:r>
    </w:p>
    <w:p w14:paraId="4C739367" w14:textId="5953C10B" w:rsidR="00305C31" w:rsidRDefault="00305C31" w:rsidP="00C13ED1">
      <w:r>
        <w:object w:dxaOrig="3481" w:dyaOrig="4580" w14:anchorId="34469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229pt" o:ole="">
            <v:imagedata r:id="rId12" o:title=""/>
          </v:shape>
          <o:OLEObject Type="Embed" ProgID="Visio.Drawing.15" ShapeID="_x0000_i1025" DrawAspect="Content" ObjectID="_1607956658" r:id="rId13"/>
        </w:object>
      </w:r>
    </w:p>
    <w:p w14:paraId="7D21B8DB" w14:textId="546D1531" w:rsidR="00305C31" w:rsidRDefault="00305C31" w:rsidP="00305C31">
      <w:pPr>
        <w:pStyle w:val="Caption"/>
      </w:pPr>
      <w:bookmarkStart w:id="0" w:name="_Ref533038665"/>
      <w:r>
        <w:t xml:space="preserve">Figure </w:t>
      </w:r>
      <w:r w:rsidR="00A90204">
        <w:rPr>
          <w:noProof/>
        </w:rPr>
        <w:fldChar w:fldCharType="begin"/>
      </w:r>
      <w:r w:rsidR="00A90204">
        <w:rPr>
          <w:noProof/>
        </w:rPr>
        <w:instrText xml:space="preserve"> SEQ Figure \* ARABIC </w:instrText>
      </w:r>
      <w:r w:rsidR="00A90204">
        <w:rPr>
          <w:noProof/>
        </w:rPr>
        <w:fldChar w:fldCharType="separate"/>
      </w:r>
      <w:r w:rsidR="009154C9">
        <w:rPr>
          <w:noProof/>
        </w:rPr>
        <w:t>1</w:t>
      </w:r>
      <w:r w:rsidR="00A90204">
        <w:rPr>
          <w:noProof/>
        </w:rPr>
        <w:fldChar w:fldCharType="end"/>
      </w:r>
      <w:bookmarkEnd w:id="0"/>
      <w:r>
        <w:t>. Example coding tree.</w:t>
      </w:r>
    </w:p>
    <w:p w14:paraId="3D862AA0" w14:textId="5CC69B99" w:rsidR="00305C31" w:rsidRDefault="00305C31" w:rsidP="00305C31">
      <w:r>
        <w:t xml:space="preserve">The coding tree of </w:t>
      </w:r>
      <w:r>
        <w:fldChar w:fldCharType="begin"/>
      </w:r>
      <w:r>
        <w:instrText xml:space="preserve"> REF _Ref533038665 \h </w:instrText>
      </w:r>
      <w:r>
        <w:fldChar w:fldCharType="separate"/>
      </w:r>
      <w:r>
        <w:t xml:space="preserve">Figure </w:t>
      </w:r>
      <w:r>
        <w:rPr>
          <w:noProof/>
        </w:rPr>
        <w:t>1</w:t>
      </w:r>
      <w:r>
        <w:fldChar w:fldCharType="end"/>
      </w:r>
      <w:r>
        <w:t xml:space="preserve"> results in a bitstream as shown in </w:t>
      </w:r>
      <w:r>
        <w:fldChar w:fldCharType="begin"/>
      </w:r>
      <w:r>
        <w:instrText xml:space="preserve"> REF _Ref533038795 \h </w:instrText>
      </w:r>
      <w:r>
        <w:fldChar w:fldCharType="separate"/>
      </w:r>
      <w:r>
        <w:t xml:space="preserve">Figure </w:t>
      </w:r>
      <w:r>
        <w:rPr>
          <w:noProof/>
        </w:rPr>
        <w:t>2</w:t>
      </w:r>
      <w:r>
        <w:fldChar w:fldCharType="end"/>
      </w:r>
      <w:r>
        <w:t>.</w:t>
      </w:r>
    </w:p>
    <w:p w14:paraId="3F9E285B" w14:textId="623BFD07" w:rsidR="00305C31" w:rsidRDefault="00305C31" w:rsidP="00305C31">
      <w:r>
        <w:object w:dxaOrig="10700" w:dyaOrig="6851" w14:anchorId="28558FA7">
          <v:shape id="_x0000_i1026" type="#_x0000_t75" style="width:467.5pt;height:299.5pt" o:ole="">
            <v:imagedata r:id="rId14" o:title=""/>
          </v:shape>
          <o:OLEObject Type="Embed" ProgID="Visio.Drawing.15" ShapeID="_x0000_i1026" DrawAspect="Content" ObjectID="_1607956659" r:id="rId15"/>
        </w:object>
      </w:r>
    </w:p>
    <w:p w14:paraId="3266EE7A" w14:textId="2665D7F5" w:rsidR="00305C31" w:rsidRDefault="00305C31" w:rsidP="00305C31">
      <w:pPr>
        <w:pStyle w:val="Caption"/>
      </w:pPr>
      <w:bookmarkStart w:id="1" w:name="_Ref533038795"/>
      <w:r>
        <w:t xml:space="preserve">Figure </w:t>
      </w:r>
      <w:r w:rsidR="00A90204">
        <w:rPr>
          <w:noProof/>
        </w:rPr>
        <w:fldChar w:fldCharType="begin"/>
      </w:r>
      <w:r w:rsidR="00A90204">
        <w:rPr>
          <w:noProof/>
        </w:rPr>
        <w:instrText xml:space="preserve"> SEQ Figure \* ARABIC </w:instrText>
      </w:r>
      <w:r w:rsidR="00A90204">
        <w:rPr>
          <w:noProof/>
        </w:rPr>
        <w:fldChar w:fldCharType="separate"/>
      </w:r>
      <w:r w:rsidR="009154C9">
        <w:rPr>
          <w:noProof/>
        </w:rPr>
        <w:t>2</w:t>
      </w:r>
      <w:r w:rsidR="00A90204">
        <w:rPr>
          <w:noProof/>
        </w:rPr>
        <w:fldChar w:fldCharType="end"/>
      </w:r>
      <w:bookmarkEnd w:id="1"/>
      <w:r>
        <w:t>. TU ordering in VTM-3.0.</w:t>
      </w:r>
    </w:p>
    <w:p w14:paraId="0F6C8D28" w14:textId="0FF595DD" w:rsidR="00305C31" w:rsidRDefault="00305C31" w:rsidP="00305C31">
      <w:r>
        <w:t xml:space="preserve">In the proposed method, for inter-predicted CUs, for a CU spanning multiple VPDUs, only the TUs in the ‘current’ VPDU, i.e. the one in which the CU is first </w:t>
      </w:r>
      <w:proofErr w:type="spellStart"/>
      <w:r>
        <w:t>signalled</w:t>
      </w:r>
      <w:proofErr w:type="spellEnd"/>
      <w:r>
        <w:t xml:space="preserve">, are sent with the </w:t>
      </w:r>
      <w:proofErr w:type="spellStart"/>
      <w:r w:rsidR="005758A4">
        <w:t>signalled</w:t>
      </w:r>
      <w:proofErr w:type="spellEnd"/>
      <w:r w:rsidR="005758A4">
        <w:t xml:space="preserve"> CU. Coding of TUs belonging to later VPDUs is delayed until the transition into the later VPDU. A transition from one VPDU to the next </w:t>
      </w:r>
      <w:proofErr w:type="gramStart"/>
      <w:r w:rsidR="005758A4">
        <w:t>is said</w:t>
      </w:r>
      <w:proofErr w:type="gramEnd"/>
      <w:r w:rsidR="005758A4">
        <w:t xml:space="preserve"> to occur once the entire VPDU is defined in terms of prediction mode. Due to the CU scan order, this occurs once the CU that overlaps the lower right sample of a VPDU </w:t>
      </w:r>
      <w:proofErr w:type="gramStart"/>
      <w:r w:rsidR="005758A4">
        <w:t xml:space="preserve">has been </w:t>
      </w:r>
      <w:proofErr w:type="spellStart"/>
      <w:r w:rsidR="005758A4">
        <w:t>signalled</w:t>
      </w:r>
      <w:proofErr w:type="spellEnd"/>
      <w:proofErr w:type="gramEnd"/>
      <w:r w:rsidR="005758A4">
        <w:t xml:space="preserve"> in the bitstream. The resulting TU order of the coding tree of </w:t>
      </w:r>
      <w:r w:rsidR="005758A4">
        <w:fldChar w:fldCharType="begin"/>
      </w:r>
      <w:r w:rsidR="005758A4">
        <w:instrText xml:space="preserve"> REF _Ref533038665 \h </w:instrText>
      </w:r>
      <w:r w:rsidR="005758A4">
        <w:fldChar w:fldCharType="separate"/>
      </w:r>
      <w:r w:rsidR="005758A4">
        <w:t xml:space="preserve">Figure </w:t>
      </w:r>
      <w:r w:rsidR="005758A4">
        <w:rPr>
          <w:noProof/>
        </w:rPr>
        <w:t>1</w:t>
      </w:r>
      <w:r w:rsidR="005758A4">
        <w:fldChar w:fldCharType="end"/>
      </w:r>
      <w:r w:rsidR="005758A4">
        <w:t xml:space="preserve"> </w:t>
      </w:r>
      <w:proofErr w:type="gramStart"/>
      <w:r w:rsidR="005758A4">
        <w:t>is shown</w:t>
      </w:r>
      <w:proofErr w:type="gramEnd"/>
      <w:r w:rsidR="005758A4">
        <w:t xml:space="preserve"> in </w:t>
      </w:r>
      <w:r w:rsidR="00155DF4">
        <w:fldChar w:fldCharType="begin"/>
      </w:r>
      <w:r w:rsidR="00155DF4">
        <w:instrText xml:space="preserve"> REF _Ref533039152 \h </w:instrText>
      </w:r>
      <w:r w:rsidR="00155DF4">
        <w:fldChar w:fldCharType="separate"/>
      </w:r>
      <w:r w:rsidR="00155DF4">
        <w:t xml:space="preserve">Figure </w:t>
      </w:r>
      <w:r w:rsidR="00155DF4">
        <w:rPr>
          <w:noProof/>
        </w:rPr>
        <w:t>3</w:t>
      </w:r>
      <w:r w:rsidR="00155DF4">
        <w:fldChar w:fldCharType="end"/>
      </w:r>
      <w:r w:rsidR="005758A4">
        <w:t>.</w:t>
      </w:r>
    </w:p>
    <w:p w14:paraId="5B82F874" w14:textId="1D89D736" w:rsidR="00155DF4" w:rsidRDefault="00155DF4" w:rsidP="00305C31">
      <w:r>
        <w:lastRenderedPageBreak/>
        <w:t xml:space="preserve">For inter-predicted CUs, this reordering </w:t>
      </w:r>
      <w:proofErr w:type="gramStart"/>
      <w:r>
        <w:t>may be applied</w:t>
      </w:r>
      <w:proofErr w:type="gramEnd"/>
      <w:r>
        <w:t xml:space="preserve"> as the CU can be processed in stages, delineated by VPDU boundaries. For intra-predicted CUs, this is not possible due to spatial dependencies within the frame.</w:t>
      </w:r>
    </w:p>
    <w:p w14:paraId="38FF7CB9" w14:textId="2CE3FC38" w:rsidR="005758A4" w:rsidRDefault="005758A4" w:rsidP="00305C31">
      <w:r>
        <w:object w:dxaOrig="12011" w:dyaOrig="8461" w14:anchorId="66877AD6">
          <v:shape id="_x0000_i1027" type="#_x0000_t75" style="width:468pt;height:329.5pt" o:ole="">
            <v:imagedata r:id="rId16" o:title=""/>
          </v:shape>
          <o:OLEObject Type="Embed" ProgID="Visio.Drawing.15" ShapeID="_x0000_i1027" DrawAspect="Content" ObjectID="_1607956660" r:id="rId17"/>
        </w:object>
      </w:r>
    </w:p>
    <w:p w14:paraId="48593359" w14:textId="0F265468" w:rsidR="00C13ED1" w:rsidRDefault="009154C9" w:rsidP="009154C9">
      <w:pPr>
        <w:pStyle w:val="Caption"/>
        <w:rPr>
          <w:lang w:val="en-CA"/>
        </w:rPr>
      </w:pPr>
      <w:bookmarkStart w:id="2" w:name="_Ref533039152"/>
      <w:r>
        <w:t xml:space="preserve">Figure </w:t>
      </w:r>
      <w:r w:rsidR="00A90204">
        <w:rPr>
          <w:noProof/>
        </w:rPr>
        <w:fldChar w:fldCharType="begin"/>
      </w:r>
      <w:r w:rsidR="00A90204">
        <w:rPr>
          <w:noProof/>
        </w:rPr>
        <w:instrText xml:space="preserve"> SEQ Figure \* ARABIC </w:instrText>
      </w:r>
      <w:r w:rsidR="00A90204">
        <w:rPr>
          <w:noProof/>
        </w:rPr>
        <w:fldChar w:fldCharType="separate"/>
      </w:r>
      <w:r>
        <w:rPr>
          <w:noProof/>
        </w:rPr>
        <w:t>3</w:t>
      </w:r>
      <w:r w:rsidR="00A90204">
        <w:rPr>
          <w:noProof/>
        </w:rPr>
        <w:fldChar w:fldCharType="end"/>
      </w:r>
      <w:bookmarkEnd w:id="2"/>
      <w:r>
        <w:t>. TU reordering.</w:t>
      </w:r>
    </w:p>
    <w:p w14:paraId="124F6565" w14:textId="0101D57A" w:rsidR="00C13ED1" w:rsidRDefault="00C13ED1" w:rsidP="00C13ED1">
      <w:pPr>
        <w:rPr>
          <w:lang w:val="en-CA"/>
        </w:rPr>
      </w:pPr>
      <w:bookmarkStart w:id="3" w:name="_GoBack"/>
      <w:bookmarkEnd w:id="3"/>
      <w:r>
        <w:rPr>
          <w:lang w:val="en-CA"/>
        </w:rPr>
        <w:t xml:space="preserve">Simulation results under the JVET common test conditions </w:t>
      </w:r>
      <w:r>
        <w:rPr>
          <w:lang w:val="en-CA"/>
        </w:rPr>
        <w:fldChar w:fldCharType="begin"/>
      </w:r>
      <w:r>
        <w:rPr>
          <w:lang w:val="en-CA"/>
        </w:rPr>
        <w:instrText xml:space="preserve"> REF _Ref525479252 \r \h </w:instrText>
      </w:r>
      <w:r>
        <w:rPr>
          <w:lang w:val="en-CA"/>
        </w:rPr>
      </w:r>
      <w:r>
        <w:rPr>
          <w:lang w:val="en-CA"/>
        </w:rPr>
        <w:fldChar w:fldCharType="separate"/>
      </w:r>
      <w:r w:rsidR="000F6D08">
        <w:rPr>
          <w:lang w:val="en-CA"/>
        </w:rPr>
        <w:t>[5]</w:t>
      </w:r>
      <w:r>
        <w:rPr>
          <w:lang w:val="en-CA"/>
        </w:rPr>
        <w:fldChar w:fldCharType="end"/>
      </w:r>
      <w:r>
        <w:rPr>
          <w:lang w:val="en-CA"/>
        </w:rPr>
        <w:t xml:space="preserve"> </w:t>
      </w:r>
      <w:proofErr w:type="gramStart"/>
      <w:r>
        <w:rPr>
          <w:lang w:val="en-CA"/>
        </w:rPr>
        <w:t>are presented</w:t>
      </w:r>
      <w:proofErr w:type="gramEnd"/>
      <w:r>
        <w:rPr>
          <w:lang w:val="en-CA"/>
        </w:rPr>
        <w:t xml:space="preserve"> in </w:t>
      </w:r>
      <w:r>
        <w:rPr>
          <w:lang w:val="en-CA"/>
        </w:rPr>
        <w:fldChar w:fldCharType="begin"/>
      </w:r>
      <w:r>
        <w:rPr>
          <w:lang w:val="en-CA"/>
        </w:rPr>
        <w:instrText xml:space="preserve"> REF _Ref525479358 \h </w:instrText>
      </w:r>
      <w:r>
        <w:rPr>
          <w:lang w:val="en-CA"/>
        </w:rPr>
      </w:r>
      <w:r>
        <w:rPr>
          <w:lang w:val="en-CA"/>
        </w:rPr>
        <w:fldChar w:fldCharType="separate"/>
      </w:r>
      <w:r w:rsidR="000F6D08">
        <w:t xml:space="preserve">Table </w:t>
      </w:r>
      <w:r w:rsidR="000F6D08">
        <w:rPr>
          <w:noProof/>
        </w:rPr>
        <w:t>1</w:t>
      </w:r>
      <w:r>
        <w:rPr>
          <w:lang w:val="en-CA"/>
        </w:rPr>
        <w:fldChar w:fldCharType="end"/>
      </w:r>
      <w:r>
        <w:rPr>
          <w:lang w:val="en-CA"/>
        </w:rPr>
        <w:t>.</w:t>
      </w:r>
    </w:p>
    <w:p w14:paraId="24859452" w14:textId="464BEC7A" w:rsidR="00C13ED1" w:rsidRDefault="00C13ED1" w:rsidP="00C13ED1">
      <w:pPr>
        <w:pStyle w:val="Caption"/>
      </w:pPr>
      <w:bookmarkStart w:id="4" w:name="_Ref525479358"/>
      <w:r>
        <w:t xml:space="preserve">Table </w:t>
      </w:r>
      <w:r w:rsidR="006F76D3">
        <w:rPr>
          <w:noProof/>
        </w:rPr>
        <w:fldChar w:fldCharType="begin"/>
      </w:r>
      <w:r w:rsidR="006F76D3">
        <w:rPr>
          <w:noProof/>
        </w:rPr>
        <w:instrText xml:space="preserve"> SEQ Table \* ARABIC </w:instrText>
      </w:r>
      <w:r w:rsidR="006F76D3">
        <w:rPr>
          <w:noProof/>
        </w:rPr>
        <w:fldChar w:fldCharType="separate"/>
      </w:r>
      <w:r w:rsidR="000F6D08">
        <w:rPr>
          <w:noProof/>
        </w:rPr>
        <w:t>1</w:t>
      </w:r>
      <w:r w:rsidR="006F76D3">
        <w:rPr>
          <w:noProof/>
        </w:rPr>
        <w:fldChar w:fldCharType="end"/>
      </w:r>
      <w:bookmarkEnd w:id="4"/>
      <w:r>
        <w:t xml:space="preserve">. TU tiling for enabling pipeline processing </w:t>
      </w:r>
      <w:r w:rsidR="00305C31">
        <w:t xml:space="preserve">with TU reordering </w:t>
      </w:r>
      <w:r>
        <w:t>results.</w:t>
      </w:r>
    </w:p>
    <w:tbl>
      <w:tblPr>
        <w:tblW w:w="6940" w:type="dxa"/>
        <w:tblLook w:val="04A0" w:firstRow="1" w:lastRow="0" w:firstColumn="1" w:lastColumn="0" w:noHBand="0" w:noVBand="1"/>
      </w:tblPr>
      <w:tblGrid>
        <w:gridCol w:w="1640"/>
        <w:gridCol w:w="1060"/>
        <w:gridCol w:w="1060"/>
        <w:gridCol w:w="2428"/>
        <w:gridCol w:w="1060"/>
        <w:gridCol w:w="1060"/>
      </w:tblGrid>
      <w:tr w:rsidR="003E2986" w:rsidRPr="003E2986" w14:paraId="036CED72" w14:textId="77777777" w:rsidTr="003E2986">
        <w:trPr>
          <w:trHeight w:val="255"/>
        </w:trPr>
        <w:tc>
          <w:tcPr>
            <w:tcW w:w="1640" w:type="dxa"/>
            <w:tcBorders>
              <w:top w:val="nil"/>
              <w:left w:val="nil"/>
              <w:bottom w:val="nil"/>
              <w:right w:val="nil"/>
            </w:tcBorders>
            <w:shd w:val="clear" w:color="auto" w:fill="auto"/>
            <w:noWrap/>
            <w:vAlign w:val="center"/>
            <w:hideMark/>
          </w:tcPr>
          <w:p w14:paraId="3BA2A0A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F97E6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728F8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3E2986">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F8252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1B6021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3E2986">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7BEE2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3E2986">
              <w:rPr>
                <w:rFonts w:ascii="Calibri" w:hAnsi="Calibri" w:cs="Calibri"/>
                <w:color w:val="000000"/>
                <w:sz w:val="24"/>
                <w:szCs w:val="24"/>
                <w:lang w:val="en-AU" w:eastAsia="ja-JP"/>
              </w:rPr>
              <w:t> </w:t>
            </w:r>
          </w:p>
        </w:tc>
      </w:tr>
      <w:tr w:rsidR="003E2986" w:rsidRPr="003E2986" w14:paraId="6F80F7F2" w14:textId="77777777" w:rsidTr="003E2986">
        <w:trPr>
          <w:trHeight w:val="255"/>
        </w:trPr>
        <w:tc>
          <w:tcPr>
            <w:tcW w:w="1640" w:type="dxa"/>
            <w:tcBorders>
              <w:top w:val="nil"/>
              <w:left w:val="nil"/>
              <w:bottom w:val="nil"/>
              <w:right w:val="nil"/>
            </w:tcBorders>
            <w:shd w:val="clear" w:color="auto" w:fill="auto"/>
            <w:noWrap/>
            <w:vAlign w:val="center"/>
            <w:hideMark/>
          </w:tcPr>
          <w:p w14:paraId="04DDF1A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518B5E5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6AAF19E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5A828FA2"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Over VTM-3.0_parallel_jvetl1010.tlist</w:t>
            </w:r>
          </w:p>
        </w:tc>
        <w:tc>
          <w:tcPr>
            <w:tcW w:w="1060" w:type="dxa"/>
            <w:tcBorders>
              <w:top w:val="nil"/>
              <w:left w:val="nil"/>
              <w:bottom w:val="nil"/>
              <w:right w:val="nil"/>
            </w:tcBorders>
            <w:shd w:val="clear" w:color="auto" w:fill="auto"/>
            <w:noWrap/>
            <w:vAlign w:val="center"/>
            <w:hideMark/>
          </w:tcPr>
          <w:p w14:paraId="5DCD215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2184677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r>
      <w:tr w:rsidR="003E2986" w:rsidRPr="003E2986" w14:paraId="545CEE70" w14:textId="77777777" w:rsidTr="003E2986">
        <w:trPr>
          <w:trHeight w:val="255"/>
        </w:trPr>
        <w:tc>
          <w:tcPr>
            <w:tcW w:w="1640" w:type="dxa"/>
            <w:tcBorders>
              <w:top w:val="nil"/>
              <w:left w:val="nil"/>
              <w:bottom w:val="nil"/>
              <w:right w:val="nil"/>
            </w:tcBorders>
            <w:shd w:val="clear" w:color="auto" w:fill="auto"/>
            <w:noWrap/>
            <w:vAlign w:val="center"/>
            <w:hideMark/>
          </w:tcPr>
          <w:p w14:paraId="41B4EAF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4A6B682"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Y</w:t>
            </w:r>
          </w:p>
        </w:tc>
        <w:tc>
          <w:tcPr>
            <w:tcW w:w="1060" w:type="dxa"/>
            <w:tcBorders>
              <w:top w:val="nil"/>
              <w:left w:val="nil"/>
              <w:bottom w:val="single" w:sz="8" w:space="0" w:color="auto"/>
              <w:right w:val="nil"/>
            </w:tcBorders>
            <w:shd w:val="clear" w:color="auto" w:fill="auto"/>
            <w:noWrap/>
            <w:vAlign w:val="center"/>
            <w:hideMark/>
          </w:tcPr>
          <w:p w14:paraId="1AB47C9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191C346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V</w:t>
            </w:r>
          </w:p>
        </w:tc>
        <w:tc>
          <w:tcPr>
            <w:tcW w:w="1060" w:type="dxa"/>
            <w:tcBorders>
              <w:top w:val="nil"/>
              <w:left w:val="nil"/>
              <w:bottom w:val="single" w:sz="8" w:space="0" w:color="auto"/>
              <w:right w:val="nil"/>
            </w:tcBorders>
            <w:shd w:val="clear" w:color="auto" w:fill="auto"/>
            <w:noWrap/>
            <w:vAlign w:val="center"/>
            <w:hideMark/>
          </w:tcPr>
          <w:p w14:paraId="6A13FA5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3E2986">
              <w:rPr>
                <w:rFonts w:ascii="Arial" w:hAnsi="Arial" w:cs="Arial"/>
                <w:color w:val="000000"/>
                <w:sz w:val="18"/>
                <w:szCs w:val="18"/>
                <w:lang w:val="en-AU"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B778CB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3E2986">
              <w:rPr>
                <w:rFonts w:ascii="Arial" w:hAnsi="Arial" w:cs="Arial"/>
                <w:color w:val="000000"/>
                <w:sz w:val="18"/>
                <w:szCs w:val="18"/>
                <w:lang w:val="en-AU" w:eastAsia="ja-JP"/>
              </w:rPr>
              <w:t>DecT</w:t>
            </w:r>
            <w:proofErr w:type="spellEnd"/>
          </w:p>
        </w:tc>
      </w:tr>
      <w:tr w:rsidR="003E2986" w:rsidRPr="003E2986" w14:paraId="52A5BF1A" w14:textId="77777777" w:rsidTr="003E29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428D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A1</w:t>
            </w:r>
          </w:p>
        </w:tc>
        <w:tc>
          <w:tcPr>
            <w:tcW w:w="1060" w:type="dxa"/>
            <w:tcBorders>
              <w:top w:val="nil"/>
              <w:left w:val="nil"/>
              <w:bottom w:val="nil"/>
              <w:right w:val="nil"/>
            </w:tcBorders>
            <w:shd w:val="clear" w:color="auto" w:fill="auto"/>
            <w:noWrap/>
            <w:vAlign w:val="center"/>
            <w:hideMark/>
          </w:tcPr>
          <w:p w14:paraId="4810688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3886A60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single" w:sz="4" w:space="0" w:color="auto"/>
            </w:tcBorders>
            <w:shd w:val="clear" w:color="auto" w:fill="auto"/>
            <w:noWrap/>
            <w:vAlign w:val="center"/>
            <w:hideMark/>
          </w:tcPr>
          <w:p w14:paraId="209C7A7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2E120C5B"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101%</w:t>
            </w:r>
          </w:p>
        </w:tc>
        <w:tc>
          <w:tcPr>
            <w:tcW w:w="1060" w:type="dxa"/>
            <w:tcBorders>
              <w:top w:val="nil"/>
              <w:left w:val="nil"/>
              <w:bottom w:val="nil"/>
              <w:right w:val="single" w:sz="8" w:space="0" w:color="auto"/>
            </w:tcBorders>
            <w:shd w:val="clear" w:color="auto" w:fill="auto"/>
            <w:noWrap/>
            <w:vAlign w:val="center"/>
            <w:hideMark/>
          </w:tcPr>
          <w:p w14:paraId="0570C79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98%</w:t>
            </w:r>
          </w:p>
        </w:tc>
      </w:tr>
      <w:tr w:rsidR="003E2986" w:rsidRPr="003E2986" w14:paraId="5727E1C6"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A11AB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A2</w:t>
            </w:r>
          </w:p>
        </w:tc>
        <w:tc>
          <w:tcPr>
            <w:tcW w:w="1060" w:type="dxa"/>
            <w:tcBorders>
              <w:top w:val="nil"/>
              <w:left w:val="nil"/>
              <w:bottom w:val="nil"/>
              <w:right w:val="nil"/>
            </w:tcBorders>
            <w:shd w:val="clear" w:color="auto" w:fill="auto"/>
            <w:noWrap/>
            <w:vAlign w:val="center"/>
            <w:hideMark/>
          </w:tcPr>
          <w:p w14:paraId="2E8AC94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1D57963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single" w:sz="4" w:space="0" w:color="auto"/>
            </w:tcBorders>
            <w:shd w:val="clear" w:color="auto" w:fill="auto"/>
            <w:noWrap/>
            <w:vAlign w:val="center"/>
            <w:hideMark/>
          </w:tcPr>
          <w:p w14:paraId="442B4A8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4BD7B30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2CFBE90A"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96%</w:t>
            </w:r>
          </w:p>
        </w:tc>
      </w:tr>
      <w:tr w:rsidR="003E2986" w:rsidRPr="003E2986" w14:paraId="28CBAEC9"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0D4B2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B</w:t>
            </w:r>
          </w:p>
        </w:tc>
        <w:tc>
          <w:tcPr>
            <w:tcW w:w="1060" w:type="dxa"/>
            <w:tcBorders>
              <w:top w:val="nil"/>
              <w:left w:val="nil"/>
              <w:bottom w:val="nil"/>
              <w:right w:val="nil"/>
            </w:tcBorders>
            <w:shd w:val="clear" w:color="auto" w:fill="auto"/>
            <w:noWrap/>
            <w:vAlign w:val="center"/>
            <w:hideMark/>
          </w:tcPr>
          <w:p w14:paraId="090942C2"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4352BE4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single" w:sz="4" w:space="0" w:color="auto"/>
            </w:tcBorders>
            <w:shd w:val="clear" w:color="auto" w:fill="auto"/>
            <w:noWrap/>
            <w:vAlign w:val="center"/>
            <w:hideMark/>
          </w:tcPr>
          <w:p w14:paraId="585B882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4A834DDB"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2A4EB6E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99%</w:t>
            </w:r>
          </w:p>
        </w:tc>
      </w:tr>
      <w:tr w:rsidR="003E2986" w:rsidRPr="003E2986" w14:paraId="674DF0A2"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FD19F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C</w:t>
            </w:r>
          </w:p>
        </w:tc>
        <w:tc>
          <w:tcPr>
            <w:tcW w:w="1060" w:type="dxa"/>
            <w:tcBorders>
              <w:top w:val="nil"/>
              <w:left w:val="nil"/>
              <w:bottom w:val="nil"/>
              <w:right w:val="nil"/>
            </w:tcBorders>
            <w:shd w:val="clear" w:color="auto" w:fill="auto"/>
            <w:noWrap/>
            <w:vAlign w:val="center"/>
            <w:hideMark/>
          </w:tcPr>
          <w:p w14:paraId="10D983A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039D5C1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single" w:sz="4" w:space="0" w:color="auto"/>
            </w:tcBorders>
            <w:shd w:val="clear" w:color="auto" w:fill="auto"/>
            <w:noWrap/>
            <w:vAlign w:val="center"/>
            <w:hideMark/>
          </w:tcPr>
          <w:p w14:paraId="46E39D5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25175C5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0C3EFBC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104%</w:t>
            </w:r>
          </w:p>
        </w:tc>
      </w:tr>
      <w:tr w:rsidR="003E2986" w:rsidRPr="003E2986" w14:paraId="03858221"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1573E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E</w:t>
            </w:r>
          </w:p>
        </w:tc>
        <w:tc>
          <w:tcPr>
            <w:tcW w:w="1060" w:type="dxa"/>
            <w:tcBorders>
              <w:top w:val="nil"/>
              <w:left w:val="nil"/>
              <w:bottom w:val="nil"/>
              <w:right w:val="nil"/>
            </w:tcBorders>
            <w:shd w:val="clear" w:color="auto" w:fill="auto"/>
            <w:noWrap/>
            <w:vAlign w:val="center"/>
            <w:hideMark/>
          </w:tcPr>
          <w:p w14:paraId="360C6B3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1578FD7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single" w:sz="4" w:space="0" w:color="auto"/>
            </w:tcBorders>
            <w:shd w:val="clear" w:color="auto" w:fill="auto"/>
            <w:noWrap/>
            <w:vAlign w:val="center"/>
            <w:hideMark/>
          </w:tcPr>
          <w:p w14:paraId="5DA0565B"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6B1DCDA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71667AE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99%</w:t>
            </w:r>
          </w:p>
        </w:tc>
      </w:tr>
      <w:tr w:rsidR="003E2986" w:rsidRPr="003E2986" w14:paraId="0CB79624" w14:textId="77777777" w:rsidTr="003E29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DE4D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2A1A09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single" w:sz="8" w:space="0" w:color="auto"/>
              <w:left w:val="nil"/>
              <w:bottom w:val="nil"/>
              <w:right w:val="nil"/>
            </w:tcBorders>
            <w:shd w:val="clear" w:color="auto" w:fill="auto"/>
            <w:noWrap/>
            <w:vAlign w:val="center"/>
            <w:hideMark/>
          </w:tcPr>
          <w:p w14:paraId="6D9AA46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0A31F8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single" w:sz="8" w:space="0" w:color="auto"/>
              <w:left w:val="nil"/>
              <w:bottom w:val="nil"/>
              <w:right w:val="nil"/>
            </w:tcBorders>
            <w:shd w:val="clear" w:color="auto" w:fill="auto"/>
            <w:noWrap/>
            <w:vAlign w:val="center"/>
            <w:hideMark/>
          </w:tcPr>
          <w:p w14:paraId="6CFD326A"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8840B7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100%</w:t>
            </w:r>
          </w:p>
        </w:tc>
      </w:tr>
      <w:tr w:rsidR="003E2986" w:rsidRPr="003E2986" w14:paraId="67AB4189" w14:textId="77777777" w:rsidTr="003E298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079D5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12D2B7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single" w:sz="8" w:space="0" w:color="auto"/>
              <w:left w:val="nil"/>
              <w:bottom w:val="nil"/>
              <w:right w:val="nil"/>
            </w:tcBorders>
            <w:shd w:val="clear" w:color="auto" w:fill="auto"/>
            <w:noWrap/>
            <w:vAlign w:val="center"/>
            <w:hideMark/>
          </w:tcPr>
          <w:p w14:paraId="0CEA3C7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11F7EB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single" w:sz="8" w:space="0" w:color="auto"/>
              <w:left w:val="nil"/>
              <w:bottom w:val="nil"/>
              <w:right w:val="nil"/>
            </w:tcBorders>
            <w:shd w:val="clear" w:color="auto" w:fill="auto"/>
            <w:noWrap/>
            <w:vAlign w:val="center"/>
            <w:hideMark/>
          </w:tcPr>
          <w:p w14:paraId="004C531A"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B1CB72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102%</w:t>
            </w:r>
          </w:p>
        </w:tc>
      </w:tr>
      <w:tr w:rsidR="003E2986" w:rsidRPr="003E2986" w14:paraId="4AF327F0" w14:textId="77777777" w:rsidTr="003E298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FFE225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783EA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single" w:sz="8" w:space="0" w:color="auto"/>
              <w:right w:val="nil"/>
            </w:tcBorders>
            <w:shd w:val="clear" w:color="auto" w:fill="auto"/>
            <w:noWrap/>
            <w:vAlign w:val="center"/>
            <w:hideMark/>
          </w:tcPr>
          <w:p w14:paraId="77080E0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0B0E93A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single" w:sz="8" w:space="0" w:color="auto"/>
              <w:right w:val="nil"/>
            </w:tcBorders>
            <w:shd w:val="clear" w:color="auto" w:fill="auto"/>
            <w:noWrap/>
            <w:vAlign w:val="center"/>
            <w:hideMark/>
          </w:tcPr>
          <w:p w14:paraId="4942822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787AC8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98%</w:t>
            </w:r>
          </w:p>
        </w:tc>
      </w:tr>
      <w:tr w:rsidR="003E2986" w:rsidRPr="003E2986" w14:paraId="1F9E6A4B" w14:textId="77777777" w:rsidTr="003E2986">
        <w:trPr>
          <w:trHeight w:val="255"/>
        </w:trPr>
        <w:tc>
          <w:tcPr>
            <w:tcW w:w="1640" w:type="dxa"/>
            <w:tcBorders>
              <w:top w:val="nil"/>
              <w:left w:val="nil"/>
              <w:bottom w:val="nil"/>
              <w:right w:val="nil"/>
            </w:tcBorders>
            <w:shd w:val="clear" w:color="auto" w:fill="auto"/>
            <w:noWrap/>
            <w:vAlign w:val="center"/>
            <w:hideMark/>
          </w:tcPr>
          <w:p w14:paraId="6D4FFB0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hideMark/>
          </w:tcPr>
          <w:p w14:paraId="305F0BE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center"/>
            <w:hideMark/>
          </w:tcPr>
          <w:p w14:paraId="495838D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center"/>
            <w:hideMark/>
          </w:tcPr>
          <w:p w14:paraId="588A6CF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center"/>
            <w:hideMark/>
          </w:tcPr>
          <w:p w14:paraId="51835B8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center"/>
            <w:hideMark/>
          </w:tcPr>
          <w:p w14:paraId="375A55E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r>
      <w:tr w:rsidR="003E2986" w:rsidRPr="003E2986" w14:paraId="4CEBCD37" w14:textId="77777777" w:rsidTr="003E2986">
        <w:trPr>
          <w:trHeight w:val="255"/>
        </w:trPr>
        <w:tc>
          <w:tcPr>
            <w:tcW w:w="1640" w:type="dxa"/>
            <w:tcBorders>
              <w:top w:val="nil"/>
              <w:left w:val="nil"/>
              <w:bottom w:val="nil"/>
              <w:right w:val="nil"/>
            </w:tcBorders>
            <w:shd w:val="clear" w:color="auto" w:fill="auto"/>
            <w:noWrap/>
            <w:vAlign w:val="center"/>
            <w:hideMark/>
          </w:tcPr>
          <w:p w14:paraId="1B607DE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CA419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43D6D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3E2986">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95AF6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F77C0CA"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3E2986">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2BD73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3E2986">
              <w:rPr>
                <w:rFonts w:ascii="Calibri" w:hAnsi="Calibri" w:cs="Calibri"/>
                <w:color w:val="000000"/>
                <w:sz w:val="24"/>
                <w:szCs w:val="24"/>
                <w:lang w:val="en-AU" w:eastAsia="ja-JP"/>
              </w:rPr>
              <w:t> </w:t>
            </w:r>
          </w:p>
        </w:tc>
      </w:tr>
      <w:tr w:rsidR="003E2986" w:rsidRPr="003E2986" w14:paraId="00F732E9" w14:textId="77777777" w:rsidTr="003E2986">
        <w:trPr>
          <w:trHeight w:val="255"/>
        </w:trPr>
        <w:tc>
          <w:tcPr>
            <w:tcW w:w="1640" w:type="dxa"/>
            <w:tcBorders>
              <w:top w:val="nil"/>
              <w:left w:val="nil"/>
              <w:bottom w:val="nil"/>
              <w:right w:val="nil"/>
            </w:tcBorders>
            <w:shd w:val="clear" w:color="auto" w:fill="auto"/>
            <w:noWrap/>
            <w:vAlign w:val="center"/>
            <w:hideMark/>
          </w:tcPr>
          <w:p w14:paraId="0D2CA35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04829A0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215B76C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4CE781C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Over VTM-3.0_parallel_jvetl1010.tlist</w:t>
            </w:r>
          </w:p>
        </w:tc>
        <w:tc>
          <w:tcPr>
            <w:tcW w:w="1060" w:type="dxa"/>
            <w:tcBorders>
              <w:top w:val="nil"/>
              <w:left w:val="nil"/>
              <w:bottom w:val="nil"/>
              <w:right w:val="nil"/>
            </w:tcBorders>
            <w:shd w:val="clear" w:color="auto" w:fill="auto"/>
            <w:noWrap/>
            <w:vAlign w:val="center"/>
            <w:hideMark/>
          </w:tcPr>
          <w:p w14:paraId="686AD44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655ECD4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r>
      <w:tr w:rsidR="003E2986" w:rsidRPr="003E2986" w14:paraId="7BFD97AE" w14:textId="77777777" w:rsidTr="003E2986">
        <w:trPr>
          <w:trHeight w:val="255"/>
        </w:trPr>
        <w:tc>
          <w:tcPr>
            <w:tcW w:w="1640" w:type="dxa"/>
            <w:tcBorders>
              <w:top w:val="nil"/>
              <w:left w:val="nil"/>
              <w:bottom w:val="nil"/>
              <w:right w:val="nil"/>
            </w:tcBorders>
            <w:shd w:val="clear" w:color="auto" w:fill="auto"/>
            <w:noWrap/>
            <w:vAlign w:val="center"/>
            <w:hideMark/>
          </w:tcPr>
          <w:p w14:paraId="2668B4A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9E6C09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Y</w:t>
            </w:r>
          </w:p>
        </w:tc>
        <w:tc>
          <w:tcPr>
            <w:tcW w:w="1060" w:type="dxa"/>
            <w:tcBorders>
              <w:top w:val="nil"/>
              <w:left w:val="nil"/>
              <w:bottom w:val="single" w:sz="8" w:space="0" w:color="auto"/>
              <w:right w:val="nil"/>
            </w:tcBorders>
            <w:shd w:val="clear" w:color="auto" w:fill="auto"/>
            <w:noWrap/>
            <w:vAlign w:val="center"/>
            <w:hideMark/>
          </w:tcPr>
          <w:p w14:paraId="4476102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5623A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V</w:t>
            </w:r>
          </w:p>
        </w:tc>
        <w:tc>
          <w:tcPr>
            <w:tcW w:w="1060" w:type="dxa"/>
            <w:tcBorders>
              <w:top w:val="nil"/>
              <w:left w:val="nil"/>
              <w:bottom w:val="single" w:sz="8" w:space="0" w:color="auto"/>
              <w:right w:val="nil"/>
            </w:tcBorders>
            <w:shd w:val="clear" w:color="auto" w:fill="auto"/>
            <w:noWrap/>
            <w:vAlign w:val="center"/>
            <w:hideMark/>
          </w:tcPr>
          <w:p w14:paraId="03A1EB4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3E2986">
              <w:rPr>
                <w:rFonts w:ascii="Arial" w:hAnsi="Arial" w:cs="Arial"/>
                <w:color w:val="000000"/>
                <w:sz w:val="18"/>
                <w:szCs w:val="18"/>
                <w:lang w:val="en-AU"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5CAB13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3E2986">
              <w:rPr>
                <w:rFonts w:ascii="Arial" w:hAnsi="Arial" w:cs="Arial"/>
                <w:color w:val="000000"/>
                <w:sz w:val="18"/>
                <w:szCs w:val="18"/>
                <w:lang w:val="en-AU" w:eastAsia="ja-JP"/>
              </w:rPr>
              <w:t>DecT</w:t>
            </w:r>
            <w:proofErr w:type="spellEnd"/>
          </w:p>
        </w:tc>
      </w:tr>
      <w:tr w:rsidR="003E2986" w:rsidRPr="003E2986" w14:paraId="7CAB0E32" w14:textId="77777777" w:rsidTr="003E29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B0DC4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A1</w:t>
            </w:r>
          </w:p>
        </w:tc>
        <w:tc>
          <w:tcPr>
            <w:tcW w:w="1060" w:type="dxa"/>
            <w:tcBorders>
              <w:top w:val="nil"/>
              <w:left w:val="nil"/>
              <w:bottom w:val="nil"/>
              <w:right w:val="nil"/>
            </w:tcBorders>
            <w:shd w:val="clear" w:color="auto" w:fill="auto"/>
            <w:noWrap/>
            <w:vAlign w:val="center"/>
            <w:hideMark/>
          </w:tcPr>
          <w:p w14:paraId="7DFF898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-0.21%</w:t>
            </w:r>
          </w:p>
        </w:tc>
        <w:tc>
          <w:tcPr>
            <w:tcW w:w="1060" w:type="dxa"/>
            <w:tcBorders>
              <w:top w:val="nil"/>
              <w:left w:val="nil"/>
              <w:bottom w:val="nil"/>
              <w:right w:val="nil"/>
            </w:tcBorders>
            <w:shd w:val="clear" w:color="auto" w:fill="auto"/>
            <w:noWrap/>
            <w:vAlign w:val="center"/>
            <w:hideMark/>
          </w:tcPr>
          <w:p w14:paraId="4F4CC66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-0.33%</w:t>
            </w:r>
          </w:p>
        </w:tc>
        <w:tc>
          <w:tcPr>
            <w:tcW w:w="1060" w:type="dxa"/>
            <w:tcBorders>
              <w:top w:val="nil"/>
              <w:left w:val="nil"/>
              <w:bottom w:val="nil"/>
              <w:right w:val="single" w:sz="4" w:space="0" w:color="auto"/>
            </w:tcBorders>
            <w:shd w:val="clear" w:color="auto" w:fill="auto"/>
            <w:noWrap/>
            <w:vAlign w:val="center"/>
            <w:hideMark/>
          </w:tcPr>
          <w:p w14:paraId="4F654C7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-0.20%</w:t>
            </w:r>
          </w:p>
        </w:tc>
        <w:tc>
          <w:tcPr>
            <w:tcW w:w="1060" w:type="dxa"/>
            <w:tcBorders>
              <w:top w:val="nil"/>
              <w:left w:val="nil"/>
              <w:bottom w:val="nil"/>
              <w:right w:val="nil"/>
            </w:tcBorders>
            <w:shd w:val="clear" w:color="auto" w:fill="auto"/>
            <w:noWrap/>
            <w:vAlign w:val="center"/>
            <w:hideMark/>
          </w:tcPr>
          <w:p w14:paraId="7C34522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105%</w:t>
            </w:r>
          </w:p>
        </w:tc>
        <w:tc>
          <w:tcPr>
            <w:tcW w:w="1060" w:type="dxa"/>
            <w:tcBorders>
              <w:top w:val="nil"/>
              <w:left w:val="nil"/>
              <w:bottom w:val="nil"/>
              <w:right w:val="single" w:sz="8" w:space="0" w:color="auto"/>
            </w:tcBorders>
            <w:shd w:val="clear" w:color="auto" w:fill="auto"/>
            <w:noWrap/>
            <w:vAlign w:val="center"/>
            <w:hideMark/>
          </w:tcPr>
          <w:p w14:paraId="7E401D2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95%</w:t>
            </w:r>
          </w:p>
        </w:tc>
      </w:tr>
      <w:tr w:rsidR="003E2986" w:rsidRPr="003E2986" w14:paraId="2D369CC9"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4C9AC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A2</w:t>
            </w:r>
          </w:p>
        </w:tc>
        <w:tc>
          <w:tcPr>
            <w:tcW w:w="1060" w:type="dxa"/>
            <w:tcBorders>
              <w:top w:val="nil"/>
              <w:left w:val="nil"/>
              <w:bottom w:val="nil"/>
              <w:right w:val="nil"/>
            </w:tcBorders>
            <w:shd w:val="clear" w:color="auto" w:fill="auto"/>
            <w:noWrap/>
            <w:vAlign w:val="center"/>
            <w:hideMark/>
          </w:tcPr>
          <w:p w14:paraId="1ADBE0C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-0.26%</w:t>
            </w:r>
          </w:p>
        </w:tc>
        <w:tc>
          <w:tcPr>
            <w:tcW w:w="1060" w:type="dxa"/>
            <w:tcBorders>
              <w:top w:val="nil"/>
              <w:left w:val="nil"/>
              <w:bottom w:val="nil"/>
              <w:right w:val="nil"/>
            </w:tcBorders>
            <w:shd w:val="clear" w:color="auto" w:fill="auto"/>
            <w:noWrap/>
            <w:vAlign w:val="center"/>
            <w:hideMark/>
          </w:tcPr>
          <w:p w14:paraId="004AE32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-0.25%</w:t>
            </w:r>
          </w:p>
        </w:tc>
        <w:tc>
          <w:tcPr>
            <w:tcW w:w="1060" w:type="dxa"/>
            <w:tcBorders>
              <w:top w:val="nil"/>
              <w:left w:val="nil"/>
              <w:bottom w:val="nil"/>
              <w:right w:val="single" w:sz="4" w:space="0" w:color="auto"/>
            </w:tcBorders>
            <w:shd w:val="clear" w:color="auto" w:fill="auto"/>
            <w:noWrap/>
            <w:vAlign w:val="center"/>
            <w:hideMark/>
          </w:tcPr>
          <w:p w14:paraId="53F8ECC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-0.13%</w:t>
            </w:r>
          </w:p>
        </w:tc>
        <w:tc>
          <w:tcPr>
            <w:tcW w:w="1060" w:type="dxa"/>
            <w:tcBorders>
              <w:top w:val="nil"/>
              <w:left w:val="nil"/>
              <w:bottom w:val="nil"/>
              <w:right w:val="nil"/>
            </w:tcBorders>
            <w:shd w:val="clear" w:color="auto" w:fill="auto"/>
            <w:noWrap/>
            <w:vAlign w:val="center"/>
            <w:hideMark/>
          </w:tcPr>
          <w:p w14:paraId="0F9FEB62"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103%</w:t>
            </w:r>
          </w:p>
        </w:tc>
        <w:tc>
          <w:tcPr>
            <w:tcW w:w="1060" w:type="dxa"/>
            <w:tcBorders>
              <w:top w:val="nil"/>
              <w:left w:val="nil"/>
              <w:bottom w:val="nil"/>
              <w:right w:val="single" w:sz="8" w:space="0" w:color="auto"/>
            </w:tcBorders>
            <w:shd w:val="clear" w:color="auto" w:fill="auto"/>
            <w:noWrap/>
            <w:vAlign w:val="center"/>
            <w:hideMark/>
          </w:tcPr>
          <w:p w14:paraId="0515B7B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98%</w:t>
            </w:r>
          </w:p>
        </w:tc>
      </w:tr>
      <w:tr w:rsidR="003E2986" w:rsidRPr="003E2986" w14:paraId="3F5AD2E7"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299DAB"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B</w:t>
            </w:r>
          </w:p>
        </w:tc>
        <w:tc>
          <w:tcPr>
            <w:tcW w:w="1060" w:type="dxa"/>
            <w:tcBorders>
              <w:top w:val="nil"/>
              <w:left w:val="nil"/>
              <w:bottom w:val="nil"/>
              <w:right w:val="nil"/>
            </w:tcBorders>
            <w:shd w:val="clear" w:color="auto" w:fill="auto"/>
            <w:noWrap/>
            <w:vAlign w:val="center"/>
            <w:hideMark/>
          </w:tcPr>
          <w:p w14:paraId="0E926A0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-0.07%</w:t>
            </w:r>
          </w:p>
        </w:tc>
        <w:tc>
          <w:tcPr>
            <w:tcW w:w="1060" w:type="dxa"/>
            <w:tcBorders>
              <w:top w:val="nil"/>
              <w:left w:val="nil"/>
              <w:bottom w:val="nil"/>
              <w:right w:val="nil"/>
            </w:tcBorders>
            <w:shd w:val="clear" w:color="auto" w:fill="auto"/>
            <w:noWrap/>
            <w:vAlign w:val="center"/>
            <w:hideMark/>
          </w:tcPr>
          <w:p w14:paraId="21F9B41B"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-0.09%</w:t>
            </w:r>
          </w:p>
        </w:tc>
        <w:tc>
          <w:tcPr>
            <w:tcW w:w="1060" w:type="dxa"/>
            <w:tcBorders>
              <w:top w:val="nil"/>
              <w:left w:val="nil"/>
              <w:bottom w:val="nil"/>
              <w:right w:val="single" w:sz="4" w:space="0" w:color="auto"/>
            </w:tcBorders>
            <w:shd w:val="clear" w:color="auto" w:fill="auto"/>
            <w:noWrap/>
            <w:vAlign w:val="center"/>
            <w:hideMark/>
          </w:tcPr>
          <w:p w14:paraId="037F406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-0.16%</w:t>
            </w:r>
          </w:p>
        </w:tc>
        <w:tc>
          <w:tcPr>
            <w:tcW w:w="1060" w:type="dxa"/>
            <w:tcBorders>
              <w:top w:val="nil"/>
              <w:left w:val="nil"/>
              <w:bottom w:val="nil"/>
              <w:right w:val="nil"/>
            </w:tcBorders>
            <w:shd w:val="clear" w:color="auto" w:fill="auto"/>
            <w:noWrap/>
            <w:vAlign w:val="center"/>
            <w:hideMark/>
          </w:tcPr>
          <w:p w14:paraId="43D7A6E2"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103%</w:t>
            </w:r>
          </w:p>
        </w:tc>
        <w:tc>
          <w:tcPr>
            <w:tcW w:w="1060" w:type="dxa"/>
            <w:tcBorders>
              <w:top w:val="nil"/>
              <w:left w:val="nil"/>
              <w:bottom w:val="nil"/>
              <w:right w:val="single" w:sz="8" w:space="0" w:color="auto"/>
            </w:tcBorders>
            <w:shd w:val="clear" w:color="auto" w:fill="auto"/>
            <w:noWrap/>
            <w:vAlign w:val="center"/>
            <w:hideMark/>
          </w:tcPr>
          <w:p w14:paraId="432A0DA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99%</w:t>
            </w:r>
          </w:p>
        </w:tc>
      </w:tr>
      <w:tr w:rsidR="003E2986" w:rsidRPr="003E2986" w14:paraId="343DEE93"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59BED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C</w:t>
            </w:r>
          </w:p>
        </w:tc>
        <w:tc>
          <w:tcPr>
            <w:tcW w:w="1060" w:type="dxa"/>
            <w:tcBorders>
              <w:top w:val="nil"/>
              <w:left w:val="nil"/>
              <w:bottom w:val="nil"/>
              <w:right w:val="nil"/>
            </w:tcBorders>
            <w:shd w:val="clear" w:color="auto" w:fill="auto"/>
            <w:noWrap/>
            <w:vAlign w:val="center"/>
            <w:hideMark/>
          </w:tcPr>
          <w:p w14:paraId="7FFAE63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575DC67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0.04%</w:t>
            </w:r>
          </w:p>
        </w:tc>
        <w:tc>
          <w:tcPr>
            <w:tcW w:w="1060" w:type="dxa"/>
            <w:tcBorders>
              <w:top w:val="nil"/>
              <w:left w:val="nil"/>
              <w:bottom w:val="nil"/>
              <w:right w:val="single" w:sz="4" w:space="0" w:color="auto"/>
            </w:tcBorders>
            <w:shd w:val="clear" w:color="auto" w:fill="auto"/>
            <w:noWrap/>
            <w:vAlign w:val="center"/>
            <w:hideMark/>
          </w:tcPr>
          <w:p w14:paraId="43935CA2"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-0.01%</w:t>
            </w:r>
          </w:p>
        </w:tc>
        <w:tc>
          <w:tcPr>
            <w:tcW w:w="1060" w:type="dxa"/>
            <w:tcBorders>
              <w:top w:val="nil"/>
              <w:left w:val="nil"/>
              <w:bottom w:val="nil"/>
              <w:right w:val="nil"/>
            </w:tcBorders>
            <w:shd w:val="clear" w:color="auto" w:fill="auto"/>
            <w:noWrap/>
            <w:vAlign w:val="center"/>
            <w:hideMark/>
          </w:tcPr>
          <w:p w14:paraId="07557C6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102%</w:t>
            </w:r>
          </w:p>
        </w:tc>
        <w:tc>
          <w:tcPr>
            <w:tcW w:w="1060" w:type="dxa"/>
            <w:tcBorders>
              <w:top w:val="nil"/>
              <w:left w:val="nil"/>
              <w:bottom w:val="nil"/>
              <w:right w:val="single" w:sz="8" w:space="0" w:color="auto"/>
            </w:tcBorders>
            <w:shd w:val="clear" w:color="auto" w:fill="auto"/>
            <w:noWrap/>
            <w:vAlign w:val="center"/>
            <w:hideMark/>
          </w:tcPr>
          <w:p w14:paraId="7593700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102%</w:t>
            </w:r>
          </w:p>
        </w:tc>
      </w:tr>
      <w:tr w:rsidR="003E2986" w:rsidRPr="003E2986" w14:paraId="25C41C38"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F6470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lastRenderedPageBreak/>
              <w:t>Class E</w:t>
            </w:r>
          </w:p>
        </w:tc>
        <w:tc>
          <w:tcPr>
            <w:tcW w:w="1060" w:type="dxa"/>
            <w:tcBorders>
              <w:top w:val="nil"/>
              <w:left w:val="nil"/>
              <w:bottom w:val="nil"/>
              <w:right w:val="nil"/>
            </w:tcBorders>
            <w:shd w:val="clear" w:color="auto" w:fill="auto"/>
            <w:noWrap/>
            <w:vAlign w:val="center"/>
            <w:hideMark/>
          </w:tcPr>
          <w:p w14:paraId="7110D32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2D807A2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hideMark/>
          </w:tcPr>
          <w:p w14:paraId="34DBB41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6B98A27B"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599E378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r>
      <w:tr w:rsidR="003E2986" w:rsidRPr="003E2986" w14:paraId="69816688" w14:textId="77777777" w:rsidTr="003E29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7B475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Overall</w:t>
            </w:r>
          </w:p>
        </w:tc>
        <w:tc>
          <w:tcPr>
            <w:tcW w:w="1060" w:type="dxa"/>
            <w:tcBorders>
              <w:top w:val="single" w:sz="8" w:space="0" w:color="auto"/>
              <w:left w:val="nil"/>
              <w:bottom w:val="nil"/>
              <w:right w:val="nil"/>
            </w:tcBorders>
            <w:shd w:val="clear" w:color="auto" w:fill="auto"/>
            <w:noWrap/>
            <w:vAlign w:val="center"/>
            <w:hideMark/>
          </w:tcPr>
          <w:p w14:paraId="676CBAE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-0.12%</w:t>
            </w:r>
          </w:p>
        </w:tc>
        <w:tc>
          <w:tcPr>
            <w:tcW w:w="1060" w:type="dxa"/>
            <w:tcBorders>
              <w:top w:val="single" w:sz="8" w:space="0" w:color="auto"/>
              <w:left w:val="nil"/>
              <w:bottom w:val="nil"/>
              <w:right w:val="nil"/>
            </w:tcBorders>
            <w:shd w:val="clear" w:color="auto" w:fill="auto"/>
            <w:noWrap/>
            <w:vAlign w:val="center"/>
            <w:hideMark/>
          </w:tcPr>
          <w:p w14:paraId="514A47B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29AD381B"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-0.12%</w:t>
            </w:r>
          </w:p>
        </w:tc>
        <w:tc>
          <w:tcPr>
            <w:tcW w:w="1060" w:type="dxa"/>
            <w:tcBorders>
              <w:top w:val="single" w:sz="8" w:space="0" w:color="auto"/>
              <w:left w:val="nil"/>
              <w:bottom w:val="nil"/>
              <w:right w:val="nil"/>
            </w:tcBorders>
            <w:shd w:val="clear" w:color="auto" w:fill="auto"/>
            <w:noWrap/>
            <w:vAlign w:val="center"/>
            <w:hideMark/>
          </w:tcPr>
          <w:p w14:paraId="754E1F6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1168F3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99%</w:t>
            </w:r>
          </w:p>
        </w:tc>
      </w:tr>
      <w:tr w:rsidR="003E2986" w:rsidRPr="003E2986" w14:paraId="41CFA883" w14:textId="77777777" w:rsidTr="003E29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74DAB"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D</w:t>
            </w:r>
          </w:p>
        </w:tc>
        <w:tc>
          <w:tcPr>
            <w:tcW w:w="1060" w:type="dxa"/>
            <w:tcBorders>
              <w:top w:val="single" w:sz="8" w:space="0" w:color="auto"/>
              <w:left w:val="nil"/>
              <w:bottom w:val="nil"/>
              <w:right w:val="nil"/>
            </w:tcBorders>
            <w:shd w:val="clear" w:color="auto" w:fill="auto"/>
            <w:noWrap/>
            <w:vAlign w:val="center"/>
            <w:hideMark/>
          </w:tcPr>
          <w:p w14:paraId="5E7B5FE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-0.01%</w:t>
            </w:r>
          </w:p>
        </w:tc>
        <w:tc>
          <w:tcPr>
            <w:tcW w:w="1060" w:type="dxa"/>
            <w:tcBorders>
              <w:top w:val="single" w:sz="8" w:space="0" w:color="auto"/>
              <w:left w:val="nil"/>
              <w:bottom w:val="nil"/>
              <w:right w:val="nil"/>
            </w:tcBorders>
            <w:shd w:val="clear" w:color="auto" w:fill="auto"/>
            <w:noWrap/>
            <w:vAlign w:val="center"/>
            <w:hideMark/>
          </w:tcPr>
          <w:p w14:paraId="3E1BF9E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24E5DCB"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-0.02%</w:t>
            </w:r>
          </w:p>
        </w:tc>
        <w:tc>
          <w:tcPr>
            <w:tcW w:w="1060" w:type="dxa"/>
            <w:tcBorders>
              <w:top w:val="single" w:sz="8" w:space="0" w:color="auto"/>
              <w:left w:val="nil"/>
              <w:bottom w:val="nil"/>
              <w:right w:val="nil"/>
            </w:tcBorders>
            <w:shd w:val="clear" w:color="auto" w:fill="auto"/>
            <w:noWrap/>
            <w:vAlign w:val="center"/>
            <w:hideMark/>
          </w:tcPr>
          <w:p w14:paraId="237116E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48873C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105%</w:t>
            </w:r>
          </w:p>
        </w:tc>
      </w:tr>
      <w:tr w:rsidR="003E2986" w:rsidRPr="003E2986" w14:paraId="203E0C90" w14:textId="77777777" w:rsidTr="003E298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807B0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F</w:t>
            </w:r>
          </w:p>
        </w:tc>
        <w:tc>
          <w:tcPr>
            <w:tcW w:w="1060" w:type="dxa"/>
            <w:tcBorders>
              <w:top w:val="nil"/>
              <w:left w:val="nil"/>
              <w:bottom w:val="single" w:sz="8" w:space="0" w:color="auto"/>
              <w:right w:val="nil"/>
            </w:tcBorders>
            <w:shd w:val="clear" w:color="auto" w:fill="auto"/>
            <w:noWrap/>
            <w:vAlign w:val="center"/>
            <w:hideMark/>
          </w:tcPr>
          <w:p w14:paraId="19FCF31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-0.05%</w:t>
            </w:r>
          </w:p>
        </w:tc>
        <w:tc>
          <w:tcPr>
            <w:tcW w:w="1060" w:type="dxa"/>
            <w:tcBorders>
              <w:top w:val="nil"/>
              <w:left w:val="nil"/>
              <w:bottom w:val="single" w:sz="8" w:space="0" w:color="auto"/>
              <w:right w:val="nil"/>
            </w:tcBorders>
            <w:shd w:val="clear" w:color="auto" w:fill="auto"/>
            <w:noWrap/>
            <w:vAlign w:val="center"/>
            <w:hideMark/>
          </w:tcPr>
          <w:p w14:paraId="1807A07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77A4A60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-0.04%</w:t>
            </w:r>
          </w:p>
        </w:tc>
        <w:tc>
          <w:tcPr>
            <w:tcW w:w="1060" w:type="dxa"/>
            <w:tcBorders>
              <w:top w:val="nil"/>
              <w:left w:val="nil"/>
              <w:bottom w:val="single" w:sz="8" w:space="0" w:color="auto"/>
              <w:right w:val="nil"/>
            </w:tcBorders>
            <w:shd w:val="clear" w:color="auto" w:fill="auto"/>
            <w:noWrap/>
            <w:vAlign w:val="center"/>
            <w:hideMark/>
          </w:tcPr>
          <w:p w14:paraId="0282A42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8E1246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96%</w:t>
            </w:r>
          </w:p>
        </w:tc>
      </w:tr>
      <w:tr w:rsidR="003E2986" w:rsidRPr="003E2986" w14:paraId="41C5230E" w14:textId="77777777" w:rsidTr="003E2986">
        <w:trPr>
          <w:trHeight w:val="255"/>
        </w:trPr>
        <w:tc>
          <w:tcPr>
            <w:tcW w:w="1640" w:type="dxa"/>
            <w:tcBorders>
              <w:top w:val="nil"/>
              <w:left w:val="nil"/>
              <w:bottom w:val="nil"/>
              <w:right w:val="nil"/>
            </w:tcBorders>
            <w:shd w:val="clear" w:color="auto" w:fill="auto"/>
            <w:noWrap/>
            <w:vAlign w:val="center"/>
            <w:hideMark/>
          </w:tcPr>
          <w:p w14:paraId="0774C0F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bottom"/>
            <w:hideMark/>
          </w:tcPr>
          <w:p w14:paraId="251A7BC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bottom"/>
            <w:hideMark/>
          </w:tcPr>
          <w:p w14:paraId="040A2FF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060" w:type="dxa"/>
            <w:tcBorders>
              <w:top w:val="nil"/>
              <w:left w:val="nil"/>
              <w:bottom w:val="nil"/>
              <w:right w:val="nil"/>
            </w:tcBorders>
            <w:shd w:val="clear" w:color="auto" w:fill="auto"/>
            <w:noWrap/>
            <w:vAlign w:val="bottom"/>
            <w:hideMark/>
          </w:tcPr>
          <w:p w14:paraId="15DE1D6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060" w:type="dxa"/>
            <w:tcBorders>
              <w:top w:val="nil"/>
              <w:left w:val="nil"/>
              <w:bottom w:val="nil"/>
              <w:right w:val="nil"/>
            </w:tcBorders>
            <w:shd w:val="clear" w:color="auto" w:fill="auto"/>
            <w:noWrap/>
            <w:vAlign w:val="bottom"/>
            <w:hideMark/>
          </w:tcPr>
          <w:p w14:paraId="051B8F2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060" w:type="dxa"/>
            <w:tcBorders>
              <w:top w:val="nil"/>
              <w:left w:val="nil"/>
              <w:bottom w:val="nil"/>
              <w:right w:val="nil"/>
            </w:tcBorders>
            <w:shd w:val="clear" w:color="auto" w:fill="auto"/>
            <w:noWrap/>
            <w:vAlign w:val="bottom"/>
            <w:hideMark/>
          </w:tcPr>
          <w:p w14:paraId="0D4F999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r>
      <w:tr w:rsidR="003E2986" w:rsidRPr="003E2986" w14:paraId="167783A9" w14:textId="77777777" w:rsidTr="003E2986">
        <w:trPr>
          <w:trHeight w:val="255"/>
        </w:trPr>
        <w:tc>
          <w:tcPr>
            <w:tcW w:w="1640" w:type="dxa"/>
            <w:tcBorders>
              <w:top w:val="nil"/>
              <w:left w:val="nil"/>
              <w:bottom w:val="nil"/>
              <w:right w:val="nil"/>
            </w:tcBorders>
            <w:shd w:val="clear" w:color="auto" w:fill="auto"/>
            <w:noWrap/>
            <w:vAlign w:val="center"/>
            <w:hideMark/>
          </w:tcPr>
          <w:p w14:paraId="42DEB61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FB65D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7DF33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3E2986">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9E9762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C668DE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3E2986">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5EF20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3E2986">
              <w:rPr>
                <w:rFonts w:ascii="Calibri" w:hAnsi="Calibri" w:cs="Calibri"/>
                <w:color w:val="000000"/>
                <w:sz w:val="24"/>
                <w:szCs w:val="24"/>
                <w:lang w:val="en-AU" w:eastAsia="ja-JP"/>
              </w:rPr>
              <w:t> </w:t>
            </w:r>
          </w:p>
        </w:tc>
      </w:tr>
      <w:tr w:rsidR="003E2986" w:rsidRPr="003E2986" w14:paraId="43E30070" w14:textId="77777777" w:rsidTr="003E2986">
        <w:trPr>
          <w:trHeight w:val="255"/>
        </w:trPr>
        <w:tc>
          <w:tcPr>
            <w:tcW w:w="1640" w:type="dxa"/>
            <w:tcBorders>
              <w:top w:val="nil"/>
              <w:left w:val="nil"/>
              <w:bottom w:val="nil"/>
              <w:right w:val="nil"/>
            </w:tcBorders>
            <w:shd w:val="clear" w:color="auto" w:fill="auto"/>
            <w:noWrap/>
            <w:vAlign w:val="center"/>
            <w:hideMark/>
          </w:tcPr>
          <w:p w14:paraId="020295B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3835F3C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08D60DE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16DF79D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Over VTM-3.0_parallel_jvetl1010.tlist</w:t>
            </w:r>
          </w:p>
        </w:tc>
        <w:tc>
          <w:tcPr>
            <w:tcW w:w="1060" w:type="dxa"/>
            <w:tcBorders>
              <w:top w:val="nil"/>
              <w:left w:val="nil"/>
              <w:bottom w:val="nil"/>
              <w:right w:val="nil"/>
            </w:tcBorders>
            <w:shd w:val="clear" w:color="auto" w:fill="auto"/>
            <w:noWrap/>
            <w:vAlign w:val="center"/>
            <w:hideMark/>
          </w:tcPr>
          <w:p w14:paraId="1652AFD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7D306015"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 </w:t>
            </w:r>
          </w:p>
        </w:tc>
      </w:tr>
      <w:tr w:rsidR="003E2986" w:rsidRPr="003E2986" w14:paraId="6DCA2F4E" w14:textId="77777777" w:rsidTr="003E2986">
        <w:trPr>
          <w:trHeight w:val="255"/>
        </w:trPr>
        <w:tc>
          <w:tcPr>
            <w:tcW w:w="1640" w:type="dxa"/>
            <w:tcBorders>
              <w:top w:val="nil"/>
              <w:left w:val="nil"/>
              <w:bottom w:val="nil"/>
              <w:right w:val="nil"/>
            </w:tcBorders>
            <w:shd w:val="clear" w:color="auto" w:fill="auto"/>
            <w:noWrap/>
            <w:vAlign w:val="center"/>
            <w:hideMark/>
          </w:tcPr>
          <w:p w14:paraId="7694976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D8279DB"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Y</w:t>
            </w:r>
          </w:p>
        </w:tc>
        <w:tc>
          <w:tcPr>
            <w:tcW w:w="1060" w:type="dxa"/>
            <w:tcBorders>
              <w:top w:val="nil"/>
              <w:left w:val="nil"/>
              <w:bottom w:val="single" w:sz="8" w:space="0" w:color="auto"/>
              <w:right w:val="nil"/>
            </w:tcBorders>
            <w:shd w:val="clear" w:color="auto" w:fill="auto"/>
            <w:noWrap/>
            <w:vAlign w:val="center"/>
            <w:hideMark/>
          </w:tcPr>
          <w:p w14:paraId="51899C3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273A41F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V</w:t>
            </w:r>
          </w:p>
        </w:tc>
        <w:tc>
          <w:tcPr>
            <w:tcW w:w="1060" w:type="dxa"/>
            <w:tcBorders>
              <w:top w:val="nil"/>
              <w:left w:val="nil"/>
              <w:bottom w:val="single" w:sz="8" w:space="0" w:color="auto"/>
              <w:right w:val="nil"/>
            </w:tcBorders>
            <w:shd w:val="clear" w:color="auto" w:fill="auto"/>
            <w:noWrap/>
            <w:vAlign w:val="center"/>
            <w:hideMark/>
          </w:tcPr>
          <w:p w14:paraId="0101A11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3E2986">
              <w:rPr>
                <w:rFonts w:ascii="Arial" w:hAnsi="Arial" w:cs="Arial"/>
                <w:color w:val="000000"/>
                <w:sz w:val="18"/>
                <w:szCs w:val="18"/>
                <w:lang w:val="en-AU"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8D823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roofErr w:type="spellStart"/>
            <w:r w:rsidRPr="003E2986">
              <w:rPr>
                <w:rFonts w:ascii="Arial" w:hAnsi="Arial" w:cs="Arial"/>
                <w:color w:val="000000"/>
                <w:sz w:val="18"/>
                <w:szCs w:val="18"/>
                <w:lang w:val="en-AU" w:eastAsia="ja-JP"/>
              </w:rPr>
              <w:t>DecT</w:t>
            </w:r>
            <w:proofErr w:type="spellEnd"/>
          </w:p>
        </w:tc>
      </w:tr>
      <w:tr w:rsidR="003E2986" w:rsidRPr="003E2986" w14:paraId="51C39C07" w14:textId="77777777" w:rsidTr="003E29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85C42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A1</w:t>
            </w:r>
          </w:p>
        </w:tc>
        <w:tc>
          <w:tcPr>
            <w:tcW w:w="1060" w:type="dxa"/>
            <w:tcBorders>
              <w:top w:val="nil"/>
              <w:left w:val="nil"/>
              <w:bottom w:val="nil"/>
              <w:right w:val="nil"/>
            </w:tcBorders>
            <w:shd w:val="clear" w:color="auto" w:fill="auto"/>
            <w:noWrap/>
            <w:vAlign w:val="center"/>
            <w:hideMark/>
          </w:tcPr>
          <w:p w14:paraId="26C255D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0864253A"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c>
          <w:tcPr>
            <w:tcW w:w="1060" w:type="dxa"/>
            <w:tcBorders>
              <w:top w:val="nil"/>
              <w:left w:val="nil"/>
              <w:bottom w:val="nil"/>
              <w:right w:val="single" w:sz="4" w:space="0" w:color="auto"/>
            </w:tcBorders>
            <w:shd w:val="clear" w:color="auto" w:fill="auto"/>
            <w:noWrap/>
            <w:vAlign w:val="center"/>
            <w:hideMark/>
          </w:tcPr>
          <w:p w14:paraId="04F4D45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3F81BFAA"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6FA2C09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r>
      <w:tr w:rsidR="003E2986" w:rsidRPr="003E2986" w14:paraId="03112FB6"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45887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A2</w:t>
            </w:r>
          </w:p>
        </w:tc>
        <w:tc>
          <w:tcPr>
            <w:tcW w:w="1060" w:type="dxa"/>
            <w:tcBorders>
              <w:top w:val="nil"/>
              <w:left w:val="nil"/>
              <w:bottom w:val="nil"/>
              <w:right w:val="nil"/>
            </w:tcBorders>
            <w:shd w:val="clear" w:color="auto" w:fill="auto"/>
            <w:noWrap/>
            <w:vAlign w:val="center"/>
            <w:hideMark/>
          </w:tcPr>
          <w:p w14:paraId="7E921C5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46563C4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hideMark/>
          </w:tcPr>
          <w:p w14:paraId="75524CD2"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715A11D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276C5BF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 </w:t>
            </w:r>
          </w:p>
        </w:tc>
      </w:tr>
      <w:tr w:rsidR="003E2986" w:rsidRPr="003E2986" w14:paraId="04A0F88D"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FFAD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B</w:t>
            </w:r>
          </w:p>
        </w:tc>
        <w:tc>
          <w:tcPr>
            <w:tcW w:w="1060" w:type="dxa"/>
            <w:tcBorders>
              <w:top w:val="nil"/>
              <w:left w:val="nil"/>
              <w:bottom w:val="nil"/>
              <w:right w:val="nil"/>
            </w:tcBorders>
            <w:shd w:val="clear" w:color="auto" w:fill="auto"/>
            <w:noWrap/>
            <w:vAlign w:val="center"/>
            <w:hideMark/>
          </w:tcPr>
          <w:p w14:paraId="0E26B38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-0.03%</w:t>
            </w:r>
          </w:p>
        </w:tc>
        <w:tc>
          <w:tcPr>
            <w:tcW w:w="1060" w:type="dxa"/>
            <w:tcBorders>
              <w:top w:val="nil"/>
              <w:left w:val="nil"/>
              <w:bottom w:val="nil"/>
              <w:right w:val="nil"/>
            </w:tcBorders>
            <w:shd w:val="clear" w:color="auto" w:fill="auto"/>
            <w:noWrap/>
            <w:vAlign w:val="center"/>
            <w:hideMark/>
          </w:tcPr>
          <w:p w14:paraId="7DC2B72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-0.38%</w:t>
            </w:r>
          </w:p>
        </w:tc>
        <w:tc>
          <w:tcPr>
            <w:tcW w:w="1060" w:type="dxa"/>
            <w:tcBorders>
              <w:top w:val="nil"/>
              <w:left w:val="nil"/>
              <w:bottom w:val="nil"/>
              <w:right w:val="single" w:sz="4" w:space="0" w:color="auto"/>
            </w:tcBorders>
            <w:shd w:val="clear" w:color="auto" w:fill="auto"/>
            <w:noWrap/>
            <w:vAlign w:val="center"/>
            <w:hideMark/>
          </w:tcPr>
          <w:p w14:paraId="31F872D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-0.09%</w:t>
            </w:r>
          </w:p>
        </w:tc>
        <w:tc>
          <w:tcPr>
            <w:tcW w:w="1060" w:type="dxa"/>
            <w:tcBorders>
              <w:top w:val="nil"/>
              <w:left w:val="nil"/>
              <w:bottom w:val="nil"/>
              <w:right w:val="nil"/>
            </w:tcBorders>
            <w:shd w:val="clear" w:color="auto" w:fill="auto"/>
            <w:noWrap/>
            <w:vAlign w:val="center"/>
            <w:hideMark/>
          </w:tcPr>
          <w:p w14:paraId="235958E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100%</w:t>
            </w:r>
          </w:p>
        </w:tc>
        <w:tc>
          <w:tcPr>
            <w:tcW w:w="1060" w:type="dxa"/>
            <w:tcBorders>
              <w:top w:val="nil"/>
              <w:left w:val="nil"/>
              <w:bottom w:val="nil"/>
              <w:right w:val="single" w:sz="8" w:space="0" w:color="auto"/>
            </w:tcBorders>
            <w:shd w:val="clear" w:color="auto" w:fill="auto"/>
            <w:noWrap/>
            <w:vAlign w:val="center"/>
            <w:hideMark/>
          </w:tcPr>
          <w:p w14:paraId="35B53AE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92%</w:t>
            </w:r>
          </w:p>
        </w:tc>
      </w:tr>
      <w:tr w:rsidR="003E2986" w:rsidRPr="003E2986" w14:paraId="51A0FAC1"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6BE3C9"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C</w:t>
            </w:r>
          </w:p>
        </w:tc>
        <w:tc>
          <w:tcPr>
            <w:tcW w:w="1060" w:type="dxa"/>
            <w:tcBorders>
              <w:top w:val="nil"/>
              <w:left w:val="nil"/>
              <w:bottom w:val="nil"/>
              <w:right w:val="nil"/>
            </w:tcBorders>
            <w:shd w:val="clear" w:color="auto" w:fill="auto"/>
            <w:noWrap/>
            <w:vAlign w:val="center"/>
            <w:hideMark/>
          </w:tcPr>
          <w:p w14:paraId="7C0E501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-0.01%</w:t>
            </w:r>
          </w:p>
        </w:tc>
        <w:tc>
          <w:tcPr>
            <w:tcW w:w="1060" w:type="dxa"/>
            <w:tcBorders>
              <w:top w:val="nil"/>
              <w:left w:val="nil"/>
              <w:bottom w:val="nil"/>
              <w:right w:val="nil"/>
            </w:tcBorders>
            <w:shd w:val="clear" w:color="auto" w:fill="auto"/>
            <w:noWrap/>
            <w:vAlign w:val="center"/>
            <w:hideMark/>
          </w:tcPr>
          <w:p w14:paraId="4C23536D"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0.17%</w:t>
            </w:r>
          </w:p>
        </w:tc>
        <w:tc>
          <w:tcPr>
            <w:tcW w:w="1060" w:type="dxa"/>
            <w:tcBorders>
              <w:top w:val="nil"/>
              <w:left w:val="nil"/>
              <w:bottom w:val="nil"/>
              <w:right w:val="single" w:sz="4" w:space="0" w:color="auto"/>
            </w:tcBorders>
            <w:shd w:val="clear" w:color="auto" w:fill="auto"/>
            <w:noWrap/>
            <w:vAlign w:val="center"/>
            <w:hideMark/>
          </w:tcPr>
          <w:p w14:paraId="02446B1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0.12%</w:t>
            </w:r>
          </w:p>
        </w:tc>
        <w:tc>
          <w:tcPr>
            <w:tcW w:w="1060" w:type="dxa"/>
            <w:tcBorders>
              <w:top w:val="nil"/>
              <w:left w:val="nil"/>
              <w:bottom w:val="nil"/>
              <w:right w:val="nil"/>
            </w:tcBorders>
            <w:shd w:val="clear" w:color="auto" w:fill="auto"/>
            <w:noWrap/>
            <w:vAlign w:val="center"/>
            <w:hideMark/>
          </w:tcPr>
          <w:p w14:paraId="15CE34AB"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101%</w:t>
            </w:r>
          </w:p>
        </w:tc>
        <w:tc>
          <w:tcPr>
            <w:tcW w:w="1060" w:type="dxa"/>
            <w:tcBorders>
              <w:top w:val="nil"/>
              <w:left w:val="nil"/>
              <w:bottom w:val="nil"/>
              <w:right w:val="single" w:sz="8" w:space="0" w:color="auto"/>
            </w:tcBorders>
            <w:shd w:val="clear" w:color="auto" w:fill="auto"/>
            <w:noWrap/>
            <w:vAlign w:val="center"/>
            <w:hideMark/>
          </w:tcPr>
          <w:p w14:paraId="22C744A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107%</w:t>
            </w:r>
          </w:p>
        </w:tc>
      </w:tr>
      <w:tr w:rsidR="003E2986" w:rsidRPr="003E2986" w14:paraId="525F63DC" w14:textId="77777777" w:rsidTr="003E29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09A4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E</w:t>
            </w:r>
          </w:p>
        </w:tc>
        <w:tc>
          <w:tcPr>
            <w:tcW w:w="1060" w:type="dxa"/>
            <w:tcBorders>
              <w:top w:val="nil"/>
              <w:left w:val="nil"/>
              <w:bottom w:val="nil"/>
              <w:right w:val="nil"/>
            </w:tcBorders>
            <w:shd w:val="clear" w:color="auto" w:fill="auto"/>
            <w:noWrap/>
            <w:vAlign w:val="center"/>
            <w:hideMark/>
          </w:tcPr>
          <w:p w14:paraId="22EB594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-0.23%</w:t>
            </w:r>
          </w:p>
        </w:tc>
        <w:tc>
          <w:tcPr>
            <w:tcW w:w="1060" w:type="dxa"/>
            <w:tcBorders>
              <w:top w:val="nil"/>
              <w:left w:val="nil"/>
              <w:bottom w:val="nil"/>
              <w:right w:val="nil"/>
            </w:tcBorders>
            <w:shd w:val="clear" w:color="auto" w:fill="auto"/>
            <w:noWrap/>
            <w:vAlign w:val="center"/>
            <w:hideMark/>
          </w:tcPr>
          <w:p w14:paraId="39CDD21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-0.12%</w:t>
            </w:r>
          </w:p>
        </w:tc>
        <w:tc>
          <w:tcPr>
            <w:tcW w:w="1060" w:type="dxa"/>
            <w:tcBorders>
              <w:top w:val="nil"/>
              <w:left w:val="nil"/>
              <w:bottom w:val="nil"/>
              <w:right w:val="single" w:sz="4" w:space="0" w:color="auto"/>
            </w:tcBorders>
            <w:shd w:val="clear" w:color="auto" w:fill="auto"/>
            <w:noWrap/>
            <w:vAlign w:val="center"/>
            <w:hideMark/>
          </w:tcPr>
          <w:p w14:paraId="280089A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0.02%</w:t>
            </w:r>
          </w:p>
        </w:tc>
        <w:tc>
          <w:tcPr>
            <w:tcW w:w="1060" w:type="dxa"/>
            <w:tcBorders>
              <w:top w:val="nil"/>
              <w:left w:val="nil"/>
              <w:bottom w:val="nil"/>
              <w:right w:val="nil"/>
            </w:tcBorders>
            <w:shd w:val="clear" w:color="auto" w:fill="auto"/>
            <w:noWrap/>
            <w:vAlign w:val="center"/>
            <w:hideMark/>
          </w:tcPr>
          <w:p w14:paraId="37AD9D57"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101%</w:t>
            </w:r>
          </w:p>
        </w:tc>
        <w:tc>
          <w:tcPr>
            <w:tcW w:w="1060" w:type="dxa"/>
            <w:tcBorders>
              <w:top w:val="nil"/>
              <w:left w:val="nil"/>
              <w:bottom w:val="nil"/>
              <w:right w:val="single" w:sz="8" w:space="0" w:color="auto"/>
            </w:tcBorders>
            <w:shd w:val="clear" w:color="auto" w:fill="auto"/>
            <w:noWrap/>
            <w:vAlign w:val="center"/>
            <w:hideMark/>
          </w:tcPr>
          <w:p w14:paraId="1A79EBF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98%</w:t>
            </w:r>
          </w:p>
        </w:tc>
      </w:tr>
      <w:tr w:rsidR="003E2986" w:rsidRPr="003E2986" w14:paraId="63AD4555" w14:textId="77777777" w:rsidTr="003E29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86E10A"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3E2986">
              <w:rPr>
                <w:rFonts w:ascii="Arial" w:hAnsi="Arial" w:cs="Arial"/>
                <w:b/>
                <w:bCs/>
                <w:color w:val="000000"/>
                <w:sz w:val="18"/>
                <w:szCs w:val="18"/>
                <w:lang w:val="en-AU" w:eastAsia="ja-JP"/>
              </w:rPr>
              <w:t>Overall</w:t>
            </w:r>
          </w:p>
        </w:tc>
        <w:tc>
          <w:tcPr>
            <w:tcW w:w="1060" w:type="dxa"/>
            <w:tcBorders>
              <w:top w:val="single" w:sz="8" w:space="0" w:color="auto"/>
              <w:left w:val="nil"/>
              <w:bottom w:val="nil"/>
              <w:right w:val="nil"/>
            </w:tcBorders>
            <w:shd w:val="clear" w:color="auto" w:fill="auto"/>
            <w:noWrap/>
            <w:vAlign w:val="center"/>
            <w:hideMark/>
          </w:tcPr>
          <w:p w14:paraId="4174089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-0.07%</w:t>
            </w:r>
          </w:p>
        </w:tc>
        <w:tc>
          <w:tcPr>
            <w:tcW w:w="1060" w:type="dxa"/>
            <w:tcBorders>
              <w:top w:val="single" w:sz="8" w:space="0" w:color="auto"/>
              <w:left w:val="nil"/>
              <w:bottom w:val="nil"/>
              <w:right w:val="nil"/>
            </w:tcBorders>
            <w:shd w:val="clear" w:color="auto" w:fill="auto"/>
            <w:noWrap/>
            <w:vAlign w:val="center"/>
            <w:hideMark/>
          </w:tcPr>
          <w:p w14:paraId="1B7B298F"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5EF6011A"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0.01%</w:t>
            </w:r>
          </w:p>
        </w:tc>
        <w:tc>
          <w:tcPr>
            <w:tcW w:w="1060" w:type="dxa"/>
            <w:tcBorders>
              <w:top w:val="single" w:sz="8" w:space="0" w:color="auto"/>
              <w:left w:val="nil"/>
              <w:bottom w:val="nil"/>
              <w:right w:val="nil"/>
            </w:tcBorders>
            <w:shd w:val="clear" w:color="auto" w:fill="auto"/>
            <w:noWrap/>
            <w:vAlign w:val="center"/>
            <w:hideMark/>
          </w:tcPr>
          <w:p w14:paraId="1E953E7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E89B338"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99%</w:t>
            </w:r>
          </w:p>
        </w:tc>
      </w:tr>
      <w:tr w:rsidR="003E2986" w:rsidRPr="003E2986" w14:paraId="341FB51C" w14:textId="77777777" w:rsidTr="003E298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49AD7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A91658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0.00%</w:t>
            </w:r>
          </w:p>
        </w:tc>
        <w:tc>
          <w:tcPr>
            <w:tcW w:w="1060" w:type="dxa"/>
            <w:tcBorders>
              <w:top w:val="single" w:sz="8" w:space="0" w:color="auto"/>
              <w:left w:val="nil"/>
              <w:bottom w:val="nil"/>
              <w:right w:val="nil"/>
            </w:tcBorders>
            <w:shd w:val="clear" w:color="auto" w:fill="auto"/>
            <w:noWrap/>
            <w:vAlign w:val="center"/>
            <w:hideMark/>
          </w:tcPr>
          <w:p w14:paraId="66F1EDEC"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0.35%</w:t>
            </w:r>
          </w:p>
        </w:tc>
        <w:tc>
          <w:tcPr>
            <w:tcW w:w="1060" w:type="dxa"/>
            <w:tcBorders>
              <w:top w:val="single" w:sz="8" w:space="0" w:color="auto"/>
              <w:left w:val="nil"/>
              <w:bottom w:val="nil"/>
              <w:right w:val="single" w:sz="4" w:space="0" w:color="auto"/>
            </w:tcBorders>
            <w:shd w:val="clear" w:color="auto" w:fill="auto"/>
            <w:noWrap/>
            <w:vAlign w:val="center"/>
            <w:hideMark/>
          </w:tcPr>
          <w:p w14:paraId="6A4161CE"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0.22%</w:t>
            </w:r>
          </w:p>
        </w:tc>
        <w:tc>
          <w:tcPr>
            <w:tcW w:w="1060" w:type="dxa"/>
            <w:tcBorders>
              <w:top w:val="single" w:sz="8" w:space="0" w:color="auto"/>
              <w:left w:val="nil"/>
              <w:bottom w:val="nil"/>
              <w:right w:val="nil"/>
            </w:tcBorders>
            <w:shd w:val="clear" w:color="auto" w:fill="auto"/>
            <w:noWrap/>
            <w:vAlign w:val="center"/>
            <w:hideMark/>
          </w:tcPr>
          <w:p w14:paraId="69520B5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B897A2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94%</w:t>
            </w:r>
          </w:p>
        </w:tc>
      </w:tr>
      <w:tr w:rsidR="003E2986" w:rsidRPr="003E2986" w14:paraId="1555B76A" w14:textId="77777777" w:rsidTr="003E298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F73BA94"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5C99D93"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0.03%</w:t>
            </w:r>
          </w:p>
        </w:tc>
        <w:tc>
          <w:tcPr>
            <w:tcW w:w="1060" w:type="dxa"/>
            <w:tcBorders>
              <w:top w:val="nil"/>
              <w:left w:val="nil"/>
              <w:bottom w:val="single" w:sz="8" w:space="0" w:color="auto"/>
              <w:right w:val="nil"/>
            </w:tcBorders>
            <w:shd w:val="clear" w:color="auto" w:fill="auto"/>
            <w:noWrap/>
            <w:vAlign w:val="center"/>
            <w:hideMark/>
          </w:tcPr>
          <w:p w14:paraId="32AEFA2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0.32%</w:t>
            </w:r>
          </w:p>
        </w:tc>
        <w:tc>
          <w:tcPr>
            <w:tcW w:w="1060" w:type="dxa"/>
            <w:tcBorders>
              <w:top w:val="nil"/>
              <w:left w:val="nil"/>
              <w:bottom w:val="single" w:sz="8" w:space="0" w:color="auto"/>
              <w:right w:val="single" w:sz="4" w:space="0" w:color="auto"/>
            </w:tcBorders>
            <w:shd w:val="clear" w:color="auto" w:fill="auto"/>
            <w:noWrap/>
            <w:vAlign w:val="center"/>
            <w:hideMark/>
          </w:tcPr>
          <w:p w14:paraId="7DBE82C6"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0.07%</w:t>
            </w:r>
          </w:p>
        </w:tc>
        <w:tc>
          <w:tcPr>
            <w:tcW w:w="1060" w:type="dxa"/>
            <w:tcBorders>
              <w:top w:val="nil"/>
              <w:left w:val="nil"/>
              <w:bottom w:val="single" w:sz="8" w:space="0" w:color="auto"/>
              <w:right w:val="nil"/>
            </w:tcBorders>
            <w:shd w:val="clear" w:color="auto" w:fill="auto"/>
            <w:noWrap/>
            <w:vAlign w:val="center"/>
            <w:hideMark/>
          </w:tcPr>
          <w:p w14:paraId="10ABEE61"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97%</w:t>
            </w:r>
          </w:p>
        </w:tc>
        <w:tc>
          <w:tcPr>
            <w:tcW w:w="1060" w:type="dxa"/>
            <w:tcBorders>
              <w:top w:val="nil"/>
              <w:left w:val="nil"/>
              <w:bottom w:val="single" w:sz="8" w:space="0" w:color="auto"/>
              <w:right w:val="single" w:sz="8" w:space="0" w:color="auto"/>
            </w:tcBorders>
            <w:shd w:val="clear" w:color="auto" w:fill="auto"/>
            <w:noWrap/>
            <w:vAlign w:val="center"/>
            <w:hideMark/>
          </w:tcPr>
          <w:p w14:paraId="2EE4A9E0" w14:textId="77777777" w:rsidR="003E2986" w:rsidRPr="003E2986" w:rsidRDefault="003E2986" w:rsidP="003E2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3E2986">
              <w:rPr>
                <w:rFonts w:ascii="Arial" w:hAnsi="Arial" w:cs="Arial"/>
                <w:color w:val="000000"/>
                <w:sz w:val="18"/>
                <w:szCs w:val="18"/>
                <w:lang w:val="en-AU" w:eastAsia="ja-JP"/>
              </w:rPr>
              <w:t>103%</w:t>
            </w:r>
          </w:p>
        </w:tc>
      </w:tr>
    </w:tbl>
    <w:p w14:paraId="162A6604" w14:textId="77777777" w:rsidR="002172A8" w:rsidRPr="002172A8" w:rsidRDefault="002172A8" w:rsidP="002172A8"/>
    <w:p w14:paraId="7F14A917" w14:textId="77777777" w:rsidR="00C13ED1" w:rsidRDefault="00C13ED1" w:rsidP="00C13ED1">
      <w:pPr>
        <w:pStyle w:val="Heading1"/>
        <w:rPr>
          <w:lang w:val="en-CA"/>
        </w:rPr>
      </w:pPr>
      <w:r>
        <w:rPr>
          <w:lang w:val="en-CA"/>
        </w:rPr>
        <w:t>Conclusion</w:t>
      </w:r>
    </w:p>
    <w:p w14:paraId="3681EC00" w14:textId="40B55769" w:rsidR="00C13ED1" w:rsidRPr="00B649C0" w:rsidRDefault="00C13ED1" w:rsidP="009234A5">
      <w:pPr>
        <w:rPr>
          <w:lang w:val="en-CA"/>
        </w:rPr>
      </w:pPr>
      <w:r>
        <w:rPr>
          <w:lang w:val="en-CA"/>
        </w:rPr>
        <w:t>This input document presents a method to enable pipelined implementations of VVC</w:t>
      </w:r>
      <w:r w:rsidR="00305C31">
        <w:rPr>
          <w:lang w:val="en-CA"/>
        </w:rPr>
        <w:t xml:space="preserve"> with TUs coded in VPDU order</w:t>
      </w:r>
      <w:r>
        <w:rPr>
          <w:lang w:val="en-CA"/>
        </w:rPr>
        <w:t>.</w:t>
      </w:r>
      <w:r w:rsidR="00AD7595">
        <w:rPr>
          <w:lang w:val="en-CA"/>
        </w:rPr>
        <w:t xml:space="preserve"> Coding results in RA are </w:t>
      </w:r>
      <w:r w:rsidR="00C850D4">
        <w:rPr>
          <w:lang w:val="en-CA"/>
        </w:rPr>
        <w:t>-0.</w:t>
      </w:r>
      <w:r w:rsidR="003E2986">
        <w:rPr>
          <w:lang w:val="en-CA"/>
        </w:rPr>
        <w:t>12</w:t>
      </w:r>
      <w:r w:rsidR="00C850D4">
        <w:rPr>
          <w:lang w:val="en-CA"/>
        </w:rPr>
        <w:t>%, -0.</w:t>
      </w:r>
      <w:r w:rsidR="003E2986">
        <w:rPr>
          <w:lang w:val="en-CA"/>
        </w:rPr>
        <w:t>14%</w:t>
      </w:r>
      <w:r w:rsidR="00C850D4">
        <w:rPr>
          <w:lang w:val="en-CA"/>
        </w:rPr>
        <w:t>, and -0.</w:t>
      </w:r>
      <w:r w:rsidR="003E2986">
        <w:rPr>
          <w:lang w:val="en-CA"/>
        </w:rPr>
        <w:t>12</w:t>
      </w:r>
      <w:r w:rsidR="00C850D4">
        <w:rPr>
          <w:lang w:val="en-CA"/>
        </w:rPr>
        <w:t>% and LDB are -0.</w:t>
      </w:r>
      <w:r w:rsidR="003E2986">
        <w:rPr>
          <w:lang w:val="en-CA"/>
        </w:rPr>
        <w:t>07</w:t>
      </w:r>
      <w:r w:rsidR="00C850D4">
        <w:rPr>
          <w:lang w:val="en-CA"/>
        </w:rPr>
        <w:t>%, -0.</w:t>
      </w:r>
      <w:r w:rsidR="003E2986">
        <w:rPr>
          <w:lang w:val="en-CA"/>
        </w:rPr>
        <w:t xml:space="preserve">13%, and </w:t>
      </w:r>
      <w:r w:rsidR="00C850D4">
        <w:rPr>
          <w:lang w:val="en-CA"/>
        </w:rPr>
        <w:t>0.</w:t>
      </w:r>
      <w:r w:rsidR="003E2986">
        <w:rPr>
          <w:lang w:val="en-CA"/>
        </w:rPr>
        <w:t>0</w:t>
      </w:r>
      <w:r w:rsidR="00C850D4">
        <w:rPr>
          <w:lang w:val="en-CA"/>
        </w:rPr>
        <w:t>1%</w:t>
      </w:r>
      <w:r w:rsidR="00AD7595">
        <w:rPr>
          <w:lang w:val="en-CA"/>
        </w:rPr>
        <w:t xml:space="preserve"> in Y, </w:t>
      </w:r>
      <w:proofErr w:type="spellStart"/>
      <w:r w:rsidR="00AD7595">
        <w:rPr>
          <w:lang w:val="en-CA"/>
        </w:rPr>
        <w:t>Cb</w:t>
      </w:r>
      <w:proofErr w:type="spellEnd"/>
      <w:r w:rsidR="00AD7595">
        <w:rPr>
          <w:lang w:val="en-CA"/>
        </w:rPr>
        <w:t>, and Cr channels, respectively.</w:t>
      </w:r>
    </w:p>
    <w:p w14:paraId="06A15529" w14:textId="34C1449B" w:rsidR="00E12E52" w:rsidRDefault="00E12E52" w:rsidP="00E12E52">
      <w:pPr>
        <w:pStyle w:val="Heading1"/>
        <w:rPr>
          <w:lang w:val="en-CA"/>
        </w:rPr>
      </w:pPr>
      <w:r>
        <w:rPr>
          <w:lang w:val="en-CA"/>
        </w:rPr>
        <w:t>References</w:t>
      </w:r>
    </w:p>
    <w:p w14:paraId="3F915E89" w14:textId="4239C47C" w:rsidR="00DF5E9C" w:rsidRPr="00DF5E9C" w:rsidRDefault="00DF5E9C" w:rsidP="00E12E52">
      <w:pPr>
        <w:pStyle w:val="ListParagraph"/>
        <w:numPr>
          <w:ilvl w:val="0"/>
          <w:numId w:val="12"/>
        </w:numPr>
        <w:rPr>
          <w:lang w:val="en-CA"/>
        </w:rPr>
      </w:pPr>
      <w:bookmarkStart w:id="5" w:name="_Ref525563635"/>
      <w:bookmarkStart w:id="6" w:name="_Ref525563597"/>
      <w:bookmarkStart w:id="7" w:name="_Ref518314161"/>
      <w:r>
        <w:t>B. Bross, J. Chen, S. Liu, “</w:t>
      </w:r>
      <w:r w:rsidR="002172A8">
        <w:t>Versatile Video Coding (Draft 3)</w:t>
      </w:r>
      <w:r>
        <w:t>”, JVET-</w:t>
      </w:r>
      <w:r w:rsidR="002172A8">
        <w:t>L</w:t>
      </w:r>
      <w:r>
        <w:t xml:space="preserve">1001, </w:t>
      </w:r>
      <w:r w:rsidR="002172A8">
        <w:t>Macao</w:t>
      </w:r>
      <w:r>
        <w:t xml:space="preserve">, </w:t>
      </w:r>
      <w:r w:rsidR="002172A8">
        <w:t>CN</w:t>
      </w:r>
      <w:r>
        <w:t xml:space="preserve">, </w:t>
      </w:r>
      <w:r w:rsidR="002172A8">
        <w:t>October</w:t>
      </w:r>
      <w:r>
        <w:t xml:space="preserve"> 2018</w:t>
      </w:r>
      <w:r>
        <w:rPr>
          <w:lang w:val="en-CA"/>
        </w:rPr>
        <w:t>.</w:t>
      </w:r>
      <w:bookmarkEnd w:id="5"/>
    </w:p>
    <w:p w14:paraId="69936BFA" w14:textId="5CEB6E0B" w:rsidR="00E12E52" w:rsidRPr="000F6D08" w:rsidRDefault="00E12E52" w:rsidP="00E12E52">
      <w:pPr>
        <w:pStyle w:val="ListParagraph"/>
        <w:numPr>
          <w:ilvl w:val="0"/>
          <w:numId w:val="12"/>
        </w:numPr>
        <w:rPr>
          <w:lang w:val="en-CA"/>
        </w:rPr>
      </w:pPr>
      <w:bookmarkStart w:id="8" w:name="_Ref532986539"/>
      <w:r>
        <w:t>C.-W. Hsu, T.-D. Chuang, C.-Y. Chen, Y.-W. Huang, S.-M. Lei, “CE1-related: Constraint for binary and ternary partitions”, JVET-K0556, Ljubljana, SI, July 2018.</w:t>
      </w:r>
      <w:bookmarkEnd w:id="6"/>
      <w:bookmarkEnd w:id="8"/>
    </w:p>
    <w:p w14:paraId="4EE98665" w14:textId="3D32BEDD" w:rsidR="000F6D08" w:rsidRPr="002172A8" w:rsidRDefault="000F6D08" w:rsidP="000F6D08">
      <w:pPr>
        <w:pStyle w:val="ListParagraph"/>
        <w:numPr>
          <w:ilvl w:val="0"/>
          <w:numId w:val="12"/>
        </w:numPr>
        <w:rPr>
          <w:lang w:val="en-CA"/>
        </w:rPr>
      </w:pPr>
      <w:bookmarkStart w:id="9" w:name="_Ref532987268"/>
      <w:r w:rsidRPr="000F6D08">
        <w:rPr>
          <w:lang w:val="en-CA"/>
        </w:rPr>
        <w:t xml:space="preserve">J. Ma, F. Le </w:t>
      </w:r>
      <w:proofErr w:type="spellStart"/>
      <w:r w:rsidRPr="000F6D08">
        <w:rPr>
          <w:lang w:val="en-CA"/>
        </w:rPr>
        <w:t>Léannec</w:t>
      </w:r>
      <w:proofErr w:type="spellEnd"/>
      <w:r w:rsidRPr="000F6D08">
        <w:rPr>
          <w:lang w:val="en-CA"/>
        </w:rPr>
        <w:t>, M. W. Park</w:t>
      </w:r>
      <w:r>
        <w:rPr>
          <w:lang w:val="en-CA"/>
        </w:rPr>
        <w:t>, “</w:t>
      </w:r>
      <w:r>
        <w:t>Description of Core Experiment 1 (CE 1): Partitioning”, JVET-L1021, Macao, CN, October 2018.</w:t>
      </w:r>
      <w:bookmarkEnd w:id="9"/>
    </w:p>
    <w:p w14:paraId="45870736" w14:textId="0732011A" w:rsidR="002172A8" w:rsidRDefault="002172A8" w:rsidP="002172A8">
      <w:pPr>
        <w:pStyle w:val="ListParagraph"/>
        <w:numPr>
          <w:ilvl w:val="0"/>
          <w:numId w:val="12"/>
        </w:numPr>
        <w:rPr>
          <w:lang w:val="en-CA"/>
        </w:rPr>
      </w:pPr>
      <w:bookmarkStart w:id="10" w:name="_Ref532987164"/>
      <w:r w:rsidRPr="002172A8">
        <w:t>Y.-C. Su, C.-Y. Chen, Y.-W. Huang, S.-M. Lei</w:t>
      </w:r>
      <w:r>
        <w:t>,</w:t>
      </w:r>
      <w:r w:rsidRPr="002172A8">
        <w:t xml:space="preserve"> </w:t>
      </w:r>
      <w:r>
        <w:t>“</w:t>
      </w:r>
      <w:r w:rsidRPr="002172A8">
        <w:t>CE1.2.1: Constraint for binary and ternary partitions</w:t>
      </w:r>
      <w:r>
        <w:t>”, JVET-L0081, Macao, CN, October 2018.</w:t>
      </w:r>
      <w:bookmarkEnd w:id="10"/>
    </w:p>
    <w:p w14:paraId="1E6EC63F" w14:textId="7CC9C7BB" w:rsidR="00E12E52" w:rsidRPr="00E12E52" w:rsidRDefault="00E12E52" w:rsidP="00E12E52">
      <w:pPr>
        <w:pStyle w:val="ListParagraph"/>
        <w:numPr>
          <w:ilvl w:val="0"/>
          <w:numId w:val="12"/>
        </w:numPr>
        <w:rPr>
          <w:lang w:val="en-CA"/>
        </w:rPr>
      </w:pPr>
      <w:bookmarkStart w:id="11" w:name="_Ref525479252"/>
      <w:r>
        <w:t xml:space="preserve">F. </w:t>
      </w:r>
      <w:proofErr w:type="spellStart"/>
      <w:r>
        <w:t>Bossen</w:t>
      </w:r>
      <w:proofErr w:type="spellEnd"/>
      <w:r>
        <w:t xml:space="preserve">, J. Boyce, X. Li, V. </w:t>
      </w:r>
      <w:proofErr w:type="spellStart"/>
      <w:r>
        <w:t>Seregin</w:t>
      </w:r>
      <w:proofErr w:type="spellEnd"/>
      <w:r>
        <w:t xml:space="preserve">, K. </w:t>
      </w:r>
      <w:proofErr w:type="spellStart"/>
      <w:r>
        <w:t>Sühring</w:t>
      </w:r>
      <w:proofErr w:type="spellEnd"/>
      <w:r>
        <w:rPr>
          <w:lang w:val="en-CA"/>
        </w:rPr>
        <w:t>, “</w:t>
      </w:r>
      <w:r>
        <w:t>JVET common test conditions and software reference configurations for SDR video</w:t>
      </w:r>
      <w:r>
        <w:rPr>
          <w:lang w:val="en-CA"/>
        </w:rPr>
        <w:t>”, JVET-</w:t>
      </w:r>
      <w:r w:rsidR="002172A8">
        <w:rPr>
          <w:lang w:val="en-CA"/>
        </w:rPr>
        <w:t>L</w:t>
      </w:r>
      <w:r>
        <w:rPr>
          <w:lang w:val="en-CA"/>
        </w:rPr>
        <w:t xml:space="preserve">1010, </w:t>
      </w:r>
      <w:r w:rsidR="002172A8">
        <w:t>Macao</w:t>
      </w:r>
      <w:r>
        <w:t xml:space="preserve">, </w:t>
      </w:r>
      <w:r w:rsidR="002172A8">
        <w:t>CN</w:t>
      </w:r>
      <w:r>
        <w:t xml:space="preserve">, </w:t>
      </w:r>
      <w:r w:rsidR="002172A8">
        <w:t>October</w:t>
      </w:r>
      <w:r>
        <w:t xml:space="preserve"> 2018</w:t>
      </w:r>
      <w:r>
        <w:rPr>
          <w:lang w:val="en-CA"/>
        </w:rPr>
        <w:t>.</w:t>
      </w:r>
      <w:bookmarkEnd w:id="7"/>
      <w:bookmarkEnd w:id="1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155ADDF" w:rsidR="007F1F8B" w:rsidRPr="005B217D" w:rsidRDefault="00E12E52" w:rsidP="009234A5">
      <w:pPr>
        <w:rPr>
          <w:szCs w:val="22"/>
          <w:lang w:val="en-CA"/>
        </w:rPr>
      </w:pPr>
      <w:r w:rsidRPr="00455F2E">
        <w:rPr>
          <w:b/>
          <w:szCs w:val="22"/>
          <w:lang w:val="en-CA"/>
        </w:rPr>
        <w:t xml:space="preserve">Canon </w:t>
      </w:r>
      <w:proofErr w:type="spellStart"/>
      <w:r w:rsidRPr="00455F2E">
        <w:rPr>
          <w:b/>
          <w:szCs w:val="22"/>
          <w:lang w:val="en-CA"/>
        </w:rPr>
        <w:t>Inc</w:t>
      </w:r>
      <w:proofErr w:type="spellEnd"/>
      <w:r w:rsidRPr="00455F2E">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D5D85" w14:textId="77777777" w:rsidR="00A90204" w:rsidRDefault="00A90204">
      <w:r>
        <w:separator/>
      </w:r>
    </w:p>
  </w:endnote>
  <w:endnote w:type="continuationSeparator" w:id="0">
    <w:p w14:paraId="3808A485" w14:textId="77777777" w:rsidR="00A90204" w:rsidRDefault="00A9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8F7670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729D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729DA">
      <w:rPr>
        <w:rStyle w:val="PageNumber"/>
        <w:noProof/>
      </w:rPr>
      <w:t>2018-12-20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9F11E" w14:textId="77777777" w:rsidR="00A90204" w:rsidRDefault="00A90204">
      <w:r>
        <w:separator/>
      </w:r>
    </w:p>
  </w:footnote>
  <w:footnote w:type="continuationSeparator" w:id="0">
    <w:p w14:paraId="43385CA3" w14:textId="77777777" w:rsidR="00A90204" w:rsidRDefault="00A90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B0C0F"/>
    <w:rsid w:val="000B1C6B"/>
    <w:rsid w:val="000B4FF9"/>
    <w:rsid w:val="000C09AC"/>
    <w:rsid w:val="000C6777"/>
    <w:rsid w:val="000E00F3"/>
    <w:rsid w:val="000F158C"/>
    <w:rsid w:val="000F24FD"/>
    <w:rsid w:val="000F6D08"/>
    <w:rsid w:val="00102F3D"/>
    <w:rsid w:val="00124E38"/>
    <w:rsid w:val="0012580B"/>
    <w:rsid w:val="00131F90"/>
    <w:rsid w:val="0013458C"/>
    <w:rsid w:val="0013526E"/>
    <w:rsid w:val="00146152"/>
    <w:rsid w:val="00154C32"/>
    <w:rsid w:val="00155526"/>
    <w:rsid w:val="00155DF4"/>
    <w:rsid w:val="00171371"/>
    <w:rsid w:val="00175A24"/>
    <w:rsid w:val="00187E58"/>
    <w:rsid w:val="001A15B5"/>
    <w:rsid w:val="001A297E"/>
    <w:rsid w:val="001A368E"/>
    <w:rsid w:val="001A7329"/>
    <w:rsid w:val="001A792F"/>
    <w:rsid w:val="001B4E28"/>
    <w:rsid w:val="001B69FA"/>
    <w:rsid w:val="001C3525"/>
    <w:rsid w:val="001C3AFB"/>
    <w:rsid w:val="001D1BD2"/>
    <w:rsid w:val="001E0248"/>
    <w:rsid w:val="001E02BE"/>
    <w:rsid w:val="001E3B37"/>
    <w:rsid w:val="001F2594"/>
    <w:rsid w:val="002055A6"/>
    <w:rsid w:val="00206460"/>
    <w:rsid w:val="002069B4"/>
    <w:rsid w:val="00215DFC"/>
    <w:rsid w:val="002172A8"/>
    <w:rsid w:val="002212DF"/>
    <w:rsid w:val="00222CD4"/>
    <w:rsid w:val="00225016"/>
    <w:rsid w:val="002264A6"/>
    <w:rsid w:val="00227BA7"/>
    <w:rsid w:val="0023011C"/>
    <w:rsid w:val="002375C1"/>
    <w:rsid w:val="00263398"/>
    <w:rsid w:val="00263B99"/>
    <w:rsid w:val="00266F06"/>
    <w:rsid w:val="00275BCF"/>
    <w:rsid w:val="00291E36"/>
    <w:rsid w:val="00292257"/>
    <w:rsid w:val="00293C29"/>
    <w:rsid w:val="002A54E0"/>
    <w:rsid w:val="002B1595"/>
    <w:rsid w:val="002B191D"/>
    <w:rsid w:val="002D0AF6"/>
    <w:rsid w:val="002F164D"/>
    <w:rsid w:val="003021BC"/>
    <w:rsid w:val="00305C31"/>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2986"/>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52C"/>
    <w:rsid w:val="005441A2"/>
    <w:rsid w:val="00550A66"/>
    <w:rsid w:val="00567EC7"/>
    <w:rsid w:val="00570013"/>
    <w:rsid w:val="005758A4"/>
    <w:rsid w:val="005801A2"/>
    <w:rsid w:val="005952A5"/>
    <w:rsid w:val="005A33A1"/>
    <w:rsid w:val="005A5AEB"/>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B4189"/>
    <w:rsid w:val="006C5D39"/>
    <w:rsid w:val="006D6D9B"/>
    <w:rsid w:val="006E2810"/>
    <w:rsid w:val="006E5417"/>
    <w:rsid w:val="006F0794"/>
    <w:rsid w:val="006F76D3"/>
    <w:rsid w:val="007023DE"/>
    <w:rsid w:val="00704CDE"/>
    <w:rsid w:val="00712F60"/>
    <w:rsid w:val="00720E3B"/>
    <w:rsid w:val="007268FE"/>
    <w:rsid w:val="0074393F"/>
    <w:rsid w:val="00745F6B"/>
    <w:rsid w:val="0075585E"/>
    <w:rsid w:val="00770571"/>
    <w:rsid w:val="007768FF"/>
    <w:rsid w:val="00781444"/>
    <w:rsid w:val="007824D3"/>
    <w:rsid w:val="00796EE3"/>
    <w:rsid w:val="007A7D29"/>
    <w:rsid w:val="007B4AB8"/>
    <w:rsid w:val="007D1181"/>
    <w:rsid w:val="007E01A3"/>
    <w:rsid w:val="007E423B"/>
    <w:rsid w:val="007F1F8B"/>
    <w:rsid w:val="007F67A1"/>
    <w:rsid w:val="00811C05"/>
    <w:rsid w:val="008206C8"/>
    <w:rsid w:val="0086387C"/>
    <w:rsid w:val="00874A6C"/>
    <w:rsid w:val="00876C65"/>
    <w:rsid w:val="008A4B4C"/>
    <w:rsid w:val="008C239F"/>
    <w:rsid w:val="008E480C"/>
    <w:rsid w:val="00907757"/>
    <w:rsid w:val="009154C9"/>
    <w:rsid w:val="009212B0"/>
    <w:rsid w:val="00921FA1"/>
    <w:rsid w:val="009234A5"/>
    <w:rsid w:val="00933453"/>
    <w:rsid w:val="009336F7"/>
    <w:rsid w:val="0093636C"/>
    <w:rsid w:val="009374A7"/>
    <w:rsid w:val="00944B68"/>
    <w:rsid w:val="00955F6D"/>
    <w:rsid w:val="009729DA"/>
    <w:rsid w:val="00977C16"/>
    <w:rsid w:val="0098551D"/>
    <w:rsid w:val="0099518F"/>
    <w:rsid w:val="009A523D"/>
    <w:rsid w:val="009A5C87"/>
    <w:rsid w:val="009B02A1"/>
    <w:rsid w:val="009D5B6C"/>
    <w:rsid w:val="009D7CE6"/>
    <w:rsid w:val="009F496B"/>
    <w:rsid w:val="00A01439"/>
    <w:rsid w:val="00A02E61"/>
    <w:rsid w:val="00A05CFF"/>
    <w:rsid w:val="00A13048"/>
    <w:rsid w:val="00A46843"/>
    <w:rsid w:val="00A56B97"/>
    <w:rsid w:val="00A57E93"/>
    <w:rsid w:val="00A6093D"/>
    <w:rsid w:val="00A767DC"/>
    <w:rsid w:val="00A76A6D"/>
    <w:rsid w:val="00A83253"/>
    <w:rsid w:val="00A90204"/>
    <w:rsid w:val="00AA6E84"/>
    <w:rsid w:val="00AB1A1C"/>
    <w:rsid w:val="00AD05A8"/>
    <w:rsid w:val="00AD7595"/>
    <w:rsid w:val="00AE341B"/>
    <w:rsid w:val="00B01905"/>
    <w:rsid w:val="00B07CA7"/>
    <w:rsid w:val="00B1279A"/>
    <w:rsid w:val="00B156DC"/>
    <w:rsid w:val="00B4194A"/>
    <w:rsid w:val="00B437E8"/>
    <w:rsid w:val="00B5222E"/>
    <w:rsid w:val="00B53179"/>
    <w:rsid w:val="00B57A23"/>
    <w:rsid w:val="00B600CD"/>
    <w:rsid w:val="00B61C96"/>
    <w:rsid w:val="00B649C0"/>
    <w:rsid w:val="00B73A2A"/>
    <w:rsid w:val="00B75A51"/>
    <w:rsid w:val="00B827C6"/>
    <w:rsid w:val="00B94B06"/>
    <w:rsid w:val="00B94C28"/>
    <w:rsid w:val="00BC10BA"/>
    <w:rsid w:val="00BC5AFD"/>
    <w:rsid w:val="00C00DDE"/>
    <w:rsid w:val="00C04F43"/>
    <w:rsid w:val="00C0609D"/>
    <w:rsid w:val="00C10D71"/>
    <w:rsid w:val="00C115AB"/>
    <w:rsid w:val="00C13ED1"/>
    <w:rsid w:val="00C26CCB"/>
    <w:rsid w:val="00C30249"/>
    <w:rsid w:val="00C3723B"/>
    <w:rsid w:val="00C42466"/>
    <w:rsid w:val="00C606C9"/>
    <w:rsid w:val="00C80288"/>
    <w:rsid w:val="00C84003"/>
    <w:rsid w:val="00C850D4"/>
    <w:rsid w:val="00C90650"/>
    <w:rsid w:val="00C97D78"/>
    <w:rsid w:val="00CC2AAE"/>
    <w:rsid w:val="00CC5A42"/>
    <w:rsid w:val="00CD0EAB"/>
    <w:rsid w:val="00CD106D"/>
    <w:rsid w:val="00CE5E02"/>
    <w:rsid w:val="00CF34DB"/>
    <w:rsid w:val="00CF558F"/>
    <w:rsid w:val="00D010C0"/>
    <w:rsid w:val="00D073E2"/>
    <w:rsid w:val="00D403F8"/>
    <w:rsid w:val="00D446EC"/>
    <w:rsid w:val="00D47CD4"/>
    <w:rsid w:val="00D51BF0"/>
    <w:rsid w:val="00D531DB"/>
    <w:rsid w:val="00D55942"/>
    <w:rsid w:val="00D807BF"/>
    <w:rsid w:val="00D82FCC"/>
    <w:rsid w:val="00DA17FC"/>
    <w:rsid w:val="00DA7887"/>
    <w:rsid w:val="00DB2C26"/>
    <w:rsid w:val="00DD02F4"/>
    <w:rsid w:val="00DD3EFD"/>
    <w:rsid w:val="00DD6622"/>
    <w:rsid w:val="00DE1C7C"/>
    <w:rsid w:val="00DE6B43"/>
    <w:rsid w:val="00DF2573"/>
    <w:rsid w:val="00DF5E9C"/>
    <w:rsid w:val="00E11923"/>
    <w:rsid w:val="00E12E52"/>
    <w:rsid w:val="00E262D4"/>
    <w:rsid w:val="00E36250"/>
    <w:rsid w:val="00E47F2D"/>
    <w:rsid w:val="00E54511"/>
    <w:rsid w:val="00E61DAC"/>
    <w:rsid w:val="00E72B80"/>
    <w:rsid w:val="00E75FE3"/>
    <w:rsid w:val="00E86C4C"/>
    <w:rsid w:val="00E907A3"/>
    <w:rsid w:val="00EA5AE0"/>
    <w:rsid w:val="00EB439C"/>
    <w:rsid w:val="00EB56E1"/>
    <w:rsid w:val="00EB7AB1"/>
    <w:rsid w:val="00EE7CD8"/>
    <w:rsid w:val="00EF37F6"/>
    <w:rsid w:val="00EF48CC"/>
    <w:rsid w:val="00F00801"/>
    <w:rsid w:val="00F2488D"/>
    <w:rsid w:val="00F257A4"/>
    <w:rsid w:val="00F601A0"/>
    <w:rsid w:val="00F712E9"/>
    <w:rsid w:val="00F73032"/>
    <w:rsid w:val="00F848FC"/>
    <w:rsid w:val="00F906F6"/>
    <w:rsid w:val="00F9282A"/>
    <w:rsid w:val="00F96BAD"/>
    <w:rsid w:val="00FA139D"/>
    <w:rsid w:val="00FB0E84"/>
    <w:rsid w:val="00FB30D6"/>
    <w:rsid w:val="00FC2405"/>
    <w:rsid w:val="00FD01C2"/>
    <w:rsid w:val="00FE595C"/>
    <w:rsid w:val="00FF0CE3"/>
    <w:rsid w:val="00FF66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12E52"/>
    <w:pPr>
      <w:ind w:left="720"/>
      <w:contextualSpacing/>
    </w:pPr>
  </w:style>
  <w:style w:type="paragraph" w:styleId="Caption">
    <w:name w:val="caption"/>
    <w:basedOn w:val="Normal"/>
    <w:next w:val="Normal"/>
    <w:unhideWhenUsed/>
    <w:qFormat/>
    <w:rsid w:val="00C13ED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2443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454470">
      <w:bodyDiv w:val="1"/>
      <w:marLeft w:val="0"/>
      <w:marRight w:val="0"/>
      <w:marTop w:val="0"/>
      <w:marBottom w:val="0"/>
      <w:divBdr>
        <w:top w:val="none" w:sz="0" w:space="0" w:color="auto"/>
        <w:left w:val="none" w:sz="0" w:space="0" w:color="auto"/>
        <w:bottom w:val="none" w:sz="0" w:space="0" w:color="auto"/>
        <w:right w:val="none" w:sz="0" w:space="0" w:color="auto"/>
      </w:divBdr>
    </w:div>
    <w:div w:id="2096201136">
      <w:bodyDiv w:val="1"/>
      <w:marLeft w:val="0"/>
      <w:marRight w:val="0"/>
      <w:marTop w:val="0"/>
      <w:marBottom w:val="0"/>
      <w:divBdr>
        <w:top w:val="none" w:sz="0" w:space="0" w:color="auto"/>
        <w:left w:val="none" w:sz="0" w:space="0" w:color="auto"/>
        <w:bottom w:val="none" w:sz="0" w:space="0" w:color="auto"/>
        <w:right w:val="none" w:sz="0" w:space="0" w:color="auto"/>
      </w:divBdr>
    </w:div>
    <w:div w:id="210615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w.dorrell@cisra.canon.com.au"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mailto:chris.rosewarne@cisra.canon.com.a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DDA37-A029-471C-A417-67F914FF6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4</Pages>
  <Words>918</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cp:lastModifiedBy>
  <cp:revision>28</cp:revision>
  <cp:lastPrinted>1900-01-01T08:00:00Z</cp:lastPrinted>
  <dcterms:created xsi:type="dcterms:W3CDTF">2018-09-23T04:51:00Z</dcterms:created>
  <dcterms:modified xsi:type="dcterms:W3CDTF">2019-01-02T06:51:00Z</dcterms:modified>
</cp:coreProperties>
</file>