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77DE208D"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0007EB">
              <w:rPr>
                <w:lang w:val="en-CA"/>
              </w:rPr>
              <w:t>0252</w:t>
            </w:r>
            <w:bookmarkStart w:id="0" w:name="_GoBack"/>
            <w:bookmarkEnd w:id="0"/>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05524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13AD129" w:rsidR="00E61DAC" w:rsidRPr="005B217D" w:rsidRDefault="00DC710B" w:rsidP="009D7CE6">
            <w:pPr>
              <w:spacing w:before="60" w:after="60"/>
              <w:rPr>
                <w:b/>
                <w:szCs w:val="22"/>
                <w:lang w:val="en-CA"/>
              </w:rPr>
            </w:pPr>
            <w:r>
              <w:rPr>
                <w:b/>
                <w:szCs w:val="22"/>
                <w:lang w:val="en-CA"/>
              </w:rPr>
              <w:t>CE</w:t>
            </w:r>
            <w:r w:rsidR="0044506E">
              <w:rPr>
                <w:b/>
                <w:szCs w:val="22"/>
                <w:lang w:val="en-CA"/>
              </w:rPr>
              <w:t>10.2.2: Overlapped block motion compensation (OBMC) early termination</w:t>
            </w:r>
          </w:p>
        </w:tc>
      </w:tr>
      <w:tr w:rsidR="00E61DAC" w:rsidRPr="005B217D" w14:paraId="3D8B01B2" w14:textId="77777777" w:rsidTr="0005524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E0B604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5524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2924257" w:rsidR="00E61DAC" w:rsidRPr="005B217D" w:rsidRDefault="00E61DAC" w:rsidP="005E1AC6">
            <w:pPr>
              <w:spacing w:before="60" w:after="60"/>
              <w:rPr>
                <w:szCs w:val="22"/>
                <w:lang w:val="en-CA"/>
              </w:rPr>
            </w:pPr>
            <w:r w:rsidRPr="005B217D">
              <w:rPr>
                <w:szCs w:val="22"/>
                <w:lang w:val="en-CA"/>
              </w:rPr>
              <w:t>Proposal</w:t>
            </w:r>
          </w:p>
        </w:tc>
      </w:tr>
      <w:tr w:rsidR="00055249" w:rsidRPr="005B217D" w14:paraId="714CD808" w14:textId="77777777" w:rsidTr="00055249">
        <w:tc>
          <w:tcPr>
            <w:tcW w:w="1458" w:type="dxa"/>
          </w:tcPr>
          <w:p w14:paraId="4DB59313" w14:textId="77777777" w:rsidR="00055249" w:rsidRPr="005B217D" w:rsidRDefault="00055249" w:rsidP="00055249">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02340FC2" w:rsidR="00055249" w:rsidRPr="005B217D" w:rsidRDefault="00055249" w:rsidP="00055249">
            <w:pPr>
              <w:spacing w:before="60" w:after="60"/>
              <w:rPr>
                <w:szCs w:val="22"/>
                <w:lang w:val="en-CA"/>
              </w:rPr>
            </w:pPr>
            <w:r>
              <w:rPr>
                <w:szCs w:val="22"/>
                <w:lang w:val="en-CA"/>
              </w:rPr>
              <w:t>Xiaoyu Xiu, Yuwen He, Yan Ye</w:t>
            </w:r>
            <w:r w:rsidRPr="005B217D">
              <w:rPr>
                <w:szCs w:val="22"/>
                <w:lang w:val="en-CA"/>
              </w:rPr>
              <w:br/>
            </w:r>
            <w:r>
              <w:rPr>
                <w:szCs w:val="22"/>
                <w:lang w:val="en-CA"/>
              </w:rPr>
              <w:t>9276 Scranton Road, Suite 300</w:t>
            </w:r>
            <w:r w:rsidRPr="005B217D">
              <w:rPr>
                <w:szCs w:val="22"/>
                <w:lang w:val="en-CA"/>
              </w:rPr>
              <w:br/>
            </w:r>
            <w:r>
              <w:rPr>
                <w:szCs w:val="22"/>
                <w:lang w:val="en-CA"/>
              </w:rPr>
              <w:t>San Diego, CA 92121, USA</w:t>
            </w:r>
          </w:p>
        </w:tc>
        <w:tc>
          <w:tcPr>
            <w:tcW w:w="900" w:type="dxa"/>
          </w:tcPr>
          <w:p w14:paraId="0140ECA2" w14:textId="77777777" w:rsidR="00055249" w:rsidRPr="005B217D" w:rsidRDefault="00055249" w:rsidP="00055249">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1878080A" w14:textId="77777777" w:rsidR="00055249" w:rsidRDefault="00055249" w:rsidP="00055249">
            <w:pPr>
              <w:spacing w:before="0"/>
              <w:rPr>
                <w:szCs w:val="22"/>
                <w:lang w:val="en-CA"/>
              </w:rPr>
            </w:pPr>
            <w:r w:rsidRPr="005B217D">
              <w:rPr>
                <w:szCs w:val="22"/>
                <w:lang w:val="en-CA"/>
              </w:rPr>
              <w:br/>
            </w:r>
            <w:r>
              <w:rPr>
                <w:szCs w:val="22"/>
                <w:lang w:val="en-CA"/>
              </w:rPr>
              <w:t>+1-858-210-4830</w:t>
            </w:r>
            <w:r w:rsidRPr="005B217D">
              <w:rPr>
                <w:szCs w:val="22"/>
                <w:lang w:val="en-CA"/>
              </w:rPr>
              <w:br/>
            </w:r>
            <w:hyperlink r:id="rId10" w:history="1">
              <w:r>
                <w:rPr>
                  <w:rStyle w:val="Hyperlink"/>
                  <w:szCs w:val="22"/>
                  <w:lang w:val="en-CA"/>
                </w:rPr>
                <w:t>Xiaoyu.Xiu@InterDigital.com</w:t>
              </w:r>
            </w:hyperlink>
          </w:p>
          <w:p w14:paraId="4FD91590" w14:textId="77777777" w:rsidR="00055249" w:rsidRDefault="00055249" w:rsidP="00055249">
            <w:pPr>
              <w:spacing w:before="0"/>
              <w:rPr>
                <w:szCs w:val="22"/>
                <w:lang w:val="en-CA"/>
              </w:rPr>
            </w:pPr>
            <w:r>
              <w:rPr>
                <w:rStyle w:val="Hyperlink"/>
                <w:szCs w:val="22"/>
                <w:lang w:val="en-CA"/>
              </w:rPr>
              <w:t>Yuwen.He@InterDigital.com</w:t>
            </w:r>
            <w:r>
              <w:rPr>
                <w:szCs w:val="22"/>
                <w:lang w:val="en-CA"/>
              </w:rPr>
              <w:t xml:space="preserve"> </w:t>
            </w:r>
          </w:p>
          <w:p w14:paraId="32C2ABFD" w14:textId="561D1C6A" w:rsidR="00055249" w:rsidRPr="005B217D" w:rsidRDefault="00854051" w:rsidP="00055249">
            <w:pPr>
              <w:spacing w:before="60" w:after="60"/>
              <w:rPr>
                <w:szCs w:val="22"/>
                <w:lang w:val="en-CA"/>
              </w:rPr>
            </w:pPr>
            <w:hyperlink r:id="rId11" w:history="1">
              <w:r w:rsidR="00055249">
                <w:rPr>
                  <w:rStyle w:val="Hyperlink"/>
                  <w:szCs w:val="22"/>
                  <w:lang w:val="en-CA"/>
                </w:rPr>
                <w:t>Yan.Ye@InterDigital.com</w:t>
              </w:r>
            </w:hyperlink>
          </w:p>
        </w:tc>
      </w:tr>
      <w:tr w:rsidR="00055249" w:rsidRPr="005B217D" w14:paraId="49AFAA61" w14:textId="77777777" w:rsidTr="00055249">
        <w:tc>
          <w:tcPr>
            <w:tcW w:w="1458" w:type="dxa"/>
          </w:tcPr>
          <w:p w14:paraId="2C08AF6B" w14:textId="77777777" w:rsidR="00055249" w:rsidRPr="005B217D" w:rsidRDefault="00055249" w:rsidP="00055249">
            <w:pPr>
              <w:spacing w:before="60" w:after="60"/>
              <w:rPr>
                <w:i/>
                <w:szCs w:val="22"/>
                <w:lang w:val="en-CA"/>
              </w:rPr>
            </w:pPr>
            <w:r w:rsidRPr="005B217D">
              <w:rPr>
                <w:i/>
                <w:szCs w:val="22"/>
                <w:lang w:val="en-CA"/>
              </w:rPr>
              <w:t>Source:</w:t>
            </w:r>
          </w:p>
        </w:tc>
        <w:tc>
          <w:tcPr>
            <w:tcW w:w="8118" w:type="dxa"/>
            <w:gridSpan w:val="3"/>
          </w:tcPr>
          <w:p w14:paraId="643E6B85" w14:textId="66378C2D" w:rsidR="00055249" w:rsidRPr="005B217D" w:rsidRDefault="00055249" w:rsidP="00055249">
            <w:pPr>
              <w:spacing w:before="60" w:after="60"/>
              <w:rPr>
                <w:szCs w:val="22"/>
                <w:lang w:val="en-CA"/>
              </w:rPr>
            </w:pPr>
            <w:proofErr w:type="spellStart"/>
            <w:r>
              <w:rPr>
                <w:szCs w:val="22"/>
                <w:lang w:val="en-CA"/>
              </w:rPr>
              <w:t>InterDigital</w:t>
            </w:r>
            <w:proofErr w:type="spellEnd"/>
            <w:r>
              <w:rPr>
                <w:szCs w:val="22"/>
                <w:lang w:val="en-CA"/>
              </w:rPr>
              <w:t xml:space="preserve">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C468DBD" w:rsidR="00275BCF" w:rsidRDefault="00275BCF" w:rsidP="009234A5">
      <w:pPr>
        <w:pStyle w:val="Heading1"/>
        <w:ind w:left="432" w:hanging="432"/>
        <w:rPr>
          <w:lang w:val="en-CA"/>
        </w:rPr>
      </w:pPr>
      <w:r w:rsidRPr="005B217D">
        <w:rPr>
          <w:lang w:val="en-CA"/>
        </w:rPr>
        <w:t>Abstract</w:t>
      </w:r>
    </w:p>
    <w:p w14:paraId="73669534" w14:textId="77777777" w:rsidR="0030408B" w:rsidRDefault="0044506E" w:rsidP="0030408B">
      <w:pPr>
        <w:rPr>
          <w:lang w:val="en-CA"/>
        </w:rPr>
      </w:pPr>
      <w:r>
        <w:rPr>
          <w:lang w:val="en-CA"/>
        </w:rPr>
        <w:t>This document reports the results of Core Experiment (CE) 10.2.2 on early termination for overlapped block motion compensation (OBMC). In this CE test, the OBMC design in the joint exploration model (JEM)-7.0 is used as the base. Additionally, one early termination method is applied to skip some motion compensation processes based on the difference between the motion vectors (MVs) of the current block/sub-block and its spatial neighbors. Simulation results show that compared to the VTM-2.0.1 anchors, with the proposed early termination method, the average {Y, U, V} BD-rate savings of {</w:t>
      </w:r>
      <w:r w:rsidR="007F0861">
        <w:rPr>
          <w:lang w:val="en-CA"/>
        </w:rPr>
        <w:t>1.04%, 1.95%, 2.13%</w:t>
      </w:r>
      <w:r>
        <w:rPr>
          <w:lang w:val="en-CA"/>
        </w:rPr>
        <w:t>} a</w:t>
      </w:r>
      <w:r w:rsidR="007F0861">
        <w:rPr>
          <w:lang w:val="en-CA"/>
        </w:rPr>
        <w:t>nd {1.43%, 2.27%, 2.23%} for RA and LD, respectively. The average encoding and decoding time are 106% and 108% for RA, and 108% and 111% for LD.</w:t>
      </w:r>
    </w:p>
    <w:p w14:paraId="7D2AC1F0" w14:textId="41EC3300" w:rsidR="00745F6B" w:rsidRPr="000E63E4" w:rsidRDefault="00745F6B" w:rsidP="004C18B0">
      <w:pPr>
        <w:pStyle w:val="Heading1"/>
        <w:numPr>
          <w:ilvl w:val="0"/>
          <w:numId w:val="16"/>
        </w:numPr>
        <w:ind w:left="360"/>
        <w:rPr>
          <w:lang w:val="en-CA"/>
        </w:rPr>
      </w:pPr>
      <w:bookmarkStart w:id="1" w:name="_Ref525075319"/>
      <w:r w:rsidRPr="000E63E4">
        <w:rPr>
          <w:lang w:val="en-CA"/>
        </w:rPr>
        <w:t>Introduction</w:t>
      </w:r>
      <w:bookmarkEnd w:id="1"/>
    </w:p>
    <w:p w14:paraId="7E62F36B" w14:textId="0EE8A6FC" w:rsidR="00162859" w:rsidRDefault="00162859" w:rsidP="004234F0">
      <w:pPr>
        <w:rPr>
          <w:szCs w:val="22"/>
          <w:lang w:val="en-CA"/>
        </w:rPr>
      </w:pPr>
      <w:r>
        <w:rPr>
          <w:lang w:val="en-CA"/>
        </w:rPr>
        <w:t xml:space="preserve">Overlapped block motion compensation (OBMC) is one coding tool in joint exploration model (JEM)-7.0 </w:t>
      </w:r>
      <w:r>
        <w:rPr>
          <w:lang w:val="en-CA"/>
        </w:rPr>
        <w:fldChar w:fldCharType="begin"/>
      </w:r>
      <w:r>
        <w:rPr>
          <w:lang w:val="en-CA"/>
        </w:rPr>
        <w:instrText xml:space="preserve"> REF _Ref518314073 \r \h </w:instrText>
      </w:r>
      <w:r>
        <w:rPr>
          <w:lang w:val="en-CA"/>
        </w:rPr>
      </w:r>
      <w:r>
        <w:rPr>
          <w:lang w:val="en-CA"/>
        </w:rPr>
        <w:fldChar w:fldCharType="separate"/>
      </w:r>
      <w:r>
        <w:rPr>
          <w:lang w:val="en-CA"/>
        </w:rPr>
        <w:t>[1]</w:t>
      </w:r>
      <w:r>
        <w:rPr>
          <w:lang w:val="en-CA"/>
        </w:rPr>
        <w:fldChar w:fldCharType="end"/>
      </w:r>
      <w:r>
        <w:rPr>
          <w:lang w:val="en-CA"/>
        </w:rPr>
        <w:t xml:space="preserve">, which reduce the blocking artifacts at the motion compensation stage by combining multiple prediction signals using the motion vectors (MVs) of spatial neighboring blocks of the current coding unit (CU). </w:t>
      </w:r>
      <w:r>
        <w:rPr>
          <w:lang w:eastAsia="ko-KR"/>
        </w:rPr>
        <w:t>Although it can improve the coding efficiency, the OBMC also introduces complexity increase to both encoder and decoder</w:t>
      </w:r>
      <w:r>
        <w:rPr>
          <w:lang w:val="en-CA"/>
        </w:rPr>
        <w:t>. To reduce the OBMC complexity, one early termination method was proposed i</w:t>
      </w:r>
      <w:r w:rsidR="00CB06E0">
        <w:rPr>
          <w:lang w:val="en-CA"/>
        </w:rPr>
        <w:t xml:space="preserve">n </w:t>
      </w:r>
      <w:r w:rsidR="00CB06E0">
        <w:rPr>
          <w:lang w:val="en-CA"/>
        </w:rPr>
        <w:fldChar w:fldCharType="begin"/>
      </w:r>
      <w:r w:rsidR="00CB06E0">
        <w:rPr>
          <w:lang w:val="en-CA"/>
        </w:rPr>
        <w:instrText xml:space="preserve"> REF _Ref525294633 \r \h </w:instrText>
      </w:r>
      <w:r w:rsidR="00CB06E0">
        <w:rPr>
          <w:lang w:val="en-CA"/>
        </w:rPr>
      </w:r>
      <w:r w:rsidR="00CB06E0">
        <w:rPr>
          <w:lang w:val="en-CA"/>
        </w:rPr>
        <w:fldChar w:fldCharType="separate"/>
      </w:r>
      <w:r w:rsidR="00CB06E0">
        <w:rPr>
          <w:lang w:val="en-CA"/>
        </w:rPr>
        <w:t>[2]</w:t>
      </w:r>
      <w:r w:rsidR="00CB06E0">
        <w:rPr>
          <w:lang w:val="en-CA"/>
        </w:rPr>
        <w:fldChar w:fldCharType="end"/>
      </w:r>
      <w:r w:rsidR="001946F4">
        <w:rPr>
          <w:lang w:val="en-CA"/>
        </w:rPr>
        <w:t xml:space="preserve"> that use the similarity between the MV of one current block and the MV of its spatial neighboring block to bypass some motion compensations during the OBMC</w:t>
      </w:r>
      <w:r w:rsidR="00CB06E0">
        <w:rPr>
          <w:lang w:val="en-CA"/>
        </w:rPr>
        <w:t>.</w:t>
      </w:r>
      <w:r w:rsidR="001946F4">
        <w:rPr>
          <w:lang w:val="en-CA"/>
        </w:rPr>
        <w:t xml:space="preserve"> The method was included in Core Experiment (CE) 10.2.2 for fu</w:t>
      </w:r>
      <w:r w:rsidR="00DF3E6D">
        <w:rPr>
          <w:lang w:val="en-CA"/>
        </w:rPr>
        <w:t>rther e</w:t>
      </w:r>
      <w:r w:rsidR="00EC304D">
        <w:rPr>
          <w:lang w:val="en-CA"/>
        </w:rPr>
        <w:t xml:space="preserve">valuation </w:t>
      </w:r>
      <w:r w:rsidR="00EC304D">
        <w:rPr>
          <w:lang w:val="en-CA"/>
        </w:rPr>
        <w:fldChar w:fldCharType="begin"/>
      </w:r>
      <w:r w:rsidR="00EC304D">
        <w:rPr>
          <w:lang w:val="en-CA"/>
        </w:rPr>
        <w:instrText xml:space="preserve"> REF _Ref525296045 \r \h </w:instrText>
      </w:r>
      <w:r w:rsidR="00EC304D">
        <w:rPr>
          <w:lang w:val="en-CA"/>
        </w:rPr>
      </w:r>
      <w:r w:rsidR="00EC304D">
        <w:rPr>
          <w:lang w:val="en-CA"/>
        </w:rPr>
        <w:fldChar w:fldCharType="separate"/>
      </w:r>
      <w:r w:rsidR="00EC304D">
        <w:rPr>
          <w:lang w:val="en-CA"/>
        </w:rPr>
        <w:t>[3]</w:t>
      </w:r>
      <w:r w:rsidR="00EC304D">
        <w:rPr>
          <w:lang w:val="en-CA"/>
        </w:rPr>
        <w:fldChar w:fldCharType="end"/>
      </w:r>
      <w:r w:rsidR="00EC304D">
        <w:rPr>
          <w:lang w:val="en-CA"/>
        </w:rPr>
        <w:t>. This document reports the simulation results of the CE test.</w:t>
      </w:r>
    </w:p>
    <w:p w14:paraId="48E76327" w14:textId="7DCD0F9F" w:rsidR="00071DAA" w:rsidRPr="00207E16" w:rsidRDefault="00071DAA" w:rsidP="00071DAA">
      <w:pPr>
        <w:pStyle w:val="Heading1"/>
        <w:numPr>
          <w:ilvl w:val="0"/>
          <w:numId w:val="16"/>
        </w:numPr>
        <w:ind w:left="360"/>
        <w:rPr>
          <w:lang w:val="en-CA"/>
        </w:rPr>
      </w:pPr>
      <w:r>
        <w:rPr>
          <w:lang w:val="en-CA"/>
        </w:rPr>
        <w:t>Technical description</w:t>
      </w:r>
    </w:p>
    <w:p w14:paraId="6458C603" w14:textId="124CB157" w:rsidR="006A03B4" w:rsidRDefault="006A03B4" w:rsidP="006A03B4">
      <w:r>
        <w:t>Some motion compensations are skipped during the OBMC process based on the similarity between</w:t>
      </w:r>
      <w:r w:rsidR="00287266">
        <w:t xml:space="preserve"> the MVs of</w:t>
      </w:r>
      <w:r>
        <w:t xml:space="preserve"> one current block and one of its spatial neighboring block. Specifically, each time before motion compensation is invoked using the motion information from a given neighboring block, the neighboring </w:t>
      </w:r>
      <w:r w:rsidR="00287266">
        <w:t>MV(s)</w:t>
      </w:r>
      <w:r>
        <w:t xml:space="preserve"> is compared to the current block’s </w:t>
      </w:r>
      <w:r w:rsidR="00287266">
        <w:t>MV(s)</w:t>
      </w:r>
      <w:r>
        <w:t xml:space="preserve"> based on the following three conditions:</w:t>
      </w:r>
    </w:p>
    <w:p w14:paraId="078A4D52" w14:textId="34B88C93" w:rsidR="00287266" w:rsidRDefault="006A03B4" w:rsidP="00287266">
      <w:pPr>
        <w:numPr>
          <w:ilvl w:val="0"/>
          <w:numId w:val="21"/>
        </w:numPr>
        <w:rPr>
          <w:szCs w:val="22"/>
        </w:rPr>
      </w:pPr>
      <w:r w:rsidRPr="00B556DC">
        <w:rPr>
          <w:szCs w:val="22"/>
        </w:rPr>
        <w:t xml:space="preserve">If </w:t>
      </w:r>
      <w:r w:rsidR="00287266">
        <w:rPr>
          <w:szCs w:val="22"/>
        </w:rPr>
        <w:t xml:space="preserve">all the prediction lists (i.e., either L0/L1 in </w:t>
      </w:r>
      <w:proofErr w:type="spellStart"/>
      <w:r w:rsidR="00287266">
        <w:rPr>
          <w:szCs w:val="22"/>
        </w:rPr>
        <w:t>uni</w:t>
      </w:r>
      <w:proofErr w:type="spellEnd"/>
      <w:r w:rsidR="00287266">
        <w:rPr>
          <w:szCs w:val="22"/>
        </w:rPr>
        <w:t>-prediction or both L0 and L1 in bi-prediction) that are used by the neighboring block are also used for the prediction of the current block;</w:t>
      </w:r>
    </w:p>
    <w:p w14:paraId="7908AD48" w14:textId="74668790" w:rsidR="006A03B4" w:rsidRPr="00B556DC" w:rsidRDefault="006A03B4" w:rsidP="00287266">
      <w:pPr>
        <w:numPr>
          <w:ilvl w:val="0"/>
          <w:numId w:val="21"/>
        </w:numPr>
        <w:rPr>
          <w:szCs w:val="22"/>
        </w:rPr>
      </w:pPr>
      <w:r w:rsidRPr="00B556DC">
        <w:rPr>
          <w:szCs w:val="22"/>
        </w:rPr>
        <w:t xml:space="preserve">If the same reference picture(s) are used by the neighboring </w:t>
      </w:r>
      <w:r w:rsidR="00287266">
        <w:rPr>
          <w:szCs w:val="22"/>
        </w:rPr>
        <w:t>MV(s)</w:t>
      </w:r>
      <w:r w:rsidRPr="00B556DC">
        <w:rPr>
          <w:szCs w:val="22"/>
        </w:rPr>
        <w:t xml:space="preserve"> and the current </w:t>
      </w:r>
      <w:r w:rsidR="00287266">
        <w:rPr>
          <w:szCs w:val="22"/>
        </w:rPr>
        <w:t>MV(s)</w:t>
      </w:r>
      <w:r w:rsidRPr="00B556DC">
        <w:rPr>
          <w:szCs w:val="22"/>
        </w:rPr>
        <w:t>;</w:t>
      </w:r>
    </w:p>
    <w:p w14:paraId="5CEC97F8" w14:textId="5CB68053" w:rsidR="006A03B4" w:rsidRPr="00B556DC" w:rsidRDefault="006A03B4" w:rsidP="006A03B4">
      <w:pPr>
        <w:numPr>
          <w:ilvl w:val="0"/>
          <w:numId w:val="21"/>
        </w:numPr>
        <w:rPr>
          <w:szCs w:val="22"/>
        </w:rPr>
      </w:pPr>
      <w:r w:rsidRPr="00B556DC">
        <w:rPr>
          <w:szCs w:val="22"/>
        </w:rPr>
        <w:t xml:space="preserve">If MV difference between the neighboring </w:t>
      </w:r>
      <w:r w:rsidR="00287266">
        <w:rPr>
          <w:szCs w:val="22"/>
        </w:rPr>
        <w:t xml:space="preserve">MV(s) </w:t>
      </w:r>
      <w:r w:rsidRPr="00B556DC">
        <w:rPr>
          <w:szCs w:val="22"/>
        </w:rPr>
        <w:t>and the current</w:t>
      </w:r>
      <w:r w:rsidR="00287266">
        <w:rPr>
          <w:szCs w:val="22"/>
        </w:rPr>
        <w:t xml:space="preserve"> MV(s) </w:t>
      </w:r>
      <w:r w:rsidRPr="00B556DC">
        <w:rPr>
          <w:szCs w:val="22"/>
        </w:rPr>
        <w:t xml:space="preserve">is no larger than </w:t>
      </w:r>
      <w:r w:rsidR="00287266">
        <w:rPr>
          <w:szCs w:val="22"/>
        </w:rPr>
        <w:t xml:space="preserve">pre-defined MV difference threshold </w:t>
      </w:r>
      <w:r w:rsidRPr="00B556DC">
        <w:rPr>
          <w:szCs w:val="22"/>
        </w:rPr>
        <w:t>(both L0 and L1 MVs are checked if bi-</w:t>
      </w:r>
      <w:proofErr w:type="spellStart"/>
      <w:r w:rsidRPr="00B556DC">
        <w:rPr>
          <w:szCs w:val="22"/>
        </w:rPr>
        <w:t>pred</w:t>
      </w:r>
      <w:proofErr w:type="spellEnd"/>
      <w:r w:rsidRPr="00B556DC">
        <w:rPr>
          <w:szCs w:val="22"/>
        </w:rPr>
        <w:t xml:space="preserve"> is used).</w:t>
      </w:r>
    </w:p>
    <w:p w14:paraId="28EB0BBA" w14:textId="5C186384" w:rsidR="009B641B" w:rsidRPr="009B641B" w:rsidRDefault="009B641B" w:rsidP="009B641B">
      <w:r>
        <w:t xml:space="preserve">If all the 3 conditions are met, then motion compensation is not performed (this is applicable to </w:t>
      </w:r>
      <w:proofErr w:type="spellStart"/>
      <w:r>
        <w:t>luma</w:t>
      </w:r>
      <w:proofErr w:type="spellEnd"/>
      <w:r>
        <w:t xml:space="preserve"> and chroma) using that given neighboring motion. Additionally, to achieve a better performance/complexity </w:t>
      </w:r>
      <w:r>
        <w:lastRenderedPageBreak/>
        <w:t>trade-off, two different threshold values</w:t>
      </w:r>
      <w:r w:rsidR="00F546B9">
        <w:t xml:space="preserve"> i.e., 1.5-pel and 1-pel,</w:t>
      </w:r>
      <w:r>
        <w:t xml:space="preserve"> are applied when the neighboring block is </w:t>
      </w:r>
      <w:proofErr w:type="spellStart"/>
      <w:r>
        <w:t>uni</w:t>
      </w:r>
      <w:proofErr w:type="spellEnd"/>
      <w:r>
        <w:t>-predicted or bi-predicted.</w:t>
      </w:r>
    </w:p>
    <w:p w14:paraId="08E0EC12" w14:textId="77777777" w:rsidR="00301C57" w:rsidRPr="006F54C4" w:rsidRDefault="00301C57" w:rsidP="00301C57">
      <w:pPr>
        <w:pStyle w:val="Heading1"/>
        <w:numPr>
          <w:ilvl w:val="0"/>
          <w:numId w:val="16"/>
        </w:numPr>
        <w:ind w:left="360"/>
        <w:rPr>
          <w:lang w:val="en-CA"/>
        </w:rPr>
      </w:pPr>
      <w:r>
        <w:rPr>
          <w:lang w:val="en-CA"/>
        </w:rPr>
        <w:t>Simulation results</w:t>
      </w:r>
    </w:p>
    <w:p w14:paraId="57D23B8D" w14:textId="5D864C3C" w:rsidR="00301C57" w:rsidRDefault="00301C57" w:rsidP="00301C57">
      <w:pPr>
        <w:rPr>
          <w:szCs w:val="22"/>
          <w:lang w:val="en-CA"/>
        </w:rPr>
      </w:pPr>
      <w:r>
        <w:rPr>
          <w:szCs w:val="22"/>
          <w:lang w:val="en-CA"/>
        </w:rPr>
        <w:t xml:space="preserve">The proposed method was implemented based on the BMS-2.0.1 reference software </w:t>
      </w:r>
      <w:r>
        <w:rPr>
          <w:szCs w:val="22"/>
          <w:lang w:val="en-CA"/>
        </w:rPr>
        <w:fldChar w:fldCharType="begin"/>
      </w:r>
      <w:r>
        <w:rPr>
          <w:szCs w:val="22"/>
          <w:lang w:val="en-CA"/>
        </w:rPr>
        <w:instrText xml:space="preserve"> REF _Ref525298766 \r \h </w:instrText>
      </w:r>
      <w:r>
        <w:rPr>
          <w:szCs w:val="22"/>
          <w:lang w:val="en-CA"/>
        </w:rPr>
      </w:r>
      <w:r>
        <w:rPr>
          <w:szCs w:val="22"/>
          <w:lang w:val="en-CA"/>
        </w:rPr>
        <w:fldChar w:fldCharType="separate"/>
      </w:r>
      <w:r>
        <w:rPr>
          <w:szCs w:val="22"/>
          <w:lang w:val="en-CA"/>
        </w:rPr>
        <w:t>[4]</w:t>
      </w:r>
      <w:r>
        <w:rPr>
          <w:szCs w:val="22"/>
          <w:lang w:val="en-CA"/>
        </w:rPr>
        <w:fldChar w:fldCharType="end"/>
      </w:r>
      <w:r>
        <w:rPr>
          <w:szCs w:val="22"/>
          <w:lang w:val="en-CA"/>
        </w:rPr>
        <w:t xml:space="preserve"> and tested using the VTM configuration. The test condition and evaluation criteria specified in CE10 </w:t>
      </w:r>
      <w:r>
        <w:rPr>
          <w:szCs w:val="22"/>
          <w:lang w:val="en-CA"/>
        </w:rPr>
        <w:fldChar w:fldCharType="begin"/>
      </w:r>
      <w:r>
        <w:rPr>
          <w:szCs w:val="22"/>
          <w:lang w:val="en-CA"/>
        </w:rPr>
        <w:instrText xml:space="preserve"> REF _Ref525296045 \r \h </w:instrText>
      </w:r>
      <w:r>
        <w:rPr>
          <w:szCs w:val="22"/>
          <w:lang w:val="en-CA"/>
        </w:rPr>
      </w:r>
      <w:r>
        <w:rPr>
          <w:szCs w:val="22"/>
          <w:lang w:val="en-CA"/>
        </w:rPr>
        <w:fldChar w:fldCharType="separate"/>
      </w:r>
      <w:r>
        <w:rPr>
          <w:szCs w:val="22"/>
          <w:lang w:val="en-CA"/>
        </w:rPr>
        <w:t>[3]</w:t>
      </w:r>
      <w:r>
        <w:rPr>
          <w:szCs w:val="22"/>
          <w:lang w:val="en-CA"/>
        </w:rPr>
        <w:fldChar w:fldCharType="end"/>
      </w:r>
      <w:r>
        <w:rPr>
          <w:szCs w:val="22"/>
          <w:lang w:val="en-CA"/>
        </w:rPr>
        <w:t xml:space="preserve"> are used for the simulations.</w:t>
      </w:r>
    </w:p>
    <w:tbl>
      <w:tblPr>
        <w:tblW w:w="6940" w:type="dxa"/>
        <w:jc w:val="center"/>
        <w:tblLook w:val="04A0" w:firstRow="1" w:lastRow="0" w:firstColumn="1" w:lastColumn="0" w:noHBand="0" w:noVBand="1"/>
      </w:tblPr>
      <w:tblGrid>
        <w:gridCol w:w="1640"/>
        <w:gridCol w:w="1144"/>
        <w:gridCol w:w="1144"/>
        <w:gridCol w:w="1144"/>
        <w:gridCol w:w="934"/>
        <w:gridCol w:w="934"/>
      </w:tblGrid>
      <w:tr w:rsidR="00B02319" w:rsidRPr="00B02319" w14:paraId="6B876EBE" w14:textId="77777777" w:rsidTr="00B02319">
        <w:trPr>
          <w:trHeight w:val="255"/>
          <w:jc w:val="center"/>
        </w:trPr>
        <w:tc>
          <w:tcPr>
            <w:tcW w:w="1640" w:type="dxa"/>
            <w:tcBorders>
              <w:top w:val="nil"/>
              <w:left w:val="nil"/>
              <w:bottom w:val="nil"/>
              <w:right w:val="nil"/>
            </w:tcBorders>
            <w:shd w:val="clear" w:color="auto" w:fill="auto"/>
            <w:noWrap/>
            <w:vAlign w:val="center"/>
            <w:hideMark/>
          </w:tcPr>
          <w:p w14:paraId="7F5F7566"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27BCEC"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02319">
              <w:rPr>
                <w:rFonts w:ascii="Arial" w:hAnsi="Arial" w:cs="Arial"/>
                <w:b/>
                <w:bCs/>
                <w:color w:val="000000"/>
                <w:sz w:val="18"/>
                <w:szCs w:val="18"/>
              </w:rPr>
              <w:t>Random Access Main 10</w:t>
            </w:r>
          </w:p>
        </w:tc>
      </w:tr>
      <w:tr w:rsidR="00B02319" w:rsidRPr="00B02319" w14:paraId="0FE78D1B" w14:textId="77777777" w:rsidTr="00B02319">
        <w:trPr>
          <w:trHeight w:val="255"/>
          <w:jc w:val="center"/>
        </w:trPr>
        <w:tc>
          <w:tcPr>
            <w:tcW w:w="1640" w:type="dxa"/>
            <w:tcBorders>
              <w:top w:val="nil"/>
              <w:left w:val="nil"/>
              <w:bottom w:val="nil"/>
              <w:right w:val="nil"/>
            </w:tcBorders>
            <w:shd w:val="clear" w:color="auto" w:fill="auto"/>
            <w:noWrap/>
            <w:vAlign w:val="center"/>
            <w:hideMark/>
          </w:tcPr>
          <w:p w14:paraId="45B05407"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9464B1"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02319">
              <w:rPr>
                <w:rFonts w:ascii="Arial" w:hAnsi="Arial" w:cs="Arial"/>
                <w:b/>
                <w:bCs/>
                <w:color w:val="000000"/>
                <w:sz w:val="18"/>
                <w:szCs w:val="18"/>
              </w:rPr>
              <w:t>Over VTM-2.0.1</w:t>
            </w:r>
          </w:p>
        </w:tc>
      </w:tr>
      <w:tr w:rsidR="00B02319" w:rsidRPr="00B02319" w14:paraId="3BA2236C" w14:textId="77777777" w:rsidTr="00B02319">
        <w:trPr>
          <w:trHeight w:val="255"/>
          <w:jc w:val="center"/>
        </w:trPr>
        <w:tc>
          <w:tcPr>
            <w:tcW w:w="1640" w:type="dxa"/>
            <w:tcBorders>
              <w:top w:val="nil"/>
              <w:left w:val="nil"/>
              <w:bottom w:val="nil"/>
              <w:right w:val="nil"/>
            </w:tcBorders>
            <w:shd w:val="clear" w:color="auto" w:fill="auto"/>
            <w:noWrap/>
            <w:vAlign w:val="center"/>
            <w:hideMark/>
          </w:tcPr>
          <w:p w14:paraId="411CFE21"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04E101B"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1DCCA6AA"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F228CD7"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B820013"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02319">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549CF4A"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02319">
              <w:rPr>
                <w:rFonts w:ascii="Arial" w:hAnsi="Arial" w:cs="Arial"/>
                <w:color w:val="000000"/>
                <w:sz w:val="18"/>
                <w:szCs w:val="18"/>
              </w:rPr>
              <w:t>DecT</w:t>
            </w:r>
            <w:proofErr w:type="spellEnd"/>
          </w:p>
        </w:tc>
      </w:tr>
      <w:tr w:rsidR="00B02319" w:rsidRPr="00B02319" w14:paraId="18847EE4" w14:textId="77777777" w:rsidTr="00B0231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35C265"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676F8690"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-0.48%</w:t>
            </w:r>
          </w:p>
        </w:tc>
        <w:tc>
          <w:tcPr>
            <w:tcW w:w="1144" w:type="dxa"/>
            <w:tcBorders>
              <w:top w:val="nil"/>
              <w:left w:val="nil"/>
              <w:bottom w:val="nil"/>
              <w:right w:val="nil"/>
            </w:tcBorders>
            <w:shd w:val="clear" w:color="auto" w:fill="auto"/>
            <w:noWrap/>
            <w:vAlign w:val="center"/>
            <w:hideMark/>
          </w:tcPr>
          <w:p w14:paraId="3C8A3567"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-1.10%</w:t>
            </w:r>
          </w:p>
        </w:tc>
        <w:tc>
          <w:tcPr>
            <w:tcW w:w="1144" w:type="dxa"/>
            <w:tcBorders>
              <w:top w:val="nil"/>
              <w:left w:val="nil"/>
              <w:bottom w:val="nil"/>
              <w:right w:val="single" w:sz="4" w:space="0" w:color="auto"/>
            </w:tcBorders>
            <w:shd w:val="clear" w:color="auto" w:fill="auto"/>
            <w:noWrap/>
            <w:vAlign w:val="center"/>
            <w:hideMark/>
          </w:tcPr>
          <w:p w14:paraId="1D2F8A42"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-1.32%</w:t>
            </w:r>
          </w:p>
        </w:tc>
        <w:tc>
          <w:tcPr>
            <w:tcW w:w="934" w:type="dxa"/>
            <w:tcBorders>
              <w:top w:val="nil"/>
              <w:left w:val="nil"/>
              <w:bottom w:val="nil"/>
              <w:right w:val="nil"/>
            </w:tcBorders>
            <w:shd w:val="clear" w:color="auto" w:fill="auto"/>
            <w:noWrap/>
            <w:vAlign w:val="center"/>
            <w:hideMark/>
          </w:tcPr>
          <w:p w14:paraId="43D7D7A6"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14:paraId="4A78D4B2"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104%</w:t>
            </w:r>
          </w:p>
        </w:tc>
      </w:tr>
      <w:tr w:rsidR="00B02319" w:rsidRPr="00B02319" w14:paraId="3A8FA60F" w14:textId="77777777" w:rsidTr="00B023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04BC95"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6C36C1C"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-1.26%</w:t>
            </w:r>
          </w:p>
        </w:tc>
        <w:tc>
          <w:tcPr>
            <w:tcW w:w="1144" w:type="dxa"/>
            <w:tcBorders>
              <w:top w:val="nil"/>
              <w:left w:val="nil"/>
              <w:bottom w:val="nil"/>
              <w:right w:val="nil"/>
            </w:tcBorders>
            <w:shd w:val="clear" w:color="auto" w:fill="auto"/>
            <w:noWrap/>
            <w:vAlign w:val="center"/>
            <w:hideMark/>
          </w:tcPr>
          <w:p w14:paraId="121728B2"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-2.18%</w:t>
            </w:r>
          </w:p>
        </w:tc>
        <w:tc>
          <w:tcPr>
            <w:tcW w:w="1144" w:type="dxa"/>
            <w:tcBorders>
              <w:top w:val="nil"/>
              <w:left w:val="nil"/>
              <w:bottom w:val="nil"/>
              <w:right w:val="single" w:sz="4" w:space="0" w:color="auto"/>
            </w:tcBorders>
            <w:shd w:val="clear" w:color="auto" w:fill="auto"/>
            <w:noWrap/>
            <w:vAlign w:val="center"/>
            <w:hideMark/>
          </w:tcPr>
          <w:p w14:paraId="1D80E2D3"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-2.23%</w:t>
            </w:r>
          </w:p>
        </w:tc>
        <w:tc>
          <w:tcPr>
            <w:tcW w:w="934" w:type="dxa"/>
            <w:tcBorders>
              <w:top w:val="nil"/>
              <w:left w:val="nil"/>
              <w:bottom w:val="nil"/>
              <w:right w:val="nil"/>
            </w:tcBorders>
            <w:shd w:val="clear" w:color="auto" w:fill="auto"/>
            <w:noWrap/>
            <w:vAlign w:val="center"/>
            <w:hideMark/>
          </w:tcPr>
          <w:p w14:paraId="748A67EE"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7CC206E6"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111%</w:t>
            </w:r>
          </w:p>
        </w:tc>
      </w:tr>
      <w:tr w:rsidR="00B02319" w:rsidRPr="00B02319" w14:paraId="1633182B" w14:textId="77777777" w:rsidTr="00B023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E254B5"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CD873A2"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-0.84%</w:t>
            </w:r>
          </w:p>
        </w:tc>
        <w:tc>
          <w:tcPr>
            <w:tcW w:w="1144" w:type="dxa"/>
            <w:tcBorders>
              <w:top w:val="nil"/>
              <w:left w:val="nil"/>
              <w:bottom w:val="nil"/>
              <w:right w:val="nil"/>
            </w:tcBorders>
            <w:shd w:val="clear" w:color="auto" w:fill="auto"/>
            <w:noWrap/>
            <w:vAlign w:val="center"/>
            <w:hideMark/>
          </w:tcPr>
          <w:p w14:paraId="66D8B317"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-2.00%</w:t>
            </w:r>
          </w:p>
        </w:tc>
        <w:tc>
          <w:tcPr>
            <w:tcW w:w="1144" w:type="dxa"/>
            <w:tcBorders>
              <w:top w:val="nil"/>
              <w:left w:val="nil"/>
              <w:bottom w:val="nil"/>
              <w:right w:val="single" w:sz="4" w:space="0" w:color="auto"/>
            </w:tcBorders>
            <w:shd w:val="clear" w:color="auto" w:fill="auto"/>
            <w:noWrap/>
            <w:vAlign w:val="center"/>
            <w:hideMark/>
          </w:tcPr>
          <w:p w14:paraId="225B5DC3"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-2.06%</w:t>
            </w:r>
          </w:p>
        </w:tc>
        <w:tc>
          <w:tcPr>
            <w:tcW w:w="934" w:type="dxa"/>
            <w:tcBorders>
              <w:top w:val="nil"/>
              <w:left w:val="nil"/>
              <w:bottom w:val="nil"/>
              <w:right w:val="nil"/>
            </w:tcBorders>
            <w:shd w:val="clear" w:color="auto" w:fill="auto"/>
            <w:noWrap/>
            <w:vAlign w:val="center"/>
            <w:hideMark/>
          </w:tcPr>
          <w:p w14:paraId="2628C49A"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050B1BB8"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107%</w:t>
            </w:r>
          </w:p>
        </w:tc>
      </w:tr>
      <w:tr w:rsidR="00B02319" w:rsidRPr="00B02319" w14:paraId="5F08E649" w14:textId="77777777" w:rsidTr="00B023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32F78C"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B4F8C1A"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-1.55%</w:t>
            </w:r>
          </w:p>
        </w:tc>
        <w:tc>
          <w:tcPr>
            <w:tcW w:w="1144" w:type="dxa"/>
            <w:tcBorders>
              <w:top w:val="nil"/>
              <w:left w:val="nil"/>
              <w:bottom w:val="nil"/>
              <w:right w:val="nil"/>
            </w:tcBorders>
            <w:shd w:val="clear" w:color="auto" w:fill="auto"/>
            <w:noWrap/>
            <w:vAlign w:val="center"/>
            <w:hideMark/>
          </w:tcPr>
          <w:p w14:paraId="15BE9DE9"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-2.36%</w:t>
            </w:r>
          </w:p>
        </w:tc>
        <w:tc>
          <w:tcPr>
            <w:tcW w:w="1144" w:type="dxa"/>
            <w:tcBorders>
              <w:top w:val="nil"/>
              <w:left w:val="nil"/>
              <w:bottom w:val="nil"/>
              <w:right w:val="single" w:sz="4" w:space="0" w:color="auto"/>
            </w:tcBorders>
            <w:shd w:val="clear" w:color="auto" w:fill="auto"/>
            <w:noWrap/>
            <w:vAlign w:val="center"/>
            <w:hideMark/>
          </w:tcPr>
          <w:p w14:paraId="4CBCACAA"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-2.74%</w:t>
            </w:r>
          </w:p>
        </w:tc>
        <w:tc>
          <w:tcPr>
            <w:tcW w:w="934" w:type="dxa"/>
            <w:tcBorders>
              <w:top w:val="nil"/>
              <w:left w:val="nil"/>
              <w:bottom w:val="nil"/>
              <w:right w:val="nil"/>
            </w:tcBorders>
            <w:shd w:val="clear" w:color="auto" w:fill="auto"/>
            <w:noWrap/>
            <w:vAlign w:val="center"/>
            <w:hideMark/>
          </w:tcPr>
          <w:p w14:paraId="7D38D85C"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08D14320"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112%</w:t>
            </w:r>
          </w:p>
        </w:tc>
      </w:tr>
      <w:tr w:rsidR="00B02319" w:rsidRPr="00B02319" w14:paraId="72968272" w14:textId="77777777" w:rsidTr="00B023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77592E"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4A531AC"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106F65FC"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1CA82780"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7A0020C1"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71F58259"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 </w:t>
            </w:r>
          </w:p>
        </w:tc>
      </w:tr>
      <w:tr w:rsidR="00B02319" w:rsidRPr="00B02319" w14:paraId="16F50C93" w14:textId="77777777" w:rsidTr="00B0231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1741D5"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02319">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7E4549F0"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-1.04%</w:t>
            </w:r>
          </w:p>
        </w:tc>
        <w:tc>
          <w:tcPr>
            <w:tcW w:w="1144" w:type="dxa"/>
            <w:tcBorders>
              <w:top w:val="single" w:sz="8" w:space="0" w:color="auto"/>
              <w:left w:val="nil"/>
              <w:bottom w:val="nil"/>
              <w:right w:val="nil"/>
            </w:tcBorders>
            <w:shd w:val="clear" w:color="auto" w:fill="auto"/>
            <w:noWrap/>
            <w:vAlign w:val="center"/>
            <w:hideMark/>
          </w:tcPr>
          <w:p w14:paraId="433279EB"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-1.95%</w:t>
            </w:r>
          </w:p>
        </w:tc>
        <w:tc>
          <w:tcPr>
            <w:tcW w:w="1144" w:type="dxa"/>
            <w:tcBorders>
              <w:top w:val="single" w:sz="8" w:space="0" w:color="auto"/>
              <w:left w:val="nil"/>
              <w:bottom w:val="nil"/>
              <w:right w:val="single" w:sz="4" w:space="0" w:color="auto"/>
            </w:tcBorders>
            <w:shd w:val="clear" w:color="auto" w:fill="auto"/>
            <w:noWrap/>
            <w:vAlign w:val="center"/>
            <w:hideMark/>
          </w:tcPr>
          <w:p w14:paraId="027BFE6C"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-2.13%</w:t>
            </w:r>
          </w:p>
        </w:tc>
        <w:tc>
          <w:tcPr>
            <w:tcW w:w="934" w:type="dxa"/>
            <w:tcBorders>
              <w:top w:val="single" w:sz="8" w:space="0" w:color="auto"/>
              <w:left w:val="nil"/>
              <w:bottom w:val="nil"/>
              <w:right w:val="nil"/>
            </w:tcBorders>
            <w:shd w:val="clear" w:color="auto" w:fill="auto"/>
            <w:noWrap/>
            <w:vAlign w:val="center"/>
            <w:hideMark/>
          </w:tcPr>
          <w:p w14:paraId="69DC24BD"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hideMark/>
          </w:tcPr>
          <w:p w14:paraId="3D7A46A5"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108%</w:t>
            </w:r>
          </w:p>
        </w:tc>
      </w:tr>
      <w:tr w:rsidR="00B02319" w:rsidRPr="00B02319" w14:paraId="3AD84C2C" w14:textId="77777777" w:rsidTr="00B0231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1F014B4"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02572B2A"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-1.39%</w:t>
            </w:r>
          </w:p>
        </w:tc>
        <w:tc>
          <w:tcPr>
            <w:tcW w:w="1144" w:type="dxa"/>
            <w:tcBorders>
              <w:top w:val="single" w:sz="8" w:space="0" w:color="auto"/>
              <w:left w:val="nil"/>
              <w:bottom w:val="single" w:sz="8" w:space="0" w:color="auto"/>
              <w:right w:val="nil"/>
            </w:tcBorders>
            <w:shd w:val="clear" w:color="auto" w:fill="auto"/>
            <w:noWrap/>
            <w:vAlign w:val="center"/>
            <w:hideMark/>
          </w:tcPr>
          <w:p w14:paraId="651FA1B4"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-2.40%</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98B601F"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-2.36%</w:t>
            </w:r>
          </w:p>
        </w:tc>
        <w:tc>
          <w:tcPr>
            <w:tcW w:w="934" w:type="dxa"/>
            <w:tcBorders>
              <w:top w:val="single" w:sz="8" w:space="0" w:color="auto"/>
              <w:left w:val="nil"/>
              <w:bottom w:val="single" w:sz="8" w:space="0" w:color="auto"/>
              <w:right w:val="nil"/>
            </w:tcBorders>
            <w:shd w:val="clear" w:color="auto" w:fill="auto"/>
            <w:noWrap/>
            <w:vAlign w:val="center"/>
            <w:hideMark/>
          </w:tcPr>
          <w:p w14:paraId="42F334B1"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108%</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07394352"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117%</w:t>
            </w:r>
          </w:p>
        </w:tc>
      </w:tr>
    </w:tbl>
    <w:p w14:paraId="0427895E" w14:textId="37D30A6F" w:rsidR="00B02319" w:rsidRDefault="00B02319" w:rsidP="00301C57">
      <w:pPr>
        <w:rPr>
          <w:szCs w:val="22"/>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B02319" w:rsidRPr="00B02319" w14:paraId="46386693" w14:textId="77777777" w:rsidTr="00B02319">
        <w:trPr>
          <w:trHeight w:val="255"/>
          <w:jc w:val="center"/>
        </w:trPr>
        <w:tc>
          <w:tcPr>
            <w:tcW w:w="1640" w:type="dxa"/>
            <w:tcBorders>
              <w:top w:val="nil"/>
              <w:left w:val="nil"/>
              <w:bottom w:val="nil"/>
              <w:right w:val="nil"/>
            </w:tcBorders>
            <w:shd w:val="clear" w:color="auto" w:fill="auto"/>
            <w:noWrap/>
            <w:vAlign w:val="center"/>
            <w:hideMark/>
          </w:tcPr>
          <w:p w14:paraId="5E0FAED0"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B25375"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02319">
              <w:rPr>
                <w:rFonts w:ascii="Arial" w:hAnsi="Arial" w:cs="Arial"/>
                <w:b/>
                <w:bCs/>
                <w:color w:val="000000"/>
                <w:sz w:val="18"/>
                <w:szCs w:val="18"/>
              </w:rPr>
              <w:t xml:space="preserve">Low delay B Main10 </w:t>
            </w:r>
          </w:p>
        </w:tc>
      </w:tr>
      <w:tr w:rsidR="00B02319" w:rsidRPr="00B02319" w14:paraId="39CB4C50" w14:textId="77777777" w:rsidTr="00B02319">
        <w:trPr>
          <w:trHeight w:val="255"/>
          <w:jc w:val="center"/>
        </w:trPr>
        <w:tc>
          <w:tcPr>
            <w:tcW w:w="1640" w:type="dxa"/>
            <w:tcBorders>
              <w:top w:val="nil"/>
              <w:left w:val="nil"/>
              <w:bottom w:val="nil"/>
              <w:right w:val="nil"/>
            </w:tcBorders>
            <w:shd w:val="clear" w:color="auto" w:fill="auto"/>
            <w:noWrap/>
            <w:vAlign w:val="center"/>
            <w:hideMark/>
          </w:tcPr>
          <w:p w14:paraId="7CC402A5"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6A66DB4"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02319">
              <w:rPr>
                <w:rFonts w:ascii="Arial" w:hAnsi="Arial" w:cs="Arial"/>
                <w:b/>
                <w:bCs/>
                <w:color w:val="000000"/>
                <w:sz w:val="18"/>
                <w:szCs w:val="18"/>
              </w:rPr>
              <w:t>Over VTM-2.0.1</w:t>
            </w:r>
          </w:p>
        </w:tc>
      </w:tr>
      <w:tr w:rsidR="00B02319" w:rsidRPr="00B02319" w14:paraId="06708202" w14:textId="77777777" w:rsidTr="00B02319">
        <w:trPr>
          <w:trHeight w:val="255"/>
          <w:jc w:val="center"/>
        </w:trPr>
        <w:tc>
          <w:tcPr>
            <w:tcW w:w="1640" w:type="dxa"/>
            <w:tcBorders>
              <w:top w:val="nil"/>
              <w:left w:val="nil"/>
              <w:bottom w:val="nil"/>
              <w:right w:val="nil"/>
            </w:tcBorders>
            <w:shd w:val="clear" w:color="auto" w:fill="auto"/>
            <w:noWrap/>
            <w:vAlign w:val="center"/>
            <w:hideMark/>
          </w:tcPr>
          <w:p w14:paraId="473B5C33"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B4CE0C6"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F57FA5F"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D2D04AC"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319257B"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02319">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6BFC836"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02319">
              <w:rPr>
                <w:rFonts w:ascii="Arial" w:hAnsi="Arial" w:cs="Arial"/>
                <w:color w:val="000000"/>
                <w:sz w:val="18"/>
                <w:szCs w:val="18"/>
              </w:rPr>
              <w:t>DecT</w:t>
            </w:r>
            <w:proofErr w:type="spellEnd"/>
          </w:p>
        </w:tc>
      </w:tr>
      <w:tr w:rsidR="00B02319" w:rsidRPr="00B02319" w14:paraId="552F8205" w14:textId="77777777" w:rsidTr="00B0231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3837A8"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8BBF2F5"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D64936B"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767857CB"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1CD047B"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1318E5E"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 </w:t>
            </w:r>
          </w:p>
        </w:tc>
      </w:tr>
      <w:tr w:rsidR="00B02319" w:rsidRPr="00B02319" w14:paraId="02994A8C" w14:textId="77777777" w:rsidTr="00B023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9BCA71"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5B2159C"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7BF3E33A"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566114F1"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56D388A"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2A1F01EA"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 </w:t>
            </w:r>
          </w:p>
        </w:tc>
      </w:tr>
      <w:tr w:rsidR="00B02319" w:rsidRPr="00B02319" w14:paraId="68D27480" w14:textId="77777777" w:rsidTr="00B023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CD9CD9"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64070F51"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-1.09%</w:t>
            </w:r>
          </w:p>
        </w:tc>
        <w:tc>
          <w:tcPr>
            <w:tcW w:w="1144" w:type="dxa"/>
            <w:tcBorders>
              <w:top w:val="nil"/>
              <w:left w:val="nil"/>
              <w:bottom w:val="nil"/>
              <w:right w:val="nil"/>
            </w:tcBorders>
            <w:shd w:val="clear" w:color="auto" w:fill="auto"/>
            <w:noWrap/>
            <w:vAlign w:val="center"/>
            <w:hideMark/>
          </w:tcPr>
          <w:p w14:paraId="7DE38923"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-1.99%</w:t>
            </w:r>
          </w:p>
        </w:tc>
        <w:tc>
          <w:tcPr>
            <w:tcW w:w="1144" w:type="dxa"/>
            <w:tcBorders>
              <w:top w:val="nil"/>
              <w:left w:val="nil"/>
              <w:bottom w:val="nil"/>
              <w:right w:val="single" w:sz="4" w:space="0" w:color="auto"/>
            </w:tcBorders>
            <w:shd w:val="clear" w:color="auto" w:fill="auto"/>
            <w:noWrap/>
            <w:vAlign w:val="center"/>
            <w:hideMark/>
          </w:tcPr>
          <w:p w14:paraId="1D110771"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-2.11%</w:t>
            </w:r>
          </w:p>
        </w:tc>
        <w:tc>
          <w:tcPr>
            <w:tcW w:w="934" w:type="dxa"/>
            <w:tcBorders>
              <w:top w:val="nil"/>
              <w:left w:val="nil"/>
              <w:bottom w:val="nil"/>
              <w:right w:val="nil"/>
            </w:tcBorders>
            <w:shd w:val="clear" w:color="auto" w:fill="auto"/>
            <w:noWrap/>
            <w:vAlign w:val="center"/>
            <w:hideMark/>
          </w:tcPr>
          <w:p w14:paraId="31573A1E"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108%</w:t>
            </w:r>
          </w:p>
        </w:tc>
        <w:tc>
          <w:tcPr>
            <w:tcW w:w="934" w:type="dxa"/>
            <w:tcBorders>
              <w:top w:val="nil"/>
              <w:left w:val="nil"/>
              <w:bottom w:val="nil"/>
              <w:right w:val="single" w:sz="8" w:space="0" w:color="auto"/>
            </w:tcBorders>
            <w:shd w:val="clear" w:color="auto" w:fill="auto"/>
            <w:noWrap/>
            <w:vAlign w:val="center"/>
            <w:hideMark/>
          </w:tcPr>
          <w:p w14:paraId="7A5D4FFC"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109%</w:t>
            </w:r>
          </w:p>
        </w:tc>
      </w:tr>
      <w:tr w:rsidR="00B02319" w:rsidRPr="00B02319" w14:paraId="3863F7E5" w14:textId="77777777" w:rsidTr="00B023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CC3960"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1C200C6"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-1.79%</w:t>
            </w:r>
          </w:p>
        </w:tc>
        <w:tc>
          <w:tcPr>
            <w:tcW w:w="1144" w:type="dxa"/>
            <w:tcBorders>
              <w:top w:val="nil"/>
              <w:left w:val="nil"/>
              <w:bottom w:val="nil"/>
              <w:right w:val="nil"/>
            </w:tcBorders>
            <w:shd w:val="clear" w:color="auto" w:fill="auto"/>
            <w:noWrap/>
            <w:vAlign w:val="center"/>
            <w:hideMark/>
          </w:tcPr>
          <w:p w14:paraId="3AA49129"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-2.41%</w:t>
            </w:r>
          </w:p>
        </w:tc>
        <w:tc>
          <w:tcPr>
            <w:tcW w:w="1144" w:type="dxa"/>
            <w:tcBorders>
              <w:top w:val="nil"/>
              <w:left w:val="nil"/>
              <w:bottom w:val="nil"/>
              <w:right w:val="single" w:sz="4" w:space="0" w:color="auto"/>
            </w:tcBorders>
            <w:shd w:val="clear" w:color="auto" w:fill="auto"/>
            <w:noWrap/>
            <w:vAlign w:val="center"/>
            <w:hideMark/>
          </w:tcPr>
          <w:p w14:paraId="566194A8"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-2.87%</w:t>
            </w:r>
          </w:p>
        </w:tc>
        <w:tc>
          <w:tcPr>
            <w:tcW w:w="934" w:type="dxa"/>
            <w:tcBorders>
              <w:top w:val="nil"/>
              <w:left w:val="nil"/>
              <w:bottom w:val="nil"/>
              <w:right w:val="nil"/>
            </w:tcBorders>
            <w:shd w:val="clear" w:color="auto" w:fill="auto"/>
            <w:noWrap/>
            <w:vAlign w:val="center"/>
            <w:hideMark/>
          </w:tcPr>
          <w:p w14:paraId="7890C4CC"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109%</w:t>
            </w:r>
          </w:p>
        </w:tc>
        <w:tc>
          <w:tcPr>
            <w:tcW w:w="934" w:type="dxa"/>
            <w:tcBorders>
              <w:top w:val="nil"/>
              <w:left w:val="nil"/>
              <w:bottom w:val="nil"/>
              <w:right w:val="single" w:sz="8" w:space="0" w:color="auto"/>
            </w:tcBorders>
            <w:shd w:val="clear" w:color="auto" w:fill="auto"/>
            <w:noWrap/>
            <w:vAlign w:val="center"/>
            <w:hideMark/>
          </w:tcPr>
          <w:p w14:paraId="64DAC928"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114%</w:t>
            </w:r>
          </w:p>
        </w:tc>
      </w:tr>
      <w:tr w:rsidR="00B02319" w:rsidRPr="00B02319" w14:paraId="60CC7120" w14:textId="77777777" w:rsidTr="00B0231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29E966"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8EBECC2"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-1.51%</w:t>
            </w:r>
          </w:p>
        </w:tc>
        <w:tc>
          <w:tcPr>
            <w:tcW w:w="1144" w:type="dxa"/>
            <w:tcBorders>
              <w:top w:val="nil"/>
              <w:left w:val="nil"/>
              <w:bottom w:val="nil"/>
              <w:right w:val="nil"/>
            </w:tcBorders>
            <w:shd w:val="clear" w:color="auto" w:fill="auto"/>
            <w:noWrap/>
            <w:vAlign w:val="center"/>
            <w:hideMark/>
          </w:tcPr>
          <w:p w14:paraId="6DE6AE4F"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-2.56%</w:t>
            </w:r>
          </w:p>
        </w:tc>
        <w:tc>
          <w:tcPr>
            <w:tcW w:w="1144" w:type="dxa"/>
            <w:tcBorders>
              <w:top w:val="nil"/>
              <w:left w:val="nil"/>
              <w:bottom w:val="nil"/>
              <w:right w:val="single" w:sz="4" w:space="0" w:color="auto"/>
            </w:tcBorders>
            <w:shd w:val="clear" w:color="auto" w:fill="auto"/>
            <w:noWrap/>
            <w:vAlign w:val="center"/>
            <w:hideMark/>
          </w:tcPr>
          <w:p w14:paraId="45B9F2C0"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-1.59%</w:t>
            </w:r>
          </w:p>
        </w:tc>
        <w:tc>
          <w:tcPr>
            <w:tcW w:w="934" w:type="dxa"/>
            <w:tcBorders>
              <w:top w:val="nil"/>
              <w:left w:val="nil"/>
              <w:bottom w:val="nil"/>
              <w:right w:val="nil"/>
            </w:tcBorders>
            <w:shd w:val="clear" w:color="auto" w:fill="auto"/>
            <w:noWrap/>
            <w:vAlign w:val="center"/>
            <w:hideMark/>
          </w:tcPr>
          <w:p w14:paraId="09A298E1"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3DCF9D25"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110%</w:t>
            </w:r>
          </w:p>
        </w:tc>
      </w:tr>
      <w:tr w:rsidR="00B02319" w:rsidRPr="00B02319" w14:paraId="31111C64" w14:textId="77777777" w:rsidTr="00B0231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1CCCEB"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02319">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51EE0340"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-1.43%</w:t>
            </w:r>
          </w:p>
        </w:tc>
        <w:tc>
          <w:tcPr>
            <w:tcW w:w="1144" w:type="dxa"/>
            <w:tcBorders>
              <w:top w:val="single" w:sz="8" w:space="0" w:color="auto"/>
              <w:left w:val="nil"/>
              <w:bottom w:val="nil"/>
              <w:right w:val="nil"/>
            </w:tcBorders>
            <w:shd w:val="clear" w:color="auto" w:fill="auto"/>
            <w:noWrap/>
            <w:vAlign w:val="center"/>
            <w:hideMark/>
          </w:tcPr>
          <w:p w14:paraId="32FF8AB6"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-2.27%</w:t>
            </w:r>
          </w:p>
        </w:tc>
        <w:tc>
          <w:tcPr>
            <w:tcW w:w="1144" w:type="dxa"/>
            <w:tcBorders>
              <w:top w:val="single" w:sz="8" w:space="0" w:color="auto"/>
              <w:left w:val="nil"/>
              <w:bottom w:val="nil"/>
              <w:right w:val="single" w:sz="4" w:space="0" w:color="auto"/>
            </w:tcBorders>
            <w:shd w:val="clear" w:color="auto" w:fill="auto"/>
            <w:noWrap/>
            <w:vAlign w:val="center"/>
            <w:hideMark/>
          </w:tcPr>
          <w:p w14:paraId="10794781"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-2.23%</w:t>
            </w:r>
          </w:p>
        </w:tc>
        <w:tc>
          <w:tcPr>
            <w:tcW w:w="934" w:type="dxa"/>
            <w:tcBorders>
              <w:top w:val="single" w:sz="8" w:space="0" w:color="auto"/>
              <w:left w:val="nil"/>
              <w:bottom w:val="nil"/>
              <w:right w:val="nil"/>
            </w:tcBorders>
            <w:shd w:val="clear" w:color="auto" w:fill="auto"/>
            <w:noWrap/>
            <w:vAlign w:val="center"/>
            <w:hideMark/>
          </w:tcPr>
          <w:p w14:paraId="17B8DC1C"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108%</w:t>
            </w:r>
          </w:p>
        </w:tc>
        <w:tc>
          <w:tcPr>
            <w:tcW w:w="934" w:type="dxa"/>
            <w:tcBorders>
              <w:top w:val="single" w:sz="8" w:space="0" w:color="auto"/>
              <w:left w:val="nil"/>
              <w:bottom w:val="nil"/>
              <w:right w:val="single" w:sz="8" w:space="0" w:color="auto"/>
            </w:tcBorders>
            <w:shd w:val="clear" w:color="auto" w:fill="auto"/>
            <w:noWrap/>
            <w:vAlign w:val="center"/>
            <w:hideMark/>
          </w:tcPr>
          <w:p w14:paraId="29E0D326"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111%</w:t>
            </w:r>
          </w:p>
        </w:tc>
      </w:tr>
      <w:tr w:rsidR="00B02319" w:rsidRPr="00B02319" w14:paraId="594AA1C7" w14:textId="77777777" w:rsidTr="00B02319">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87AFC05"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212347E6"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-1.81%</w:t>
            </w:r>
          </w:p>
        </w:tc>
        <w:tc>
          <w:tcPr>
            <w:tcW w:w="1144" w:type="dxa"/>
            <w:tcBorders>
              <w:top w:val="single" w:sz="8" w:space="0" w:color="auto"/>
              <w:left w:val="nil"/>
              <w:bottom w:val="single" w:sz="8" w:space="0" w:color="auto"/>
              <w:right w:val="nil"/>
            </w:tcBorders>
            <w:shd w:val="clear" w:color="auto" w:fill="auto"/>
            <w:noWrap/>
            <w:vAlign w:val="center"/>
            <w:hideMark/>
          </w:tcPr>
          <w:p w14:paraId="618A1499"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-2.24%</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9452DD1"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-2.85%</w:t>
            </w:r>
          </w:p>
        </w:tc>
        <w:tc>
          <w:tcPr>
            <w:tcW w:w="934" w:type="dxa"/>
            <w:tcBorders>
              <w:top w:val="single" w:sz="8" w:space="0" w:color="auto"/>
              <w:left w:val="nil"/>
              <w:bottom w:val="single" w:sz="8" w:space="0" w:color="auto"/>
              <w:right w:val="nil"/>
            </w:tcBorders>
            <w:shd w:val="clear" w:color="auto" w:fill="auto"/>
            <w:noWrap/>
            <w:vAlign w:val="center"/>
            <w:hideMark/>
          </w:tcPr>
          <w:p w14:paraId="3DFB648C"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110%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704D1C7C" w14:textId="77777777" w:rsidR="00B02319" w:rsidRPr="00B02319" w:rsidRDefault="00B02319" w:rsidP="00B02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02319">
              <w:rPr>
                <w:rFonts w:ascii="Arial" w:hAnsi="Arial" w:cs="Arial"/>
                <w:color w:val="000000"/>
                <w:sz w:val="18"/>
                <w:szCs w:val="18"/>
              </w:rPr>
              <w:t>118%</w:t>
            </w:r>
          </w:p>
        </w:tc>
      </w:tr>
    </w:tbl>
    <w:p w14:paraId="55793D7F" w14:textId="77777777" w:rsidR="00F728C6" w:rsidRPr="006F54C4" w:rsidRDefault="00F728C6" w:rsidP="004C18B0">
      <w:pPr>
        <w:pStyle w:val="Heading1"/>
        <w:numPr>
          <w:ilvl w:val="0"/>
          <w:numId w:val="16"/>
        </w:numPr>
        <w:ind w:left="360"/>
        <w:rPr>
          <w:lang w:val="en-CA"/>
        </w:rPr>
      </w:pPr>
      <w:r w:rsidRPr="006F54C4">
        <w:rPr>
          <w:lang w:val="en-CA"/>
        </w:rPr>
        <w:t>References</w:t>
      </w:r>
    </w:p>
    <w:p w14:paraId="61E7C33C" w14:textId="092CABE2" w:rsidR="00162859" w:rsidRPr="00162859" w:rsidRDefault="00162859" w:rsidP="00162859">
      <w:pPr>
        <w:pStyle w:val="References"/>
        <w:rPr>
          <w:sz w:val="22"/>
          <w:szCs w:val="22"/>
        </w:rPr>
      </w:pPr>
      <w:bookmarkStart w:id="2" w:name="_Ref518314073"/>
      <w:bookmarkStart w:id="3" w:name="_Ref516585053"/>
      <w:bookmarkStart w:id="4" w:name="_Ref518065912"/>
      <w:r>
        <w:rPr>
          <w:sz w:val="22"/>
          <w:szCs w:val="22"/>
        </w:rPr>
        <w:t>J. Chen, E. Alshina, G. J. Sullivan, J.-R. Ohm, J. Boyce, “Algorithm description of joint exploration test mode (JEM7)”, JVET-G1001, August. 2017, Torino, Italy.</w:t>
      </w:r>
      <w:bookmarkEnd w:id="2"/>
    </w:p>
    <w:p w14:paraId="1A0BD414" w14:textId="45328829" w:rsidR="00162859" w:rsidRDefault="00162859" w:rsidP="00A419DC">
      <w:pPr>
        <w:pStyle w:val="References"/>
        <w:jc w:val="both"/>
        <w:rPr>
          <w:sz w:val="22"/>
          <w:szCs w:val="22"/>
        </w:rPr>
      </w:pPr>
      <w:bookmarkStart w:id="5" w:name="_Ref525294633"/>
      <w:r>
        <w:rPr>
          <w:sz w:val="22"/>
          <w:szCs w:val="22"/>
        </w:rPr>
        <w:t>X. Xiu, Y. He, Y. Ye, “CE10.2.2: Complexity reduction for over-lapped block motion compensation (OBMC)”, JVET-K0345, July 2018, Ljubljana, Slovenia.</w:t>
      </w:r>
      <w:bookmarkEnd w:id="5"/>
    </w:p>
    <w:p w14:paraId="3E9E787E" w14:textId="0D6CC546" w:rsidR="00EC304D" w:rsidRDefault="00EC304D" w:rsidP="00A419DC">
      <w:pPr>
        <w:pStyle w:val="References"/>
        <w:jc w:val="both"/>
        <w:rPr>
          <w:sz w:val="22"/>
          <w:szCs w:val="22"/>
        </w:rPr>
      </w:pPr>
      <w:bookmarkStart w:id="6" w:name="_Ref525296045"/>
      <w:r>
        <w:rPr>
          <w:sz w:val="22"/>
          <w:szCs w:val="22"/>
        </w:rPr>
        <w:t>C.-W. Hsu, M. Winken, “Description of Core Experiment 10 (CE10): Combined and multi-hypothesis prediction”, JVET-K1030, July 2018, Ljubljana, Slovenia.</w:t>
      </w:r>
      <w:bookmarkEnd w:id="6"/>
    </w:p>
    <w:p w14:paraId="11400587" w14:textId="60E41177" w:rsidR="00442C44" w:rsidRPr="00D264F3" w:rsidRDefault="00F728C6" w:rsidP="00E5350E">
      <w:pPr>
        <w:pStyle w:val="References"/>
        <w:jc w:val="both"/>
        <w:rPr>
          <w:sz w:val="22"/>
          <w:szCs w:val="22"/>
        </w:rPr>
      </w:pPr>
      <w:bookmarkStart w:id="7" w:name="_Ref525298766"/>
      <w:r w:rsidRPr="00D264F3">
        <w:rPr>
          <w:sz w:val="22"/>
          <w:szCs w:val="22"/>
        </w:rPr>
        <w:t>BMS-2.</w:t>
      </w:r>
      <w:r w:rsidR="00301C57" w:rsidRPr="00D264F3">
        <w:rPr>
          <w:sz w:val="22"/>
          <w:szCs w:val="22"/>
        </w:rPr>
        <w:t>0.</w:t>
      </w:r>
      <w:r w:rsidRPr="00D264F3">
        <w:rPr>
          <w:sz w:val="22"/>
          <w:szCs w:val="22"/>
        </w:rPr>
        <w:t>1 reference software,</w:t>
      </w:r>
      <w:bookmarkEnd w:id="3"/>
      <w:r w:rsidR="00A419DC" w:rsidRPr="00A419DC">
        <w:t xml:space="preserve"> </w:t>
      </w:r>
      <w:hyperlink r:id="rId12" w:history="1">
        <w:r w:rsidR="00301C57" w:rsidRPr="00D264F3">
          <w:rPr>
            <w:rStyle w:val="Hyperlink"/>
            <w:sz w:val="22"/>
            <w:szCs w:val="22"/>
          </w:rPr>
          <w:t>https://vcgit.hhi.fraunhofer.de/jvet/VVCSoftware_BMS/tags/BMS-2.0.1</w:t>
        </w:r>
      </w:hyperlink>
      <w:r>
        <w:t>.</w:t>
      </w:r>
      <w:bookmarkEnd w:id="4"/>
      <w:bookmarkEnd w:id="7"/>
    </w:p>
    <w:p w14:paraId="5F0CF8E4" w14:textId="77777777" w:rsidR="001F2594" w:rsidRPr="005B217D" w:rsidRDefault="001F2594" w:rsidP="004C18B0">
      <w:pPr>
        <w:pStyle w:val="Heading1"/>
        <w:numPr>
          <w:ilvl w:val="0"/>
          <w:numId w:val="16"/>
        </w:numPr>
        <w:ind w:left="360"/>
        <w:rPr>
          <w:lang w:val="en-CA"/>
        </w:rPr>
      </w:pPr>
      <w:r w:rsidRPr="005B217D">
        <w:rPr>
          <w:lang w:val="en-CA"/>
        </w:rPr>
        <w:t>Patent rights declaration</w:t>
      </w:r>
      <w:r w:rsidR="00B94B06" w:rsidRPr="005B217D">
        <w:rPr>
          <w:lang w:val="en-CA"/>
        </w:rPr>
        <w:t>(s)</w:t>
      </w:r>
    </w:p>
    <w:p w14:paraId="32EAF635" w14:textId="44DE16FB" w:rsidR="007F1F8B" w:rsidRPr="008031D3" w:rsidRDefault="00FE3B3F" w:rsidP="008031D3">
      <w:pPr>
        <w:rPr>
          <w:lang w:val="en-CA"/>
        </w:rPr>
      </w:pPr>
      <w:proofErr w:type="spellStart"/>
      <w:r w:rsidRPr="008031D3">
        <w:rPr>
          <w:b/>
          <w:szCs w:val="22"/>
          <w:lang w:val="en-CA"/>
        </w:rPr>
        <w:t>InterDigital</w:t>
      </w:r>
      <w:proofErr w:type="spellEnd"/>
      <w:r w:rsidRPr="008031D3">
        <w:rPr>
          <w:b/>
          <w:szCs w:val="22"/>
          <w:lang w:val="en-CA"/>
        </w:rPr>
        <w:t xml:space="preserve"> Communications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8031D3">
        <w:rPr>
          <w:lang w:val="en-CA"/>
        </w:rPr>
        <w:tab/>
      </w:r>
    </w:p>
    <w:sectPr w:rsidR="007F1F8B" w:rsidRPr="008031D3"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73AC9" w14:textId="77777777" w:rsidR="00854051" w:rsidRDefault="00854051">
      <w:r>
        <w:separator/>
      </w:r>
    </w:p>
  </w:endnote>
  <w:endnote w:type="continuationSeparator" w:id="0">
    <w:p w14:paraId="0C0D51F0" w14:textId="77777777" w:rsidR="00854051" w:rsidRDefault="00854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252234F" w:rsidR="0044506E" w:rsidRPr="00C00DDE" w:rsidRDefault="0044506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007EB">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007EB">
      <w:rPr>
        <w:rStyle w:val="PageNumber"/>
        <w:noProof/>
      </w:rPr>
      <w:t>2018-09-21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E43E6F" w14:textId="77777777" w:rsidR="00854051" w:rsidRDefault="00854051">
      <w:r>
        <w:separator/>
      </w:r>
    </w:p>
  </w:footnote>
  <w:footnote w:type="continuationSeparator" w:id="0">
    <w:p w14:paraId="54FBA72B" w14:textId="77777777" w:rsidR="00854051" w:rsidRDefault="008540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786411"/>
    <w:multiLevelType w:val="hybridMultilevel"/>
    <w:tmpl w:val="28406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0A4B67"/>
    <w:multiLevelType w:val="hybridMultilevel"/>
    <w:tmpl w:val="3C284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vanish w:val="0"/>
        <w:webHidden w:val="0"/>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C3433C"/>
    <w:multiLevelType w:val="hybridMultilevel"/>
    <w:tmpl w:val="2CDE90AA"/>
    <w:lvl w:ilvl="0" w:tplc="0FF0C34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6901CFB"/>
    <w:multiLevelType w:val="hybridMultilevel"/>
    <w:tmpl w:val="1A660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A7778D"/>
    <w:multiLevelType w:val="hybridMultilevel"/>
    <w:tmpl w:val="E6001986"/>
    <w:lvl w:ilvl="0" w:tplc="531E2DE4">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6CDC79F4"/>
    <w:multiLevelType w:val="hybridMultilevel"/>
    <w:tmpl w:val="9D203D7C"/>
    <w:lvl w:ilvl="0" w:tplc="E754307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3D616F"/>
    <w:multiLevelType w:val="hybridMultilevel"/>
    <w:tmpl w:val="036CC1C2"/>
    <w:lvl w:ilvl="0" w:tplc="EF2C316A">
      <w:start w:val="1"/>
      <w:numFmt w:val="decimal"/>
      <w:lvlText w:val="3.2.%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7"/>
  </w:num>
  <w:num w:numId="15">
    <w:abstractNumId w:val="14"/>
  </w:num>
  <w:num w:numId="16">
    <w:abstractNumId w:val="3"/>
  </w:num>
  <w:num w:numId="17">
    <w:abstractNumId w:val="17"/>
  </w:num>
  <w:num w:numId="18">
    <w:abstractNumId w:val="13"/>
  </w:num>
  <w:num w:numId="19">
    <w:abstractNumId w:val="16"/>
  </w:num>
  <w:num w:numId="20">
    <w:abstractNumId w:val="9"/>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7EB"/>
    <w:rsid w:val="00021F2B"/>
    <w:rsid w:val="00030752"/>
    <w:rsid w:val="000308A3"/>
    <w:rsid w:val="00033154"/>
    <w:rsid w:val="00034660"/>
    <w:rsid w:val="00035217"/>
    <w:rsid w:val="000458BC"/>
    <w:rsid w:val="00045C41"/>
    <w:rsid w:val="00046C03"/>
    <w:rsid w:val="00055249"/>
    <w:rsid w:val="00065039"/>
    <w:rsid w:val="00067E0C"/>
    <w:rsid w:val="00071DAA"/>
    <w:rsid w:val="0007614F"/>
    <w:rsid w:val="00081398"/>
    <w:rsid w:val="0008641E"/>
    <w:rsid w:val="00087E00"/>
    <w:rsid w:val="00094479"/>
    <w:rsid w:val="000A7AD3"/>
    <w:rsid w:val="000B0C0F"/>
    <w:rsid w:val="000B1C6B"/>
    <w:rsid w:val="000B4FF9"/>
    <w:rsid w:val="000C09AC"/>
    <w:rsid w:val="000C2987"/>
    <w:rsid w:val="000D1AD6"/>
    <w:rsid w:val="000D3081"/>
    <w:rsid w:val="000E00F3"/>
    <w:rsid w:val="000E63E4"/>
    <w:rsid w:val="000F158C"/>
    <w:rsid w:val="000F661B"/>
    <w:rsid w:val="000F6FAB"/>
    <w:rsid w:val="00102F3D"/>
    <w:rsid w:val="00113845"/>
    <w:rsid w:val="00124E38"/>
    <w:rsid w:val="0012580B"/>
    <w:rsid w:val="00131F90"/>
    <w:rsid w:val="0013458C"/>
    <w:rsid w:val="0013526E"/>
    <w:rsid w:val="00135298"/>
    <w:rsid w:val="00140454"/>
    <w:rsid w:val="001408AB"/>
    <w:rsid w:val="001416D0"/>
    <w:rsid w:val="00143A66"/>
    <w:rsid w:val="00146152"/>
    <w:rsid w:val="00155526"/>
    <w:rsid w:val="00157F18"/>
    <w:rsid w:val="00162859"/>
    <w:rsid w:val="00171371"/>
    <w:rsid w:val="00175A24"/>
    <w:rsid w:val="00180D41"/>
    <w:rsid w:val="00187C6E"/>
    <w:rsid w:val="00187E58"/>
    <w:rsid w:val="0019050A"/>
    <w:rsid w:val="00193E17"/>
    <w:rsid w:val="001946F4"/>
    <w:rsid w:val="00197A0B"/>
    <w:rsid w:val="001A297E"/>
    <w:rsid w:val="001A368E"/>
    <w:rsid w:val="001A7329"/>
    <w:rsid w:val="001A792F"/>
    <w:rsid w:val="001A7C81"/>
    <w:rsid w:val="001B4E28"/>
    <w:rsid w:val="001C3525"/>
    <w:rsid w:val="001C3AFB"/>
    <w:rsid w:val="001D1BD2"/>
    <w:rsid w:val="001E0248"/>
    <w:rsid w:val="001E02BE"/>
    <w:rsid w:val="001E08DB"/>
    <w:rsid w:val="001E2B01"/>
    <w:rsid w:val="001E3B37"/>
    <w:rsid w:val="001F2594"/>
    <w:rsid w:val="001F36A1"/>
    <w:rsid w:val="001F498C"/>
    <w:rsid w:val="002055A6"/>
    <w:rsid w:val="00206460"/>
    <w:rsid w:val="002069B4"/>
    <w:rsid w:val="00207E16"/>
    <w:rsid w:val="00210A95"/>
    <w:rsid w:val="00214C20"/>
    <w:rsid w:val="00215DFC"/>
    <w:rsid w:val="002212DF"/>
    <w:rsid w:val="00222CD4"/>
    <w:rsid w:val="00225016"/>
    <w:rsid w:val="002264A6"/>
    <w:rsid w:val="00227BA7"/>
    <w:rsid w:val="0023011C"/>
    <w:rsid w:val="002375C1"/>
    <w:rsid w:val="0024049B"/>
    <w:rsid w:val="00240C03"/>
    <w:rsid w:val="002437DE"/>
    <w:rsid w:val="00263398"/>
    <w:rsid w:val="00263B99"/>
    <w:rsid w:val="00266F06"/>
    <w:rsid w:val="00275BCF"/>
    <w:rsid w:val="002805B9"/>
    <w:rsid w:val="00282C5D"/>
    <w:rsid w:val="00284E8E"/>
    <w:rsid w:val="00287266"/>
    <w:rsid w:val="00291B47"/>
    <w:rsid w:val="00291E36"/>
    <w:rsid w:val="00292257"/>
    <w:rsid w:val="002A54E0"/>
    <w:rsid w:val="002B0F7D"/>
    <w:rsid w:val="002B1595"/>
    <w:rsid w:val="002B191D"/>
    <w:rsid w:val="002B2E83"/>
    <w:rsid w:val="002C0CBF"/>
    <w:rsid w:val="002D0AF6"/>
    <w:rsid w:val="002F164D"/>
    <w:rsid w:val="002F41A1"/>
    <w:rsid w:val="00301C57"/>
    <w:rsid w:val="003021BC"/>
    <w:rsid w:val="0030408B"/>
    <w:rsid w:val="003049A4"/>
    <w:rsid w:val="00306206"/>
    <w:rsid w:val="0031517E"/>
    <w:rsid w:val="00317D85"/>
    <w:rsid w:val="00327C56"/>
    <w:rsid w:val="003315A1"/>
    <w:rsid w:val="003373EC"/>
    <w:rsid w:val="00342FF4"/>
    <w:rsid w:val="003436F6"/>
    <w:rsid w:val="00344E5A"/>
    <w:rsid w:val="0034550F"/>
    <w:rsid w:val="00346148"/>
    <w:rsid w:val="003669EA"/>
    <w:rsid w:val="003706CC"/>
    <w:rsid w:val="00372C41"/>
    <w:rsid w:val="00372C8B"/>
    <w:rsid w:val="00377710"/>
    <w:rsid w:val="003A0356"/>
    <w:rsid w:val="003A2D8E"/>
    <w:rsid w:val="003A7CE6"/>
    <w:rsid w:val="003C20E4"/>
    <w:rsid w:val="003D3F75"/>
    <w:rsid w:val="003D6342"/>
    <w:rsid w:val="003D6E5F"/>
    <w:rsid w:val="003E6F90"/>
    <w:rsid w:val="003E73ED"/>
    <w:rsid w:val="003F5D0F"/>
    <w:rsid w:val="00402262"/>
    <w:rsid w:val="004033D2"/>
    <w:rsid w:val="00414101"/>
    <w:rsid w:val="004178DF"/>
    <w:rsid w:val="004219CF"/>
    <w:rsid w:val="004234F0"/>
    <w:rsid w:val="0042529C"/>
    <w:rsid w:val="00427BE0"/>
    <w:rsid w:val="00433DDB"/>
    <w:rsid w:val="00435A29"/>
    <w:rsid w:val="00437619"/>
    <w:rsid w:val="00442C44"/>
    <w:rsid w:val="0044506E"/>
    <w:rsid w:val="00451178"/>
    <w:rsid w:val="00460CD1"/>
    <w:rsid w:val="00465A1E"/>
    <w:rsid w:val="00486251"/>
    <w:rsid w:val="0049445A"/>
    <w:rsid w:val="0049768E"/>
    <w:rsid w:val="004A1CA6"/>
    <w:rsid w:val="004A2A63"/>
    <w:rsid w:val="004A6265"/>
    <w:rsid w:val="004B210C"/>
    <w:rsid w:val="004B6EC0"/>
    <w:rsid w:val="004C18B0"/>
    <w:rsid w:val="004D405F"/>
    <w:rsid w:val="004E40D7"/>
    <w:rsid w:val="004E4F4F"/>
    <w:rsid w:val="004E6789"/>
    <w:rsid w:val="004F61E3"/>
    <w:rsid w:val="004F660B"/>
    <w:rsid w:val="00502E10"/>
    <w:rsid w:val="0051015C"/>
    <w:rsid w:val="00516CF1"/>
    <w:rsid w:val="0052551E"/>
    <w:rsid w:val="00531AE9"/>
    <w:rsid w:val="00550A66"/>
    <w:rsid w:val="00556958"/>
    <w:rsid w:val="00567EC7"/>
    <w:rsid w:val="00570013"/>
    <w:rsid w:val="005801A2"/>
    <w:rsid w:val="005952A5"/>
    <w:rsid w:val="005A33A1"/>
    <w:rsid w:val="005B05AF"/>
    <w:rsid w:val="005B217D"/>
    <w:rsid w:val="005C0430"/>
    <w:rsid w:val="005C2F20"/>
    <w:rsid w:val="005C385F"/>
    <w:rsid w:val="005C3A0F"/>
    <w:rsid w:val="005C447E"/>
    <w:rsid w:val="005D191C"/>
    <w:rsid w:val="005E1AC6"/>
    <w:rsid w:val="005F5B0B"/>
    <w:rsid w:val="005F6F1B"/>
    <w:rsid w:val="00601356"/>
    <w:rsid w:val="00602E11"/>
    <w:rsid w:val="00614FD0"/>
    <w:rsid w:val="00615995"/>
    <w:rsid w:val="00616155"/>
    <w:rsid w:val="006208E0"/>
    <w:rsid w:val="00623323"/>
    <w:rsid w:val="00624B33"/>
    <w:rsid w:val="0063041A"/>
    <w:rsid w:val="00630AA2"/>
    <w:rsid w:val="00634AD4"/>
    <w:rsid w:val="00646707"/>
    <w:rsid w:val="00653BFE"/>
    <w:rsid w:val="0065685A"/>
    <w:rsid w:val="00656C0F"/>
    <w:rsid w:val="00657F7E"/>
    <w:rsid w:val="00662E58"/>
    <w:rsid w:val="006634D4"/>
    <w:rsid w:val="006637F2"/>
    <w:rsid w:val="006642A5"/>
    <w:rsid w:val="00664DCF"/>
    <w:rsid w:val="00671034"/>
    <w:rsid w:val="006846EC"/>
    <w:rsid w:val="006A03B4"/>
    <w:rsid w:val="006A5077"/>
    <w:rsid w:val="006C2E66"/>
    <w:rsid w:val="006C5D39"/>
    <w:rsid w:val="006D6D9B"/>
    <w:rsid w:val="006E2810"/>
    <w:rsid w:val="006E5417"/>
    <w:rsid w:val="006F0794"/>
    <w:rsid w:val="007023DE"/>
    <w:rsid w:val="007040FC"/>
    <w:rsid w:val="00712F60"/>
    <w:rsid w:val="00720E3B"/>
    <w:rsid w:val="007213C8"/>
    <w:rsid w:val="00722BD5"/>
    <w:rsid w:val="0074393F"/>
    <w:rsid w:val="00745F6B"/>
    <w:rsid w:val="00747325"/>
    <w:rsid w:val="00755178"/>
    <w:rsid w:val="0075585E"/>
    <w:rsid w:val="00770571"/>
    <w:rsid w:val="00771D5B"/>
    <w:rsid w:val="007768FF"/>
    <w:rsid w:val="007824D3"/>
    <w:rsid w:val="00796EE3"/>
    <w:rsid w:val="007A4A70"/>
    <w:rsid w:val="007A7D29"/>
    <w:rsid w:val="007B4AB8"/>
    <w:rsid w:val="007D1181"/>
    <w:rsid w:val="007D5474"/>
    <w:rsid w:val="007D7230"/>
    <w:rsid w:val="007E01A3"/>
    <w:rsid w:val="007E526F"/>
    <w:rsid w:val="007F0861"/>
    <w:rsid w:val="007F1F8B"/>
    <w:rsid w:val="007F67A1"/>
    <w:rsid w:val="008031D3"/>
    <w:rsid w:val="00803924"/>
    <w:rsid w:val="0080613D"/>
    <w:rsid w:val="00811605"/>
    <w:rsid w:val="00811C05"/>
    <w:rsid w:val="008147F5"/>
    <w:rsid w:val="008206C8"/>
    <w:rsid w:val="00821637"/>
    <w:rsid w:val="00822E24"/>
    <w:rsid w:val="00824036"/>
    <w:rsid w:val="00843C00"/>
    <w:rsid w:val="00854051"/>
    <w:rsid w:val="0086387C"/>
    <w:rsid w:val="00866012"/>
    <w:rsid w:val="00873A4C"/>
    <w:rsid w:val="00874A6C"/>
    <w:rsid w:val="00876C65"/>
    <w:rsid w:val="008772CE"/>
    <w:rsid w:val="00880A0D"/>
    <w:rsid w:val="0088641C"/>
    <w:rsid w:val="00887A2B"/>
    <w:rsid w:val="00894AF1"/>
    <w:rsid w:val="00896D9C"/>
    <w:rsid w:val="008A1212"/>
    <w:rsid w:val="008A4B4C"/>
    <w:rsid w:val="008A6DCF"/>
    <w:rsid w:val="008A7E1E"/>
    <w:rsid w:val="008B1742"/>
    <w:rsid w:val="008B206B"/>
    <w:rsid w:val="008C239F"/>
    <w:rsid w:val="008C3DFE"/>
    <w:rsid w:val="008C4A4B"/>
    <w:rsid w:val="008E480C"/>
    <w:rsid w:val="008F2D71"/>
    <w:rsid w:val="008F6019"/>
    <w:rsid w:val="00907757"/>
    <w:rsid w:val="009212B0"/>
    <w:rsid w:val="00921FA1"/>
    <w:rsid w:val="009234A5"/>
    <w:rsid w:val="00933453"/>
    <w:rsid w:val="009336F7"/>
    <w:rsid w:val="0093636C"/>
    <w:rsid w:val="009374A7"/>
    <w:rsid w:val="0095086F"/>
    <w:rsid w:val="00955F6D"/>
    <w:rsid w:val="0097330B"/>
    <w:rsid w:val="00977C16"/>
    <w:rsid w:val="00984409"/>
    <w:rsid w:val="0098551D"/>
    <w:rsid w:val="0099518F"/>
    <w:rsid w:val="009A0D34"/>
    <w:rsid w:val="009A523D"/>
    <w:rsid w:val="009A573D"/>
    <w:rsid w:val="009B02A1"/>
    <w:rsid w:val="009B061B"/>
    <w:rsid w:val="009B2EA5"/>
    <w:rsid w:val="009B641B"/>
    <w:rsid w:val="009C08EF"/>
    <w:rsid w:val="009C2795"/>
    <w:rsid w:val="009C4244"/>
    <w:rsid w:val="009C5C2C"/>
    <w:rsid w:val="009D0766"/>
    <w:rsid w:val="009D7CE6"/>
    <w:rsid w:val="009F496B"/>
    <w:rsid w:val="009F71B8"/>
    <w:rsid w:val="00A01439"/>
    <w:rsid w:val="00A02E61"/>
    <w:rsid w:val="00A059C0"/>
    <w:rsid w:val="00A05CFF"/>
    <w:rsid w:val="00A10F0A"/>
    <w:rsid w:val="00A11976"/>
    <w:rsid w:val="00A12EDE"/>
    <w:rsid w:val="00A13048"/>
    <w:rsid w:val="00A419DC"/>
    <w:rsid w:val="00A46843"/>
    <w:rsid w:val="00A46FE9"/>
    <w:rsid w:val="00A53CCF"/>
    <w:rsid w:val="00A55D84"/>
    <w:rsid w:val="00A56B97"/>
    <w:rsid w:val="00A6093D"/>
    <w:rsid w:val="00A65C5B"/>
    <w:rsid w:val="00A72F27"/>
    <w:rsid w:val="00A767DC"/>
    <w:rsid w:val="00A76A6D"/>
    <w:rsid w:val="00A83253"/>
    <w:rsid w:val="00A94BC9"/>
    <w:rsid w:val="00A97563"/>
    <w:rsid w:val="00AA6E84"/>
    <w:rsid w:val="00AB1A1C"/>
    <w:rsid w:val="00AB6377"/>
    <w:rsid w:val="00AD05A8"/>
    <w:rsid w:val="00AD40D5"/>
    <w:rsid w:val="00AE105C"/>
    <w:rsid w:val="00AE341B"/>
    <w:rsid w:val="00AF004F"/>
    <w:rsid w:val="00AF5B2A"/>
    <w:rsid w:val="00B01905"/>
    <w:rsid w:val="00B02319"/>
    <w:rsid w:val="00B05AAE"/>
    <w:rsid w:val="00B072F8"/>
    <w:rsid w:val="00B07CA7"/>
    <w:rsid w:val="00B1279A"/>
    <w:rsid w:val="00B12A88"/>
    <w:rsid w:val="00B30D20"/>
    <w:rsid w:val="00B37485"/>
    <w:rsid w:val="00B4194A"/>
    <w:rsid w:val="00B437E8"/>
    <w:rsid w:val="00B5222E"/>
    <w:rsid w:val="00B53179"/>
    <w:rsid w:val="00B57A23"/>
    <w:rsid w:val="00B600CD"/>
    <w:rsid w:val="00B61C96"/>
    <w:rsid w:val="00B628A7"/>
    <w:rsid w:val="00B666B5"/>
    <w:rsid w:val="00B73A2A"/>
    <w:rsid w:val="00B75A51"/>
    <w:rsid w:val="00B81C65"/>
    <w:rsid w:val="00B827C6"/>
    <w:rsid w:val="00B92E03"/>
    <w:rsid w:val="00B94B06"/>
    <w:rsid w:val="00B94C28"/>
    <w:rsid w:val="00BA3136"/>
    <w:rsid w:val="00BC10BA"/>
    <w:rsid w:val="00BC4FD0"/>
    <w:rsid w:val="00BC5AFD"/>
    <w:rsid w:val="00BF4D85"/>
    <w:rsid w:val="00BF7538"/>
    <w:rsid w:val="00C00DDE"/>
    <w:rsid w:val="00C04F43"/>
    <w:rsid w:val="00C0609D"/>
    <w:rsid w:val="00C108E1"/>
    <w:rsid w:val="00C115AB"/>
    <w:rsid w:val="00C17554"/>
    <w:rsid w:val="00C26CCB"/>
    <w:rsid w:val="00C30249"/>
    <w:rsid w:val="00C351C6"/>
    <w:rsid w:val="00C3723B"/>
    <w:rsid w:val="00C42466"/>
    <w:rsid w:val="00C56C12"/>
    <w:rsid w:val="00C606C9"/>
    <w:rsid w:val="00C71379"/>
    <w:rsid w:val="00C717C3"/>
    <w:rsid w:val="00C80288"/>
    <w:rsid w:val="00C81CA0"/>
    <w:rsid w:val="00C84003"/>
    <w:rsid w:val="00C90650"/>
    <w:rsid w:val="00C97D78"/>
    <w:rsid w:val="00CB06E0"/>
    <w:rsid w:val="00CB4A16"/>
    <w:rsid w:val="00CC2AAE"/>
    <w:rsid w:val="00CC586A"/>
    <w:rsid w:val="00CC5A42"/>
    <w:rsid w:val="00CD091A"/>
    <w:rsid w:val="00CD0EAB"/>
    <w:rsid w:val="00CD61D7"/>
    <w:rsid w:val="00CE5E02"/>
    <w:rsid w:val="00CF34DB"/>
    <w:rsid w:val="00CF3DC6"/>
    <w:rsid w:val="00CF558F"/>
    <w:rsid w:val="00D010C0"/>
    <w:rsid w:val="00D05EFC"/>
    <w:rsid w:val="00D073E2"/>
    <w:rsid w:val="00D22C87"/>
    <w:rsid w:val="00D264F3"/>
    <w:rsid w:val="00D26A85"/>
    <w:rsid w:val="00D446EC"/>
    <w:rsid w:val="00D4694E"/>
    <w:rsid w:val="00D51BF0"/>
    <w:rsid w:val="00D52736"/>
    <w:rsid w:val="00D531DB"/>
    <w:rsid w:val="00D55942"/>
    <w:rsid w:val="00D60ECA"/>
    <w:rsid w:val="00D61D43"/>
    <w:rsid w:val="00D807BF"/>
    <w:rsid w:val="00D82D63"/>
    <w:rsid w:val="00D82FCC"/>
    <w:rsid w:val="00D8602B"/>
    <w:rsid w:val="00DA17FC"/>
    <w:rsid w:val="00DA7887"/>
    <w:rsid w:val="00DB2C26"/>
    <w:rsid w:val="00DB5BE7"/>
    <w:rsid w:val="00DC115C"/>
    <w:rsid w:val="00DC710B"/>
    <w:rsid w:val="00DD02F4"/>
    <w:rsid w:val="00DD3C72"/>
    <w:rsid w:val="00DD6622"/>
    <w:rsid w:val="00DE1C7C"/>
    <w:rsid w:val="00DE6B43"/>
    <w:rsid w:val="00DF0BCE"/>
    <w:rsid w:val="00DF3E6D"/>
    <w:rsid w:val="00E03311"/>
    <w:rsid w:val="00E11923"/>
    <w:rsid w:val="00E14F7D"/>
    <w:rsid w:val="00E16054"/>
    <w:rsid w:val="00E262D4"/>
    <w:rsid w:val="00E32541"/>
    <w:rsid w:val="00E36250"/>
    <w:rsid w:val="00E47F2D"/>
    <w:rsid w:val="00E54511"/>
    <w:rsid w:val="00E61DAC"/>
    <w:rsid w:val="00E63A7A"/>
    <w:rsid w:val="00E6513C"/>
    <w:rsid w:val="00E66F19"/>
    <w:rsid w:val="00E72B80"/>
    <w:rsid w:val="00E75FE3"/>
    <w:rsid w:val="00E832D3"/>
    <w:rsid w:val="00E86C4C"/>
    <w:rsid w:val="00E907A3"/>
    <w:rsid w:val="00E957EB"/>
    <w:rsid w:val="00E96142"/>
    <w:rsid w:val="00EA5AE0"/>
    <w:rsid w:val="00EB556A"/>
    <w:rsid w:val="00EB56E1"/>
    <w:rsid w:val="00EB61E9"/>
    <w:rsid w:val="00EB7AB1"/>
    <w:rsid w:val="00EC304D"/>
    <w:rsid w:val="00EE7CD8"/>
    <w:rsid w:val="00EF06D3"/>
    <w:rsid w:val="00EF37F6"/>
    <w:rsid w:val="00EF48CC"/>
    <w:rsid w:val="00F0007A"/>
    <w:rsid w:val="00F00801"/>
    <w:rsid w:val="00F12629"/>
    <w:rsid w:val="00F15D43"/>
    <w:rsid w:val="00F2488D"/>
    <w:rsid w:val="00F25BF9"/>
    <w:rsid w:val="00F412BF"/>
    <w:rsid w:val="00F546B9"/>
    <w:rsid w:val="00F54B87"/>
    <w:rsid w:val="00F601A0"/>
    <w:rsid w:val="00F646A3"/>
    <w:rsid w:val="00F712E9"/>
    <w:rsid w:val="00F728C6"/>
    <w:rsid w:val="00F73032"/>
    <w:rsid w:val="00F848FC"/>
    <w:rsid w:val="00F906F6"/>
    <w:rsid w:val="00F9282A"/>
    <w:rsid w:val="00F96BAD"/>
    <w:rsid w:val="00FA139D"/>
    <w:rsid w:val="00FA7DA6"/>
    <w:rsid w:val="00FB00D4"/>
    <w:rsid w:val="00FB0E84"/>
    <w:rsid w:val="00FB75F1"/>
    <w:rsid w:val="00FC2405"/>
    <w:rsid w:val="00FC60B2"/>
    <w:rsid w:val="00FD01C2"/>
    <w:rsid w:val="00FD685B"/>
    <w:rsid w:val="00FE3B3F"/>
    <w:rsid w:val="00FE3C20"/>
    <w:rsid w:val="00FE595C"/>
    <w:rsid w:val="00FF0214"/>
    <w:rsid w:val="00FF0CE3"/>
    <w:rsid w:val="00FF3D86"/>
    <w:rsid w:val="00FF6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spacing w:before="240" w:after="60"/>
      <w:outlineLvl w:val="2"/>
    </w:pPr>
    <w:rPr>
      <w:b/>
      <w:bCs/>
      <w:sz w:val="26"/>
      <w:szCs w:val="26"/>
    </w:rPr>
  </w:style>
  <w:style w:type="paragraph" w:styleId="Heading4">
    <w:name w:val="heading 4"/>
    <w:basedOn w:val="Normal"/>
    <w:next w:val="Normal"/>
    <w:link w:val="Heading4Char"/>
    <w:qFormat/>
    <w:rsid w:val="004234F0"/>
    <w:pPr>
      <w:keepNext/>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spacing w:before="240" w:after="60"/>
      <w:outlineLvl w:val="4"/>
    </w:pPr>
    <w:rPr>
      <w:b/>
      <w:bCs/>
      <w:i/>
      <w:iCs/>
      <w:sz w:val="24"/>
      <w:szCs w:val="26"/>
    </w:rPr>
  </w:style>
  <w:style w:type="paragraph" w:styleId="Heading6">
    <w:name w:val="heading 6"/>
    <w:basedOn w:val="Normal"/>
    <w:next w:val="Normal"/>
    <w:link w:val="Heading6Char"/>
    <w:qFormat/>
    <w:rsid w:val="000E00F3"/>
    <w:pPr>
      <w:keepNext/>
      <w:spacing w:before="240" w:after="60"/>
      <w:outlineLvl w:val="5"/>
    </w:pPr>
    <w:rPr>
      <w:b/>
      <w:bCs/>
      <w:szCs w:val="22"/>
    </w:rPr>
  </w:style>
  <w:style w:type="paragraph" w:styleId="Heading7">
    <w:name w:val="heading 7"/>
    <w:basedOn w:val="Normal"/>
    <w:next w:val="Normal"/>
    <w:link w:val="Heading7Char"/>
    <w:qFormat/>
    <w:rsid w:val="004234F0"/>
    <w:pPr>
      <w:keepNext/>
      <w:spacing w:before="240" w:after="60"/>
      <w:outlineLvl w:val="6"/>
    </w:pPr>
    <w:rPr>
      <w:szCs w:val="24"/>
    </w:rPr>
  </w:style>
  <w:style w:type="paragraph" w:styleId="Heading8">
    <w:name w:val="heading 8"/>
    <w:basedOn w:val="Normal"/>
    <w:next w:val="Normal"/>
    <w:link w:val="Heading8Char"/>
    <w:qFormat/>
    <w:rsid w:val="004234F0"/>
    <w:pPr>
      <w:keepNext/>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ferences">
    <w:name w:val="References"/>
    <w:basedOn w:val="Normal"/>
    <w:rsid w:val="00F728C6"/>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character" w:styleId="UnresolvedMention">
    <w:name w:val="Unresolved Mention"/>
    <w:basedOn w:val="DefaultParagraphFont"/>
    <w:uiPriority w:val="99"/>
    <w:semiHidden/>
    <w:unhideWhenUsed/>
    <w:rsid w:val="00A419DC"/>
    <w:rPr>
      <w:color w:val="808080"/>
      <w:shd w:val="clear" w:color="auto" w:fill="E6E6E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886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40"/>
      <w:jc w:val="center"/>
      <w:textAlignment w:val="auto"/>
    </w:pPr>
    <w:rPr>
      <w:rFonts w:ascii="Arial" w:hAnsi="Arial" w:cs="Arial"/>
      <w:b/>
      <w:sz w:val="19"/>
    </w:rPr>
  </w:style>
  <w:style w:type="paragraph" w:styleId="BodyText">
    <w:name w:val="Body Text"/>
    <w:basedOn w:val="Normal"/>
    <w:link w:val="BodyTextChar"/>
    <w:uiPriority w:val="99"/>
    <w:unhideWhenUsed/>
    <w:rsid w:val="00886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Calibri" w:eastAsia="Calibri" w:hAnsi="Calibri"/>
      <w:sz w:val="20"/>
    </w:rPr>
  </w:style>
  <w:style w:type="character" w:customStyle="1" w:styleId="BodyTextChar">
    <w:name w:val="Body Text Char"/>
    <w:basedOn w:val="DefaultParagraphFont"/>
    <w:link w:val="BodyText"/>
    <w:uiPriority w:val="99"/>
    <w:rsid w:val="0088641C"/>
    <w:rPr>
      <w:rFonts w:ascii="Calibri" w:eastAsia="Calibri" w:hAnsi="Calibri"/>
    </w:rPr>
  </w:style>
  <w:style w:type="table" w:styleId="TableGrid">
    <w:name w:val="Table Grid"/>
    <w:basedOn w:val="TableNormal"/>
    <w:rsid w:val="0088641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8641C"/>
    <w:rPr>
      <w:rFonts w:ascii="Arial" w:hAnsi="Arial" w:cs="Arial"/>
      <w:b/>
      <w:sz w:val="19"/>
    </w:rPr>
  </w:style>
  <w:style w:type="paragraph" w:styleId="ListParagraph">
    <w:name w:val="List Paragraph"/>
    <w:basedOn w:val="Normal"/>
    <w:uiPriority w:val="34"/>
    <w:qFormat/>
    <w:rsid w:val="00722BD5"/>
    <w:pPr>
      <w:ind w:left="720"/>
      <w:contextualSpacing/>
    </w:pPr>
  </w:style>
  <w:style w:type="character" w:styleId="CommentReference">
    <w:name w:val="annotation reference"/>
    <w:basedOn w:val="DefaultParagraphFont"/>
    <w:rsid w:val="00C351C6"/>
    <w:rPr>
      <w:sz w:val="16"/>
      <w:szCs w:val="16"/>
    </w:rPr>
  </w:style>
  <w:style w:type="paragraph" w:styleId="CommentText">
    <w:name w:val="annotation text"/>
    <w:basedOn w:val="Normal"/>
    <w:link w:val="CommentTextChar"/>
    <w:rsid w:val="00C351C6"/>
    <w:rPr>
      <w:sz w:val="20"/>
    </w:rPr>
  </w:style>
  <w:style w:type="character" w:customStyle="1" w:styleId="CommentTextChar">
    <w:name w:val="Comment Text Char"/>
    <w:basedOn w:val="DefaultParagraphFont"/>
    <w:link w:val="CommentText"/>
    <w:rsid w:val="00C351C6"/>
  </w:style>
  <w:style w:type="paragraph" w:styleId="CommentSubject">
    <w:name w:val="annotation subject"/>
    <w:basedOn w:val="CommentText"/>
    <w:next w:val="CommentText"/>
    <w:link w:val="CommentSubjectChar"/>
    <w:rsid w:val="00C351C6"/>
    <w:rPr>
      <w:b/>
      <w:bCs/>
    </w:rPr>
  </w:style>
  <w:style w:type="character" w:customStyle="1" w:styleId="CommentSubjectChar">
    <w:name w:val="Comment Subject Char"/>
    <w:basedOn w:val="CommentTextChar"/>
    <w:link w:val="CommentSubject"/>
    <w:rsid w:val="00C351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544863">
      <w:bodyDiv w:val="1"/>
      <w:marLeft w:val="0"/>
      <w:marRight w:val="0"/>
      <w:marTop w:val="0"/>
      <w:marBottom w:val="0"/>
      <w:divBdr>
        <w:top w:val="none" w:sz="0" w:space="0" w:color="auto"/>
        <w:left w:val="none" w:sz="0" w:space="0" w:color="auto"/>
        <w:bottom w:val="none" w:sz="0" w:space="0" w:color="auto"/>
        <w:right w:val="none" w:sz="0" w:space="0" w:color="auto"/>
      </w:divBdr>
    </w:div>
    <w:div w:id="1158493523">
      <w:bodyDiv w:val="1"/>
      <w:marLeft w:val="0"/>
      <w:marRight w:val="0"/>
      <w:marTop w:val="0"/>
      <w:marBottom w:val="0"/>
      <w:divBdr>
        <w:top w:val="none" w:sz="0" w:space="0" w:color="auto"/>
        <w:left w:val="none" w:sz="0" w:space="0" w:color="auto"/>
        <w:bottom w:val="none" w:sz="0" w:space="0" w:color="auto"/>
        <w:right w:val="none" w:sz="0" w:space="0" w:color="auto"/>
      </w:divBdr>
    </w:div>
    <w:div w:id="1158765931">
      <w:bodyDiv w:val="1"/>
      <w:marLeft w:val="0"/>
      <w:marRight w:val="0"/>
      <w:marTop w:val="0"/>
      <w:marBottom w:val="0"/>
      <w:divBdr>
        <w:top w:val="none" w:sz="0" w:space="0" w:color="auto"/>
        <w:left w:val="none" w:sz="0" w:space="0" w:color="auto"/>
        <w:bottom w:val="none" w:sz="0" w:space="0" w:color="auto"/>
        <w:right w:val="none" w:sz="0" w:space="0" w:color="auto"/>
      </w:divBdr>
    </w:div>
    <w:div w:id="1460104713">
      <w:bodyDiv w:val="1"/>
      <w:marLeft w:val="0"/>
      <w:marRight w:val="0"/>
      <w:marTop w:val="0"/>
      <w:marBottom w:val="0"/>
      <w:divBdr>
        <w:top w:val="none" w:sz="0" w:space="0" w:color="auto"/>
        <w:left w:val="none" w:sz="0" w:space="0" w:color="auto"/>
        <w:bottom w:val="none" w:sz="0" w:space="0" w:color="auto"/>
        <w:right w:val="none" w:sz="0" w:space="0" w:color="auto"/>
      </w:divBdr>
    </w:div>
    <w:div w:id="14601473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3179680">
      <w:bodyDiv w:val="1"/>
      <w:marLeft w:val="0"/>
      <w:marRight w:val="0"/>
      <w:marTop w:val="0"/>
      <w:marBottom w:val="0"/>
      <w:divBdr>
        <w:top w:val="none" w:sz="0" w:space="0" w:color="auto"/>
        <w:left w:val="none" w:sz="0" w:space="0" w:color="auto"/>
        <w:bottom w:val="none" w:sz="0" w:space="0" w:color="auto"/>
        <w:right w:val="none" w:sz="0" w:space="0" w:color="auto"/>
      </w:divBdr>
    </w:div>
    <w:div w:id="193883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jvet/VVCSoftware_BMS/tags/BMS-2.0.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Ye@InterDigita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Xiaoyu.Xiu@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8A1FD-DBF2-43D0-B889-2F9834FCF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2</Pages>
  <Words>836</Words>
  <Characters>4767</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 Yuwen</cp:lastModifiedBy>
  <cp:revision>25</cp:revision>
  <cp:lastPrinted>1900-01-01T08:00:00Z</cp:lastPrinted>
  <dcterms:created xsi:type="dcterms:W3CDTF">2018-09-20T21:20:00Z</dcterms:created>
  <dcterms:modified xsi:type="dcterms:W3CDTF">2018-09-25T01:30:00Z</dcterms:modified>
</cp:coreProperties>
</file>