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9156F">
        <w:trPr>
          <w:cantSplit/>
        </w:trPr>
        <w:tc>
          <w:tcPr>
            <w:tcW w:w="6297" w:type="dxa"/>
            <w:gridSpan w:val="4"/>
            <w:vAlign w:val="center"/>
          </w:tcPr>
          <w:p w:rsidR="006C499C" w:rsidRPr="00E9156F" w:rsidRDefault="001E3845" w:rsidP="004F3600">
            <w:pPr>
              <w:spacing w:before="0"/>
              <w:rPr>
                <w:b/>
                <w:smallCaps/>
                <w:sz w:val="20"/>
              </w:rPr>
            </w:pPr>
            <w:bookmarkStart w:id="0" w:name="dsg" w:colFirst="1" w:colLast="1"/>
            <w:bookmarkStart w:id="1" w:name="dtableau"/>
            <w:r w:rsidRPr="00E9156F">
              <w:rPr>
                <w:b/>
                <w:smallCaps/>
                <w:sz w:val="20"/>
                <w:szCs w:val="19"/>
              </w:rPr>
              <w:t>Rapporteur Meeting of Questions</w:t>
            </w:r>
            <w:r w:rsidR="004F3600" w:rsidRPr="00E9156F">
              <w:rPr>
                <w:b/>
                <w:smallCaps/>
                <w:sz w:val="20"/>
                <w:szCs w:val="19"/>
              </w:rPr>
              <w:t xml:space="preserve"> 1, </w:t>
            </w:r>
            <w:r w:rsidRPr="00E9156F">
              <w:rPr>
                <w:b/>
                <w:smallCaps/>
                <w:sz w:val="20"/>
                <w:szCs w:val="19"/>
              </w:rPr>
              <w:t>2, 3, 5 and 2</w:t>
            </w:r>
            <w:r w:rsidR="004F3600" w:rsidRPr="00E9156F">
              <w:rPr>
                <w:b/>
                <w:smallCaps/>
                <w:sz w:val="20"/>
                <w:szCs w:val="19"/>
              </w:rPr>
              <w:t>1</w:t>
            </w:r>
            <w:r w:rsidRPr="00E9156F">
              <w:rPr>
                <w:b/>
                <w:smallCaps/>
                <w:sz w:val="20"/>
                <w:szCs w:val="19"/>
              </w:rPr>
              <w:t>/16</w:t>
            </w:r>
          </w:p>
        </w:tc>
        <w:tc>
          <w:tcPr>
            <w:tcW w:w="3626" w:type="dxa"/>
            <w:vAlign w:val="center"/>
          </w:tcPr>
          <w:p w:rsidR="006C499C" w:rsidRPr="00E9156F" w:rsidRDefault="004E302B" w:rsidP="004E302B">
            <w:pPr>
              <w:spacing w:before="0"/>
              <w:jc w:val="right"/>
              <w:rPr>
                <w:b/>
                <w:bCs/>
                <w:sz w:val="40"/>
              </w:rPr>
            </w:pPr>
            <w:bookmarkStart w:id="2" w:name="docnumber"/>
            <w:r>
              <w:rPr>
                <w:b/>
                <w:bCs/>
                <w:sz w:val="40"/>
              </w:rPr>
              <w:t>T</w:t>
            </w:r>
            <w:r w:rsidR="006C499C" w:rsidRPr="00E9156F">
              <w:rPr>
                <w:b/>
                <w:bCs/>
                <w:sz w:val="40"/>
              </w:rPr>
              <w:t>D</w:t>
            </w:r>
            <w:r w:rsidR="005F0850" w:rsidRPr="00E9156F">
              <w:rPr>
                <w:b/>
                <w:bCs/>
                <w:sz w:val="40"/>
              </w:rPr>
              <w:t>-</w:t>
            </w:r>
            <w:r>
              <w:rPr>
                <w:b/>
                <w:bCs/>
                <w:sz w:val="40"/>
              </w:rPr>
              <w:t>2</w:t>
            </w:r>
            <w:r w:rsidR="005F0850" w:rsidRPr="00E9156F">
              <w:rPr>
                <w:b/>
                <w:bCs/>
                <w:sz w:val="40"/>
              </w:rPr>
              <w:t>4</w:t>
            </w:r>
            <w:bookmarkEnd w:id="2"/>
          </w:p>
        </w:tc>
      </w:tr>
      <w:tr w:rsidR="006C499C" w:rsidRPr="00E9156F">
        <w:trPr>
          <w:cantSplit/>
          <w:trHeight w:val="461"/>
        </w:trPr>
        <w:tc>
          <w:tcPr>
            <w:tcW w:w="4857" w:type="dxa"/>
            <w:gridSpan w:val="3"/>
            <w:vMerge w:val="restart"/>
            <w:tcBorders>
              <w:bottom w:val="nil"/>
            </w:tcBorders>
          </w:tcPr>
          <w:p w:rsidR="006C499C" w:rsidRPr="00E9156F" w:rsidRDefault="006C499C" w:rsidP="006C499C">
            <w:pPr>
              <w:rPr>
                <w:b/>
                <w:bCs/>
                <w:sz w:val="26"/>
              </w:rPr>
            </w:pPr>
            <w:bookmarkStart w:id="3" w:name="dnum" w:colFirst="1" w:colLast="1"/>
            <w:bookmarkEnd w:id="0"/>
            <w:r w:rsidRPr="00E9156F">
              <w:rPr>
                <w:b/>
                <w:bCs/>
                <w:sz w:val="26"/>
              </w:rPr>
              <w:t>TELECOMMUNICATION</w:t>
            </w:r>
            <w:r w:rsidRPr="00E9156F">
              <w:rPr>
                <w:b/>
                <w:bCs/>
                <w:sz w:val="26"/>
              </w:rPr>
              <w:br/>
              <w:t>STANDARDIZATION SECTOR</w:t>
            </w:r>
          </w:p>
          <w:p w:rsidR="006C499C" w:rsidRPr="00E9156F" w:rsidRDefault="006C499C" w:rsidP="004F3600">
            <w:pPr>
              <w:rPr>
                <w:smallCaps/>
                <w:sz w:val="20"/>
              </w:rPr>
            </w:pPr>
            <w:r w:rsidRPr="00E9156F">
              <w:rPr>
                <w:sz w:val="20"/>
              </w:rPr>
              <w:t>STUDY PERIOD 20</w:t>
            </w:r>
            <w:r w:rsidR="004F3600" w:rsidRPr="00E9156F">
              <w:rPr>
                <w:sz w:val="20"/>
              </w:rPr>
              <w:t>13</w:t>
            </w:r>
            <w:r w:rsidRPr="00E9156F">
              <w:rPr>
                <w:sz w:val="20"/>
              </w:rPr>
              <w:t>-20</w:t>
            </w:r>
            <w:r w:rsidR="005066C3" w:rsidRPr="00E9156F">
              <w:rPr>
                <w:sz w:val="20"/>
              </w:rPr>
              <w:t>1</w:t>
            </w:r>
            <w:r w:rsidR="004F3600" w:rsidRPr="00E9156F">
              <w:rPr>
                <w:sz w:val="20"/>
              </w:rPr>
              <w:t>6</w:t>
            </w:r>
          </w:p>
        </w:tc>
        <w:tc>
          <w:tcPr>
            <w:tcW w:w="5066" w:type="dxa"/>
            <w:gridSpan w:val="2"/>
            <w:tcBorders>
              <w:bottom w:val="nil"/>
            </w:tcBorders>
          </w:tcPr>
          <w:p w:rsidR="006C499C" w:rsidRPr="00E9156F" w:rsidRDefault="006C499C" w:rsidP="006C499C">
            <w:pPr>
              <w:jc w:val="right"/>
              <w:rPr>
                <w:b/>
                <w:bCs/>
                <w:sz w:val="40"/>
              </w:rPr>
            </w:pPr>
            <w:r w:rsidRPr="00E9156F">
              <w:rPr>
                <w:b/>
                <w:bCs/>
                <w:smallCaps/>
                <w:sz w:val="32"/>
              </w:rPr>
              <w:t>STUDY GROUP 16</w:t>
            </w:r>
          </w:p>
        </w:tc>
      </w:tr>
      <w:tr w:rsidR="006C499C" w:rsidRPr="00E9156F">
        <w:trPr>
          <w:cantSplit/>
          <w:trHeight w:val="355"/>
        </w:trPr>
        <w:tc>
          <w:tcPr>
            <w:tcW w:w="4857" w:type="dxa"/>
            <w:gridSpan w:val="3"/>
            <w:vMerge/>
            <w:tcBorders>
              <w:bottom w:val="single" w:sz="12" w:space="0" w:color="auto"/>
            </w:tcBorders>
          </w:tcPr>
          <w:p w:rsidR="006C499C" w:rsidRPr="00E9156F"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E9156F" w:rsidRDefault="006C499C" w:rsidP="006C499C">
            <w:pPr>
              <w:jc w:val="right"/>
              <w:rPr>
                <w:b/>
                <w:bCs/>
                <w:sz w:val="28"/>
              </w:rPr>
            </w:pPr>
            <w:r w:rsidRPr="00E9156F">
              <w:rPr>
                <w:b/>
                <w:bCs/>
                <w:sz w:val="28"/>
              </w:rPr>
              <w:t>Original: English</w:t>
            </w:r>
          </w:p>
        </w:tc>
      </w:tr>
      <w:bookmarkEnd w:id="1"/>
      <w:bookmarkEnd w:id="4"/>
      <w:tr w:rsidR="00DE2128" w:rsidRPr="00E9156F" w:rsidTr="009F5199">
        <w:trPr>
          <w:cantSplit/>
          <w:trHeight w:val="357"/>
        </w:trPr>
        <w:tc>
          <w:tcPr>
            <w:tcW w:w="1617" w:type="dxa"/>
          </w:tcPr>
          <w:p w:rsidR="00DE2128" w:rsidRPr="00E9156F" w:rsidRDefault="00DE2128" w:rsidP="009F5199">
            <w:pPr>
              <w:rPr>
                <w:b/>
                <w:bCs/>
              </w:rPr>
            </w:pPr>
            <w:r w:rsidRPr="00E9156F">
              <w:rPr>
                <w:b/>
                <w:bCs/>
              </w:rPr>
              <w:t>Question(s):</w:t>
            </w:r>
          </w:p>
        </w:tc>
        <w:tc>
          <w:tcPr>
            <w:tcW w:w="3030" w:type="dxa"/>
          </w:tcPr>
          <w:p w:rsidR="00DE2128" w:rsidRPr="00E9156F" w:rsidRDefault="00DE2128" w:rsidP="009F5199">
            <w:r w:rsidRPr="00E9156F">
              <w:t>3</w:t>
            </w:r>
            <w:r w:rsidR="00E9156F" w:rsidRPr="00E9156F">
              <w:t>/16</w:t>
            </w:r>
          </w:p>
        </w:tc>
        <w:tc>
          <w:tcPr>
            <w:tcW w:w="5276" w:type="dxa"/>
            <w:gridSpan w:val="3"/>
          </w:tcPr>
          <w:p w:rsidR="00DE2128" w:rsidRPr="00E9156F" w:rsidRDefault="00BD595B" w:rsidP="008B3A0B">
            <w:pPr>
              <w:wordWrap w:val="0"/>
              <w:jc w:val="right"/>
              <w:rPr>
                <w:szCs w:val="24"/>
              </w:rPr>
            </w:pPr>
            <w:r w:rsidRPr="00E9156F">
              <w:rPr>
                <w:rFonts w:eastAsia="Malgun Gothic"/>
                <w:szCs w:val="24"/>
                <w:lang w:eastAsia="ko-KR"/>
              </w:rPr>
              <w:t>Chengdu</w:t>
            </w:r>
            <w:r w:rsidR="00B05B56" w:rsidRPr="00E9156F">
              <w:rPr>
                <w:rFonts w:eastAsia="Malgun Gothic"/>
                <w:szCs w:val="24"/>
                <w:lang w:eastAsia="ko-KR"/>
              </w:rPr>
              <w:t xml:space="preserve"> (China), 8 - 12 June 2015</w:t>
            </w:r>
          </w:p>
        </w:tc>
      </w:tr>
      <w:tr w:rsidR="00DE2128" w:rsidRPr="00E9156F" w:rsidTr="009F5199">
        <w:trPr>
          <w:cantSplit/>
          <w:trHeight w:val="357"/>
        </w:trPr>
        <w:tc>
          <w:tcPr>
            <w:tcW w:w="9923" w:type="dxa"/>
            <w:gridSpan w:val="5"/>
          </w:tcPr>
          <w:p w:rsidR="00DE2128" w:rsidRPr="00E9156F" w:rsidRDefault="00DE2128" w:rsidP="009F5199">
            <w:pPr>
              <w:jc w:val="center"/>
              <w:rPr>
                <w:b/>
                <w:bCs/>
              </w:rPr>
            </w:pPr>
            <w:r w:rsidRPr="00E9156F">
              <w:rPr>
                <w:b/>
                <w:bCs/>
              </w:rPr>
              <w:t>RAPPORTEUR MEETING DOCUMENT</w:t>
            </w:r>
          </w:p>
        </w:tc>
      </w:tr>
      <w:tr w:rsidR="00DE2128" w:rsidRPr="00E9156F" w:rsidTr="009F5199">
        <w:trPr>
          <w:cantSplit/>
          <w:trHeight w:val="357"/>
        </w:trPr>
        <w:tc>
          <w:tcPr>
            <w:tcW w:w="1617" w:type="dxa"/>
          </w:tcPr>
          <w:p w:rsidR="00DE2128" w:rsidRPr="00E9156F" w:rsidRDefault="00DE2128" w:rsidP="009F5199">
            <w:pPr>
              <w:rPr>
                <w:b/>
                <w:bCs/>
              </w:rPr>
            </w:pPr>
            <w:r w:rsidRPr="00E9156F">
              <w:rPr>
                <w:b/>
                <w:bCs/>
              </w:rPr>
              <w:t>Source:</w:t>
            </w:r>
          </w:p>
        </w:tc>
        <w:tc>
          <w:tcPr>
            <w:tcW w:w="8306" w:type="dxa"/>
            <w:gridSpan w:val="4"/>
          </w:tcPr>
          <w:p w:rsidR="00DE2128" w:rsidRPr="00E9156F" w:rsidRDefault="004E302B" w:rsidP="000D0B4E">
            <w:r>
              <w:t>Q3</w:t>
            </w:r>
            <w:bookmarkStart w:id="5" w:name="_GoBack"/>
            <w:bookmarkEnd w:id="5"/>
            <w:r w:rsidR="000D0B4E">
              <w:t xml:space="preserve"> Rapporteur</w:t>
            </w:r>
          </w:p>
        </w:tc>
      </w:tr>
      <w:tr w:rsidR="00DE2128" w:rsidRPr="00E9156F" w:rsidTr="009F5199">
        <w:trPr>
          <w:cantSplit/>
          <w:trHeight w:val="357"/>
        </w:trPr>
        <w:tc>
          <w:tcPr>
            <w:tcW w:w="1617" w:type="dxa"/>
          </w:tcPr>
          <w:p w:rsidR="00DE2128" w:rsidRPr="00E9156F" w:rsidRDefault="00DE2128" w:rsidP="009F5199">
            <w:pPr>
              <w:spacing w:after="120"/>
            </w:pPr>
            <w:r w:rsidRPr="00E9156F">
              <w:rPr>
                <w:b/>
                <w:bCs/>
              </w:rPr>
              <w:t>Title:</w:t>
            </w:r>
          </w:p>
        </w:tc>
        <w:tc>
          <w:tcPr>
            <w:tcW w:w="8306" w:type="dxa"/>
            <w:gridSpan w:val="4"/>
          </w:tcPr>
          <w:p w:rsidR="00DE2128" w:rsidRPr="00E9156F" w:rsidRDefault="00F2233E" w:rsidP="004F3600">
            <w:pPr>
              <w:spacing w:after="120"/>
            </w:pPr>
            <w:r w:rsidRPr="00E9156F">
              <w:rPr>
                <w:color w:val="000000"/>
              </w:rPr>
              <w:t>H.248.88: Living list item "Lip synchronization issue in audio/video RTP topologies"</w:t>
            </w:r>
          </w:p>
        </w:tc>
      </w:tr>
      <w:tr w:rsidR="00DE2128" w:rsidRPr="00E9156F" w:rsidTr="009F5199">
        <w:trPr>
          <w:cantSplit/>
          <w:trHeight w:val="357"/>
        </w:trPr>
        <w:tc>
          <w:tcPr>
            <w:tcW w:w="1617" w:type="dxa"/>
            <w:tcBorders>
              <w:bottom w:val="single" w:sz="12" w:space="0" w:color="auto"/>
            </w:tcBorders>
          </w:tcPr>
          <w:p w:rsidR="00DE2128" w:rsidRPr="00E9156F" w:rsidRDefault="00DE2128" w:rsidP="009F5199">
            <w:pPr>
              <w:spacing w:after="120"/>
            </w:pPr>
            <w:r w:rsidRPr="00E9156F">
              <w:rPr>
                <w:b/>
                <w:bCs/>
              </w:rPr>
              <w:t>Purpose:</w:t>
            </w:r>
          </w:p>
        </w:tc>
        <w:tc>
          <w:tcPr>
            <w:tcW w:w="8306" w:type="dxa"/>
            <w:gridSpan w:val="4"/>
            <w:tcBorders>
              <w:bottom w:val="single" w:sz="12" w:space="0" w:color="auto"/>
            </w:tcBorders>
          </w:tcPr>
          <w:p w:rsidR="00DE2128" w:rsidRPr="00E9156F" w:rsidRDefault="00DE2128" w:rsidP="005F0850">
            <w:pPr>
              <w:spacing w:after="120"/>
            </w:pPr>
            <w:r w:rsidRPr="00E9156F">
              <w:t>Proposal</w:t>
            </w:r>
          </w:p>
        </w:tc>
      </w:tr>
    </w:tbl>
    <w:p w:rsidR="00DE2128" w:rsidRPr="00E9156F" w:rsidRDefault="00DE2128" w:rsidP="006C499C"/>
    <w:p w:rsidR="00FE1DA9" w:rsidRPr="00E9156F" w:rsidRDefault="00FE1DA9" w:rsidP="00FE1DA9">
      <w:pPr>
        <w:pStyle w:val="Headingb"/>
      </w:pPr>
      <w:r w:rsidRPr="00E9156F">
        <w:t>Summary</w:t>
      </w:r>
    </w:p>
    <w:p w:rsidR="00FE1DA9" w:rsidRPr="00E9156F" w:rsidRDefault="004E302B" w:rsidP="00FE1DA9">
      <w:pPr>
        <w:rPr>
          <w:lang w:eastAsia="ja-JP"/>
        </w:rPr>
      </w:pPr>
      <w:r>
        <w:rPr>
          <w:lang w:eastAsia="ja-JP"/>
        </w:rPr>
        <w:t>The TD documents a</w:t>
      </w:r>
      <w:r w:rsidR="00C07683" w:rsidRPr="00E9156F">
        <w:rPr>
          <w:lang w:eastAsia="ja-JP"/>
        </w:rPr>
        <w:t xml:space="preserve"> new living list item for H.248.88</w:t>
      </w:r>
      <w:r>
        <w:rPr>
          <w:lang w:eastAsia="ja-JP"/>
        </w:rPr>
        <w:t>, as discussed during the Q3/16 2015-06 meeting in Chengdu (China)</w:t>
      </w:r>
      <w:r w:rsidR="00C07683" w:rsidRPr="00E9156F">
        <w:rPr>
          <w:lang w:eastAsia="ja-JP"/>
        </w:rPr>
        <w:t>.</w:t>
      </w:r>
    </w:p>
    <w:p w:rsidR="00C07683" w:rsidRPr="00E9156F" w:rsidRDefault="00C07683" w:rsidP="00FE1DA9">
      <w:pPr>
        <w:rPr>
          <w:lang w:eastAsia="ja-JP"/>
        </w:rPr>
      </w:pPr>
    </w:p>
    <w:p w:rsidR="004E302B" w:rsidRDefault="004E302B">
      <w:pPr>
        <w:tabs>
          <w:tab w:val="clear" w:pos="794"/>
          <w:tab w:val="clear" w:pos="1191"/>
          <w:tab w:val="clear" w:pos="1588"/>
          <w:tab w:val="clear" w:pos="1985"/>
        </w:tabs>
        <w:overflowPunct/>
        <w:autoSpaceDE/>
        <w:autoSpaceDN/>
        <w:adjustRightInd/>
        <w:spacing w:before="0"/>
        <w:textAlignment w:val="auto"/>
        <w:rPr>
          <w:b/>
          <w:lang w:eastAsia="ja-JP"/>
        </w:rPr>
      </w:pPr>
      <w:r>
        <w:rPr>
          <w:b/>
          <w:lang w:eastAsia="ja-JP"/>
        </w:rPr>
        <w:br w:type="page"/>
      </w:r>
    </w:p>
    <w:p w:rsidR="004E302B" w:rsidRDefault="004E302B" w:rsidP="00803179">
      <w:pPr>
        <w:rPr>
          <w:b/>
          <w:lang w:eastAsia="ja-JP"/>
        </w:rPr>
      </w:pPr>
      <w:r>
        <w:rPr>
          <w:b/>
          <w:lang w:eastAsia="ja-JP"/>
        </w:rPr>
        <w:lastRenderedPageBreak/>
        <w:t>Living list item for:</w:t>
      </w:r>
    </w:p>
    <w:p w:rsidR="004E302B" w:rsidRDefault="004E302B" w:rsidP="00803179">
      <w:pPr>
        <w:rPr>
          <w:b/>
          <w:lang w:eastAsia="ja-JP"/>
        </w:rPr>
      </w:pPr>
    </w:p>
    <w:tbl>
      <w:tblPr>
        <w:tblW w:w="5000" w:type="pct"/>
        <w:tblCellSpacing w:w="7" w:type="dxa"/>
        <w:shd w:val="clear" w:color="auto" w:fill="004080"/>
        <w:tblCellMar>
          <w:top w:w="30" w:type="dxa"/>
          <w:left w:w="30" w:type="dxa"/>
          <w:bottom w:w="30" w:type="dxa"/>
          <w:right w:w="30" w:type="dxa"/>
        </w:tblCellMar>
        <w:tblLook w:val="04A0" w:firstRow="1" w:lastRow="0" w:firstColumn="1" w:lastColumn="0" w:noHBand="0" w:noVBand="1"/>
      </w:tblPr>
      <w:tblGrid>
        <w:gridCol w:w="1741"/>
        <w:gridCol w:w="7986"/>
      </w:tblGrid>
      <w:tr w:rsidR="004E302B" w:rsidRPr="004E302B" w:rsidTr="004E302B">
        <w:trPr>
          <w:tblCellSpacing w:w="7" w:type="dxa"/>
        </w:trPr>
        <w:tc>
          <w:tcPr>
            <w:tcW w:w="0" w:type="auto"/>
            <w:shd w:val="clear" w:color="auto" w:fill="FFFFFF"/>
            <w:noWrap/>
            <w:hideMark/>
          </w:tcPr>
          <w:p w:rsidR="004E302B" w:rsidRPr="004E302B" w:rsidRDefault="002B0B93" w:rsidP="004E302B">
            <w:pPr>
              <w:rPr>
                <w:lang w:eastAsia="ja-JP"/>
              </w:rPr>
            </w:pPr>
            <w:hyperlink r:id="rId7" w:history="1">
              <w:r w:rsidR="004E302B" w:rsidRPr="004E302B">
                <w:rPr>
                  <w:rStyle w:val="Hyperlink"/>
                  <w:bCs/>
                  <w:lang w:eastAsia="ja-JP"/>
                </w:rPr>
                <w:t>H.248.88 (01/14)</w:t>
              </w:r>
            </w:hyperlink>
          </w:p>
        </w:tc>
        <w:tc>
          <w:tcPr>
            <w:tcW w:w="0" w:type="auto"/>
            <w:shd w:val="clear" w:color="auto" w:fill="FFFFFF"/>
            <w:hideMark/>
          </w:tcPr>
          <w:p w:rsidR="004E302B" w:rsidRPr="004E302B" w:rsidRDefault="004E302B" w:rsidP="004E302B">
            <w:pPr>
              <w:rPr>
                <w:lang w:eastAsia="ja-JP"/>
              </w:rPr>
            </w:pPr>
            <w:r w:rsidRPr="004E302B">
              <w:rPr>
                <w:lang w:eastAsia="ja-JP"/>
              </w:rPr>
              <w:t>Gateway control protocol: RTP topology dependent RTCP handling by ITU-T H.248 media gateways with IP terminations  </w:t>
            </w:r>
          </w:p>
        </w:tc>
      </w:tr>
    </w:tbl>
    <w:p w:rsidR="004E302B" w:rsidRDefault="004E302B" w:rsidP="00803179">
      <w:pPr>
        <w:rPr>
          <w:b/>
          <w:lang w:eastAsia="ja-JP"/>
        </w:rPr>
      </w:pPr>
    </w:p>
    <w:p w:rsidR="00803179" w:rsidRPr="00E9156F" w:rsidRDefault="00803179" w:rsidP="00803179">
      <w:pPr>
        <w:rPr>
          <w:b/>
          <w:lang w:eastAsia="ja-JP"/>
        </w:rPr>
      </w:pPr>
      <w:r w:rsidRPr="00E9156F">
        <w:rPr>
          <w:b/>
          <w:lang w:eastAsia="ja-JP"/>
        </w:rPr>
        <w:t>1</w:t>
      </w:r>
      <w:r w:rsidRPr="00E9156F">
        <w:rPr>
          <w:b/>
          <w:lang w:eastAsia="ja-JP"/>
        </w:rPr>
        <w:tab/>
        <w:t>Problem statement</w:t>
      </w:r>
    </w:p>
    <w:p w:rsidR="005C7962" w:rsidRPr="00E9156F" w:rsidRDefault="00803179" w:rsidP="005C7962">
      <w:pPr>
        <w:rPr>
          <w:b/>
          <w:lang w:eastAsia="ja-JP"/>
        </w:rPr>
      </w:pPr>
      <w:r w:rsidRPr="00E9156F">
        <w:rPr>
          <w:b/>
          <w:lang w:eastAsia="ja-JP"/>
        </w:rPr>
        <w:t>1</w:t>
      </w:r>
      <w:r w:rsidR="005C7962" w:rsidRPr="00E9156F">
        <w:rPr>
          <w:b/>
          <w:lang w:eastAsia="ja-JP"/>
        </w:rPr>
        <w:t>.</w:t>
      </w:r>
      <w:r w:rsidRPr="00E9156F">
        <w:rPr>
          <w:b/>
          <w:lang w:eastAsia="ja-JP"/>
        </w:rPr>
        <w:t>1</w:t>
      </w:r>
      <w:r w:rsidR="005C7962" w:rsidRPr="00E9156F">
        <w:rPr>
          <w:b/>
          <w:lang w:eastAsia="ja-JP"/>
        </w:rPr>
        <w:tab/>
        <w:t>End-to-end dualmedia call with synchronized RTP sessions</w:t>
      </w:r>
    </w:p>
    <w:p w:rsidR="005C7962" w:rsidRPr="00E9156F" w:rsidRDefault="00803179">
      <w:r w:rsidRPr="00E9156F">
        <w:t>Lip synchronization is related to the synchronization at receiver side between audio and associated video information. Figure 1 illustrates the end-to-end scenario:</w:t>
      </w:r>
    </w:p>
    <w:p w:rsidR="005C7962" w:rsidRPr="00E9156F" w:rsidRDefault="005C7962" w:rsidP="005C7962">
      <w:pPr>
        <w:pStyle w:val="Figure"/>
      </w:pPr>
      <w:r w:rsidRPr="00E9156F">
        <w:object w:dxaOrig="10846" w:dyaOrig="8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290.55pt" o:ole="">
            <v:imagedata r:id="rId8" o:title=""/>
          </v:shape>
          <o:OLEObject Type="Embed" ProgID="Visio.Drawing.11" ShapeID="_x0000_i1025" DrawAspect="Content" ObjectID="_1495560252" r:id="rId9"/>
        </w:object>
      </w:r>
    </w:p>
    <w:p w:rsidR="005C7962" w:rsidRPr="00E9156F" w:rsidRDefault="005C7962" w:rsidP="005C7962">
      <w:pPr>
        <w:pStyle w:val="FigureNotitle"/>
      </w:pPr>
      <w:bookmarkStart w:id="6" w:name="_Toc411980037"/>
      <w:bookmarkStart w:id="7" w:name="_Toc411980612"/>
      <w:r w:rsidRPr="00E9156F">
        <w:t xml:space="preserve">Figure 1 – </w:t>
      </w:r>
      <w:bookmarkEnd w:id="6"/>
      <w:bookmarkEnd w:id="7"/>
      <w:r w:rsidRPr="00E9156F">
        <w:t>End-to-end dualmedia call with synchronized RTP sessions</w:t>
      </w:r>
      <w:r w:rsidRPr="00E9156F">
        <w:br/>
        <w:t>(Copy of Figure 6/[draft-ietf-avtext-rtp-grouping-taxonomy] "Example Point to Point Communication Session with two RTP  Sessions")</w:t>
      </w:r>
    </w:p>
    <w:p w:rsidR="005C7962" w:rsidRPr="00E9156F" w:rsidRDefault="005C7962"/>
    <w:p w:rsidR="00803179" w:rsidRPr="00E9156F" w:rsidRDefault="00803179" w:rsidP="00803179">
      <w:pPr>
        <w:rPr>
          <w:b/>
          <w:lang w:eastAsia="ja-JP"/>
        </w:rPr>
      </w:pPr>
      <w:r w:rsidRPr="00E9156F">
        <w:rPr>
          <w:b/>
          <w:lang w:eastAsia="ja-JP"/>
        </w:rPr>
        <w:t>1.2</w:t>
      </w:r>
      <w:r w:rsidRPr="00E9156F">
        <w:rPr>
          <w:b/>
          <w:lang w:eastAsia="ja-JP"/>
        </w:rPr>
        <w:tab/>
        <w:t>Synchronisation of RTP Flows</w:t>
      </w:r>
    </w:p>
    <w:p w:rsidR="00803179" w:rsidRPr="00E9156F" w:rsidRDefault="00803179" w:rsidP="00803179">
      <w:r w:rsidRPr="00E9156F">
        <w:t xml:space="preserve">IETF </w:t>
      </w:r>
      <w:r w:rsidRPr="00E9156F">
        <w:rPr>
          <w:b/>
        </w:rPr>
        <w:t>RFC 6051</w:t>
      </w:r>
      <w:r w:rsidRPr="00E9156F">
        <w:t xml:space="preserve"> "Rapid Synchronisation of RTP Flows" provides a brief summary about the </w:t>
      </w:r>
      <w:r w:rsidRPr="00E9156F">
        <w:rPr>
          <w:i/>
        </w:rPr>
        <w:t>legacy synchronization</w:t>
      </w:r>
      <w:r w:rsidRPr="00E9156F">
        <w:t xml:space="preserve"> (= RFC 3550) (besides </w:t>
      </w:r>
      <w:r w:rsidRPr="00E9156F">
        <w:rPr>
          <w:i/>
        </w:rPr>
        <w:t>rapid synchronization</w:t>
      </w:r>
      <w:r w:rsidRPr="00E9156F">
        <w:t xml:space="preserve"> aspects):</w:t>
      </w:r>
    </w:p>
    <w:bookmarkStart w:id="8" w:name="section-2"/>
    <w:p w:rsidR="00803179" w:rsidRPr="00E9156F" w:rsidRDefault="00B577A5" w:rsidP="00803179">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61"/>
        <w:rPr>
          <w:rFonts w:ascii="Courier New" w:hAnsi="Courier New" w:cs="Courier New"/>
          <w:b w:val="0"/>
          <w:i/>
          <w:sz w:val="20"/>
        </w:rPr>
      </w:pPr>
      <w:r w:rsidRPr="00E9156F">
        <w:rPr>
          <w:rFonts w:ascii="Courier New" w:hAnsi="Courier New" w:cs="Courier New"/>
          <w:b w:val="0"/>
          <w:i/>
          <w:sz w:val="20"/>
        </w:rPr>
        <w:fldChar w:fldCharType="begin"/>
      </w:r>
      <w:r w:rsidR="00803179" w:rsidRPr="00E9156F">
        <w:rPr>
          <w:rFonts w:ascii="Courier New" w:hAnsi="Courier New" w:cs="Courier New"/>
          <w:b w:val="0"/>
          <w:i/>
          <w:sz w:val="20"/>
        </w:rPr>
        <w:instrText xml:space="preserve"> HYPERLINK "http://tools.ietf.org/html/rfc6051" \l "section-2" </w:instrText>
      </w:r>
      <w:r w:rsidRPr="00E9156F">
        <w:rPr>
          <w:rFonts w:ascii="Courier New" w:hAnsi="Courier New" w:cs="Courier New"/>
          <w:b w:val="0"/>
          <w:i/>
          <w:sz w:val="20"/>
        </w:rPr>
        <w:fldChar w:fldCharType="separate"/>
      </w:r>
      <w:r w:rsidR="00803179" w:rsidRPr="00E9156F">
        <w:rPr>
          <w:rStyle w:val="Hyperlink"/>
          <w:rFonts w:ascii="Courier New" w:hAnsi="Courier New" w:cs="Courier New"/>
          <w:b w:val="0"/>
          <w:i/>
          <w:sz w:val="20"/>
        </w:rPr>
        <w:t>2</w:t>
      </w:r>
      <w:r w:rsidRPr="00E9156F">
        <w:rPr>
          <w:rFonts w:ascii="Courier New" w:hAnsi="Courier New" w:cs="Courier New"/>
          <w:b w:val="0"/>
          <w:i/>
          <w:sz w:val="20"/>
        </w:rPr>
        <w:fldChar w:fldCharType="end"/>
      </w:r>
      <w:bookmarkEnd w:id="8"/>
      <w:r w:rsidR="00803179" w:rsidRPr="00E9156F">
        <w:rPr>
          <w:rFonts w:ascii="Courier New" w:hAnsi="Courier New" w:cs="Courier New"/>
          <w:b w:val="0"/>
          <w:i/>
          <w:sz w:val="20"/>
        </w:rPr>
        <w:t>.  Synchronisation of RTP Flows</w:t>
      </w:r>
    </w:p>
    <w:p w:rsidR="00803179" w:rsidRPr="00E9156F" w:rsidRDefault="00803179" w:rsidP="00803179">
      <w:pPr>
        <w:pStyle w:val="HTMLPreformatted"/>
        <w:ind w:left="567"/>
        <w:rPr>
          <w:i/>
        </w:rPr>
      </w:pPr>
    </w:p>
    <w:p w:rsidR="00803179" w:rsidRPr="00E9156F" w:rsidRDefault="00803179" w:rsidP="00803179">
      <w:pPr>
        <w:pStyle w:val="HTMLPreformatted"/>
        <w:ind w:left="567"/>
        <w:rPr>
          <w:i/>
        </w:rPr>
      </w:pPr>
      <w:r w:rsidRPr="00E9156F">
        <w:rPr>
          <w:i/>
        </w:rPr>
        <w:t xml:space="preserve">   RTP flows are </w:t>
      </w:r>
      <w:r w:rsidRPr="00E9156F">
        <w:rPr>
          <w:b/>
          <w:i/>
        </w:rPr>
        <w:t>synchronised by receivers</w:t>
      </w:r>
      <w:r w:rsidRPr="00E9156F">
        <w:rPr>
          <w:i/>
        </w:rPr>
        <w:t xml:space="preserve"> based on information that is</w:t>
      </w:r>
    </w:p>
    <w:p w:rsidR="00803179" w:rsidRPr="00E9156F" w:rsidRDefault="00803179" w:rsidP="00803179">
      <w:pPr>
        <w:pStyle w:val="HTMLPreformatted"/>
        <w:ind w:left="567"/>
        <w:rPr>
          <w:i/>
        </w:rPr>
      </w:pPr>
      <w:r w:rsidRPr="00E9156F">
        <w:rPr>
          <w:i/>
        </w:rPr>
        <w:t xml:space="preserve">   contained in </w:t>
      </w:r>
      <w:r w:rsidRPr="00E9156F">
        <w:rPr>
          <w:b/>
          <w:i/>
        </w:rPr>
        <w:t>RTCP SR packets</w:t>
      </w:r>
      <w:r w:rsidRPr="00E9156F">
        <w:rPr>
          <w:i/>
        </w:rPr>
        <w:t xml:space="preserve"> generated by </w:t>
      </w:r>
      <w:r w:rsidRPr="00E9156F">
        <w:rPr>
          <w:b/>
          <w:i/>
        </w:rPr>
        <w:t>senders</w:t>
      </w:r>
      <w:r w:rsidRPr="00E9156F">
        <w:rPr>
          <w:i/>
        </w:rPr>
        <w:t xml:space="preserve"> (specifically, the</w:t>
      </w:r>
    </w:p>
    <w:p w:rsidR="00803179" w:rsidRPr="00E9156F" w:rsidRDefault="00803179" w:rsidP="00803179">
      <w:pPr>
        <w:pStyle w:val="HTMLPreformatted"/>
        <w:ind w:left="567"/>
        <w:rPr>
          <w:i/>
        </w:rPr>
      </w:pPr>
      <w:r w:rsidRPr="00E9156F">
        <w:rPr>
          <w:i/>
        </w:rPr>
        <w:t xml:space="preserve">   NTP-format timestamp and the RTP timestamp).  Synchronisation</w:t>
      </w:r>
    </w:p>
    <w:p w:rsidR="00803179" w:rsidRPr="00E9156F" w:rsidRDefault="00803179" w:rsidP="00803179">
      <w:pPr>
        <w:pStyle w:val="HTMLPreformatted"/>
        <w:ind w:left="567"/>
        <w:rPr>
          <w:i/>
        </w:rPr>
      </w:pPr>
      <w:r w:rsidRPr="00E9156F">
        <w:rPr>
          <w:i/>
        </w:rPr>
        <w:t xml:space="preserve">   requires that a common reference clock MUST be used to generate the</w:t>
      </w:r>
    </w:p>
    <w:p w:rsidR="00803179" w:rsidRPr="00E9156F" w:rsidRDefault="00803179" w:rsidP="00803179">
      <w:pPr>
        <w:pStyle w:val="HTMLPreformatted"/>
        <w:ind w:left="567"/>
        <w:rPr>
          <w:i/>
        </w:rPr>
      </w:pPr>
      <w:r w:rsidRPr="00E9156F">
        <w:rPr>
          <w:i/>
        </w:rPr>
        <w:t xml:space="preserve">   </w:t>
      </w:r>
      <w:r w:rsidRPr="00E9156F">
        <w:rPr>
          <w:b/>
          <w:i/>
        </w:rPr>
        <w:t>NTP-format timestamps</w:t>
      </w:r>
      <w:r w:rsidRPr="00E9156F">
        <w:rPr>
          <w:i/>
        </w:rPr>
        <w:t xml:space="preserve"> in a set of flows that are to be synchronised</w:t>
      </w:r>
    </w:p>
    <w:p w:rsidR="00803179" w:rsidRPr="00E9156F" w:rsidRDefault="00803179" w:rsidP="00803179">
      <w:pPr>
        <w:pStyle w:val="HTMLPreformatted"/>
        <w:ind w:left="567"/>
        <w:rPr>
          <w:i/>
        </w:rPr>
      </w:pPr>
      <w:r w:rsidRPr="00E9156F">
        <w:rPr>
          <w:i/>
        </w:rPr>
        <w:t xml:space="preserve">   (i.e., when synchronising several RTP flows, the RTP timestamps for</w:t>
      </w:r>
    </w:p>
    <w:p w:rsidR="00803179" w:rsidRPr="00E9156F" w:rsidRDefault="00803179" w:rsidP="00803179">
      <w:pPr>
        <w:pStyle w:val="HTMLPreformatted"/>
        <w:ind w:left="567"/>
        <w:rPr>
          <w:i/>
        </w:rPr>
      </w:pPr>
      <w:r w:rsidRPr="00E9156F">
        <w:rPr>
          <w:i/>
        </w:rPr>
        <w:lastRenderedPageBreak/>
        <w:t xml:space="preserve">   each flow are derived from separate, and media specific, clocks, but</w:t>
      </w:r>
    </w:p>
    <w:p w:rsidR="00803179" w:rsidRPr="00E9156F" w:rsidRDefault="00803179" w:rsidP="00803179">
      <w:pPr>
        <w:pStyle w:val="HTMLPreformatted"/>
        <w:ind w:left="567"/>
        <w:rPr>
          <w:i/>
        </w:rPr>
      </w:pPr>
      <w:r w:rsidRPr="00E9156F">
        <w:rPr>
          <w:i/>
        </w:rPr>
        <w:t xml:space="preserve">   the NTP-format timestamps in the RTCP SR packets of all flows to be</w:t>
      </w:r>
    </w:p>
    <w:p w:rsidR="00803179" w:rsidRPr="00E9156F" w:rsidRDefault="00803179" w:rsidP="00803179">
      <w:pPr>
        <w:pStyle w:val="HTMLPreformatted"/>
        <w:ind w:left="567"/>
        <w:rPr>
          <w:b/>
          <w:i/>
        </w:rPr>
      </w:pPr>
      <w:r w:rsidRPr="00E9156F">
        <w:rPr>
          <w:i/>
        </w:rPr>
        <w:t xml:space="preserve">   synchronised MUST be sampled from the same clock).  </w:t>
      </w:r>
      <w:r w:rsidRPr="00E9156F">
        <w:rPr>
          <w:b/>
          <w:i/>
        </w:rPr>
        <w:t>To achieve faster</w:t>
      </w:r>
    </w:p>
    <w:p w:rsidR="00803179" w:rsidRPr="00E9156F" w:rsidRDefault="00803179" w:rsidP="00803179">
      <w:pPr>
        <w:pStyle w:val="HTMLPreformatted"/>
        <w:ind w:left="567"/>
        <w:rPr>
          <w:i/>
        </w:rPr>
      </w:pPr>
      <w:r w:rsidRPr="00E9156F">
        <w:rPr>
          <w:b/>
          <w:i/>
        </w:rPr>
        <w:t xml:space="preserve">   and more accurate synchronisation</w:t>
      </w:r>
      <w:r w:rsidRPr="00E9156F">
        <w:rPr>
          <w:i/>
        </w:rPr>
        <w:t>, it is further RECOMMENDED that</w:t>
      </w:r>
    </w:p>
    <w:p w:rsidR="00803179" w:rsidRPr="00E9156F" w:rsidRDefault="00803179" w:rsidP="00803179">
      <w:pPr>
        <w:pStyle w:val="HTMLPreformatted"/>
        <w:ind w:left="567"/>
        <w:rPr>
          <w:i/>
        </w:rPr>
      </w:pPr>
      <w:r w:rsidRPr="00E9156F">
        <w:rPr>
          <w:i/>
        </w:rPr>
        <w:t xml:space="preserve">   senders and receivers use a synchronised common NTP-format reference</w:t>
      </w:r>
    </w:p>
    <w:p w:rsidR="00803179" w:rsidRPr="00E9156F" w:rsidRDefault="00803179" w:rsidP="00803179">
      <w:pPr>
        <w:pStyle w:val="HTMLPreformatted"/>
        <w:ind w:left="567"/>
        <w:rPr>
          <w:i/>
        </w:rPr>
      </w:pPr>
      <w:r w:rsidRPr="00E9156F">
        <w:rPr>
          <w:i/>
        </w:rPr>
        <w:t xml:space="preserve">   clock with common properties, especially timebase, where possible</w:t>
      </w:r>
    </w:p>
    <w:p w:rsidR="00803179" w:rsidRPr="00E9156F" w:rsidRDefault="00803179" w:rsidP="00803179">
      <w:pPr>
        <w:pStyle w:val="HTMLPreformatted"/>
        <w:ind w:left="567"/>
        <w:rPr>
          <w:i/>
        </w:rPr>
      </w:pPr>
      <w:r w:rsidRPr="00E9156F">
        <w:rPr>
          <w:i/>
        </w:rPr>
        <w:t xml:space="preserve">   (recognising that this is often not possible when RTP is used outside</w:t>
      </w:r>
    </w:p>
    <w:p w:rsidR="00803179" w:rsidRPr="00E9156F" w:rsidRDefault="00803179" w:rsidP="00803179">
      <w:pPr>
        <w:pStyle w:val="HTMLPreformatted"/>
        <w:ind w:left="567"/>
        <w:rPr>
          <w:i/>
        </w:rPr>
      </w:pPr>
      <w:r w:rsidRPr="00E9156F">
        <w:rPr>
          <w:i/>
        </w:rPr>
        <w:t xml:space="preserve">   of controlled environments); the means by which that common reference</w:t>
      </w:r>
    </w:p>
    <w:p w:rsidR="00803179" w:rsidRPr="00E9156F" w:rsidRDefault="00803179" w:rsidP="00803179">
      <w:pPr>
        <w:pStyle w:val="HTMLPreformatted"/>
        <w:ind w:left="567"/>
        <w:rPr>
          <w:i/>
        </w:rPr>
      </w:pPr>
      <w:r w:rsidRPr="00E9156F">
        <w:rPr>
          <w:i/>
        </w:rPr>
        <w:t xml:space="preserve">   clock and its properties are signalled and distributed is outside the</w:t>
      </w:r>
    </w:p>
    <w:p w:rsidR="00803179" w:rsidRPr="00E9156F" w:rsidRDefault="00803179" w:rsidP="00803179">
      <w:pPr>
        <w:pStyle w:val="HTMLPreformatted"/>
        <w:ind w:left="567"/>
        <w:rPr>
          <w:i/>
        </w:rPr>
      </w:pPr>
      <w:r w:rsidRPr="00E9156F">
        <w:rPr>
          <w:i/>
        </w:rPr>
        <w:t xml:space="preserve">   scope of this memo.</w:t>
      </w:r>
    </w:p>
    <w:p w:rsidR="00803179" w:rsidRPr="00E9156F" w:rsidRDefault="00803179" w:rsidP="00803179">
      <w:pPr>
        <w:pStyle w:val="HTMLPreformatted"/>
        <w:ind w:left="567"/>
        <w:rPr>
          <w:i/>
        </w:rPr>
      </w:pPr>
    </w:p>
    <w:p w:rsidR="00803179" w:rsidRPr="00E9156F" w:rsidRDefault="00803179" w:rsidP="00803179">
      <w:pPr>
        <w:pStyle w:val="HTMLPreformatted"/>
        <w:ind w:left="567"/>
        <w:rPr>
          <w:b/>
          <w:i/>
        </w:rPr>
      </w:pPr>
      <w:r w:rsidRPr="00E9156F">
        <w:rPr>
          <w:i/>
        </w:rPr>
        <w:t xml:space="preserve">   </w:t>
      </w:r>
      <w:r w:rsidRPr="00E9156F">
        <w:rPr>
          <w:b/>
          <w:i/>
        </w:rPr>
        <w:t>For multimedia sessions, each type of media (e.g., audio or video) is</w:t>
      </w:r>
    </w:p>
    <w:p w:rsidR="00803179" w:rsidRPr="00E9156F" w:rsidRDefault="00803179" w:rsidP="00803179">
      <w:pPr>
        <w:pStyle w:val="HTMLPreformatted"/>
        <w:ind w:left="567"/>
        <w:rPr>
          <w:b/>
          <w:i/>
        </w:rPr>
      </w:pPr>
      <w:r w:rsidRPr="00E9156F">
        <w:rPr>
          <w:b/>
          <w:i/>
        </w:rPr>
        <w:t xml:space="preserve">   sent in a separate RTP session, and the receiver associates RTP flows</w:t>
      </w:r>
    </w:p>
    <w:p w:rsidR="00803179" w:rsidRPr="00E9156F" w:rsidRDefault="00803179" w:rsidP="00803179">
      <w:pPr>
        <w:pStyle w:val="HTMLPreformatted"/>
        <w:ind w:left="567"/>
        <w:rPr>
          <w:i/>
        </w:rPr>
      </w:pPr>
      <w:r w:rsidRPr="00E9156F">
        <w:rPr>
          <w:b/>
          <w:i/>
        </w:rPr>
        <w:t xml:space="preserve">   to be synchronised</w:t>
      </w:r>
      <w:r w:rsidRPr="00E9156F">
        <w:rPr>
          <w:i/>
        </w:rPr>
        <w:t xml:space="preserve"> by means of the canonical end-point identifier</w:t>
      </w:r>
    </w:p>
    <w:p w:rsidR="00803179" w:rsidRPr="00E9156F" w:rsidRDefault="00803179" w:rsidP="00803179">
      <w:pPr>
        <w:pStyle w:val="HTMLPreformatted"/>
        <w:ind w:left="567"/>
        <w:rPr>
          <w:i/>
        </w:rPr>
      </w:pPr>
      <w:r w:rsidRPr="00E9156F">
        <w:rPr>
          <w:i/>
        </w:rPr>
        <w:t xml:space="preserve">   (CNAME) item included in the RTCP Source Description (SDES) packets</w:t>
      </w:r>
    </w:p>
    <w:p w:rsidR="00803179" w:rsidRPr="00E9156F" w:rsidRDefault="00803179" w:rsidP="00803179">
      <w:pPr>
        <w:pStyle w:val="HTMLPreformatted"/>
        <w:ind w:left="567"/>
        <w:rPr>
          <w:i/>
        </w:rPr>
      </w:pPr>
      <w:r w:rsidRPr="00E9156F">
        <w:rPr>
          <w:i/>
        </w:rPr>
        <w:t xml:space="preserve">   generated by the sender or signalled out of band [</w:t>
      </w:r>
      <w:hyperlink r:id="rId10" w:tooltip="&quot;Source-Specific Media Attributes in the Session Description Protocol (SDP)&quot;" w:history="1">
        <w:r w:rsidRPr="00E9156F">
          <w:rPr>
            <w:rStyle w:val="Hyperlink"/>
            <w:i/>
          </w:rPr>
          <w:t>RFC5576</w:t>
        </w:r>
      </w:hyperlink>
      <w:r w:rsidRPr="00E9156F">
        <w:rPr>
          <w:i/>
        </w:rPr>
        <w:t>].  For</w:t>
      </w:r>
    </w:p>
    <w:p w:rsidR="00803179" w:rsidRPr="00E9156F" w:rsidRDefault="00803179" w:rsidP="00803179">
      <w:pPr>
        <w:pStyle w:val="HTMLPreformatted"/>
        <w:ind w:left="567"/>
        <w:rPr>
          <w:i/>
        </w:rPr>
      </w:pPr>
      <w:r w:rsidRPr="00E9156F">
        <w:rPr>
          <w:i/>
        </w:rPr>
        <w:t xml:space="preserve">   layered media, different layers can be sent in different RTP</w:t>
      </w:r>
    </w:p>
    <w:p w:rsidR="00803179" w:rsidRPr="00E9156F" w:rsidRDefault="00803179" w:rsidP="00803179">
      <w:pPr>
        <w:pStyle w:val="HTMLPreformatted"/>
        <w:ind w:left="567"/>
        <w:rPr>
          <w:i/>
        </w:rPr>
      </w:pPr>
      <w:r w:rsidRPr="00E9156F">
        <w:rPr>
          <w:i/>
        </w:rPr>
        <w:t xml:space="preserve">   sessions, or using different synchronisation source (SSRC) values</w:t>
      </w:r>
    </w:p>
    <w:p w:rsidR="00803179" w:rsidRPr="00E9156F" w:rsidRDefault="00803179" w:rsidP="00803179">
      <w:pPr>
        <w:pStyle w:val="HTMLPreformatted"/>
        <w:ind w:left="567"/>
        <w:rPr>
          <w:i/>
        </w:rPr>
      </w:pPr>
      <w:r w:rsidRPr="00E9156F">
        <w:rPr>
          <w:i/>
        </w:rPr>
        <w:t xml:space="preserve">   within a single RTP session; in both cases, the CNAME is used to</w:t>
      </w:r>
    </w:p>
    <w:p w:rsidR="00803179" w:rsidRPr="00E9156F" w:rsidRDefault="00803179" w:rsidP="00803179">
      <w:pPr>
        <w:pStyle w:val="HTMLPreformatted"/>
        <w:ind w:left="567"/>
        <w:rPr>
          <w:b/>
          <w:i/>
        </w:rPr>
      </w:pPr>
      <w:r w:rsidRPr="00E9156F">
        <w:rPr>
          <w:i/>
        </w:rPr>
        <w:t xml:space="preserve">   identify flows to be synchronised.  </w:t>
      </w:r>
      <w:r w:rsidRPr="00E9156F">
        <w:rPr>
          <w:b/>
          <w:i/>
        </w:rPr>
        <w:t>To ensure synchronisation, an RTP</w:t>
      </w:r>
    </w:p>
    <w:p w:rsidR="00803179" w:rsidRPr="00E9156F" w:rsidRDefault="00803179" w:rsidP="00803179">
      <w:pPr>
        <w:pStyle w:val="HTMLPreformatted"/>
        <w:ind w:left="567"/>
        <w:rPr>
          <w:i/>
        </w:rPr>
      </w:pPr>
      <w:r w:rsidRPr="00E9156F">
        <w:rPr>
          <w:b/>
          <w:i/>
        </w:rPr>
        <w:t xml:space="preserve">   sender MUST therefore send periodic compound RTCP packets</w:t>
      </w:r>
      <w:r w:rsidRPr="00E9156F">
        <w:rPr>
          <w:i/>
        </w:rPr>
        <w:t xml:space="preserve"> following</w:t>
      </w:r>
    </w:p>
    <w:p w:rsidR="00803179" w:rsidRPr="00E9156F" w:rsidRDefault="00803179" w:rsidP="00803179">
      <w:pPr>
        <w:pStyle w:val="HTMLPreformatted"/>
        <w:ind w:left="567"/>
        <w:rPr>
          <w:i/>
        </w:rPr>
      </w:pPr>
      <w:r w:rsidRPr="00E9156F">
        <w:rPr>
          <w:i/>
        </w:rPr>
        <w:t xml:space="preserve">   </w:t>
      </w:r>
      <w:hyperlink r:id="rId11" w:anchor="section-6" w:history="1">
        <w:r w:rsidRPr="00E9156F">
          <w:rPr>
            <w:rStyle w:val="Hyperlink"/>
            <w:i/>
          </w:rPr>
          <w:t>Section 6 of RFC 3550</w:t>
        </w:r>
      </w:hyperlink>
      <w:r w:rsidRPr="00E9156F">
        <w:rPr>
          <w:i/>
        </w:rPr>
        <w:t xml:space="preserve"> [</w:t>
      </w:r>
      <w:hyperlink r:id="rId12" w:tooltip="&quot;RTP: A Transport Protocol for Real-Time Applications&quot;" w:history="1">
        <w:r w:rsidRPr="00E9156F">
          <w:rPr>
            <w:rStyle w:val="Hyperlink"/>
            <w:i/>
          </w:rPr>
          <w:t>RFC3550</w:t>
        </w:r>
      </w:hyperlink>
      <w:r w:rsidRPr="00E9156F">
        <w:rPr>
          <w:i/>
        </w:rPr>
        <w:t>].</w:t>
      </w:r>
    </w:p>
    <w:p w:rsidR="00803179" w:rsidRPr="00E9156F" w:rsidRDefault="00803179" w:rsidP="00803179">
      <w:pPr>
        <w:pStyle w:val="HTMLPreformatted"/>
        <w:ind w:left="567"/>
        <w:rPr>
          <w:i/>
        </w:rPr>
      </w:pPr>
      <w:r w:rsidRPr="00E9156F">
        <w:rPr>
          <w:i/>
        </w:rPr>
        <w:t>[…]</w:t>
      </w:r>
    </w:p>
    <w:p w:rsidR="00803179" w:rsidRPr="00E9156F" w:rsidRDefault="00803179"/>
    <w:p w:rsidR="003463CB" w:rsidRPr="00E9156F" w:rsidRDefault="001E77C6" w:rsidP="003463CB">
      <w:pPr>
        <w:pStyle w:val="Figure"/>
      </w:pPr>
      <w:r w:rsidRPr="00E9156F">
        <w:rPr>
          <w:noProof/>
          <w:lang w:val="en-US"/>
        </w:rPr>
        <w:drawing>
          <wp:inline distT="0" distB="0" distL="0" distR="0">
            <wp:extent cx="4631396" cy="1938992"/>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31396" cy="1938992"/>
                      <a:chOff x="3040082" y="890649"/>
                      <a:chExt cx="4631396" cy="1938992"/>
                    </a:xfrm>
                  </a:grpSpPr>
                  <a:sp>
                    <a:nvSpPr>
                      <a:cNvPr id="26" name="TextBox 25"/>
                      <a:cNvSpPr txBox="1"/>
                    </a:nvSpPr>
                    <a:spPr>
                      <a:xfrm>
                        <a:off x="3040082" y="890649"/>
                        <a:ext cx="4631396" cy="1938992"/>
                      </a:xfrm>
                      <a:prstGeom prst="rect">
                        <a:avLst/>
                      </a:prstGeom>
                      <a:noFill/>
                    </a:spPr>
                    <a:txSp>
                      <a:txBody>
                        <a:bodyPr wrap="none" rtlCol="0">
                          <a:spAutoFit/>
                        </a:bodyPr>
                        <a:lstStyle>
                          <a:defPPr>
                            <a:defRPr lang="en-US"/>
                          </a:defPPr>
                          <a:lvl1pPr algn="l" rtl="0" fontAlgn="base">
                            <a:spcBef>
                              <a:spcPct val="0"/>
                            </a:spcBef>
                            <a:spcAft>
                              <a:spcPct val="0"/>
                            </a:spcAft>
                            <a:defRPr kern="1200">
                              <a:solidFill>
                                <a:schemeClr val="tx1"/>
                              </a:solidFill>
                              <a:latin typeface="Tahoma" pitchFamily="34" charset="0"/>
                              <a:ea typeface="+mn-ea"/>
                              <a:cs typeface="+mn-cs"/>
                            </a:defRPr>
                          </a:lvl1pPr>
                          <a:lvl2pPr marL="457200" algn="l" rtl="0" fontAlgn="base">
                            <a:spcBef>
                              <a:spcPct val="0"/>
                            </a:spcBef>
                            <a:spcAft>
                              <a:spcPct val="0"/>
                            </a:spcAft>
                            <a:defRPr kern="1200">
                              <a:solidFill>
                                <a:schemeClr val="tx1"/>
                              </a:solidFill>
                              <a:latin typeface="Tahoma" pitchFamily="34" charset="0"/>
                              <a:ea typeface="+mn-ea"/>
                              <a:cs typeface="+mn-cs"/>
                            </a:defRPr>
                          </a:lvl2pPr>
                          <a:lvl3pPr marL="914400" algn="l" rtl="0" fontAlgn="base">
                            <a:spcBef>
                              <a:spcPct val="0"/>
                            </a:spcBef>
                            <a:spcAft>
                              <a:spcPct val="0"/>
                            </a:spcAft>
                            <a:defRPr kern="1200">
                              <a:solidFill>
                                <a:schemeClr val="tx1"/>
                              </a:solidFill>
                              <a:latin typeface="Tahoma" pitchFamily="34" charset="0"/>
                              <a:ea typeface="+mn-ea"/>
                              <a:cs typeface="+mn-cs"/>
                            </a:defRPr>
                          </a:lvl3pPr>
                          <a:lvl4pPr marL="1371600" algn="l" rtl="0" fontAlgn="base">
                            <a:spcBef>
                              <a:spcPct val="0"/>
                            </a:spcBef>
                            <a:spcAft>
                              <a:spcPct val="0"/>
                            </a:spcAft>
                            <a:defRPr kern="1200">
                              <a:solidFill>
                                <a:schemeClr val="tx1"/>
                              </a:solidFill>
                              <a:latin typeface="Tahoma" pitchFamily="34" charset="0"/>
                              <a:ea typeface="+mn-ea"/>
                              <a:cs typeface="+mn-cs"/>
                            </a:defRPr>
                          </a:lvl4pPr>
                          <a:lvl5pPr marL="1828800" algn="l" rtl="0" fontAlgn="base">
                            <a:spcBef>
                              <a:spcPct val="0"/>
                            </a:spcBef>
                            <a:spcAft>
                              <a:spcPct val="0"/>
                            </a:spcAft>
                            <a:defRPr kern="1200">
                              <a:solidFill>
                                <a:schemeClr val="tx1"/>
                              </a:solidFill>
                              <a:latin typeface="Tahoma" pitchFamily="34" charset="0"/>
                              <a:ea typeface="+mn-ea"/>
                              <a:cs typeface="+mn-cs"/>
                            </a:defRPr>
                          </a:lvl5pPr>
                          <a:lvl6pPr marL="2286000" algn="l" defTabSz="914400" rtl="0" eaLnBrk="1" latinLnBrk="0" hangingPunct="1">
                            <a:defRPr kern="1200">
                              <a:solidFill>
                                <a:schemeClr val="tx1"/>
                              </a:solidFill>
                              <a:latin typeface="Tahoma" pitchFamily="34" charset="0"/>
                              <a:ea typeface="+mn-ea"/>
                              <a:cs typeface="+mn-cs"/>
                            </a:defRPr>
                          </a:lvl6pPr>
                          <a:lvl7pPr marL="2743200" algn="l" defTabSz="914400" rtl="0" eaLnBrk="1" latinLnBrk="0" hangingPunct="1">
                            <a:defRPr kern="1200">
                              <a:solidFill>
                                <a:schemeClr val="tx1"/>
                              </a:solidFill>
                              <a:latin typeface="Tahoma" pitchFamily="34" charset="0"/>
                              <a:ea typeface="+mn-ea"/>
                              <a:cs typeface="+mn-cs"/>
                            </a:defRPr>
                          </a:lvl7pPr>
                          <a:lvl8pPr marL="3200400" algn="l" defTabSz="914400" rtl="0" eaLnBrk="1" latinLnBrk="0" hangingPunct="1">
                            <a:defRPr kern="1200">
                              <a:solidFill>
                                <a:schemeClr val="tx1"/>
                              </a:solidFill>
                              <a:latin typeface="Tahoma" pitchFamily="34" charset="0"/>
                              <a:ea typeface="+mn-ea"/>
                              <a:cs typeface="+mn-cs"/>
                            </a:defRPr>
                          </a:lvl8pPr>
                          <a:lvl9pPr marL="3657600" algn="l" defTabSz="914400" rtl="0" eaLnBrk="1" latinLnBrk="0" hangingPunct="1">
                            <a:defRPr kern="1200">
                              <a:solidFill>
                                <a:schemeClr val="tx1"/>
                              </a:solidFill>
                              <a:latin typeface="Tahoma" pitchFamily="34" charset="0"/>
                              <a:ea typeface="+mn-ea"/>
                              <a:cs typeface="+mn-cs"/>
                            </a:defRPr>
                          </a:lvl9pPr>
                        </a:lstStyle>
                        <a:p>
                          <a:r>
                            <a:rPr lang="en-US" sz="800" dirty="0" smtClean="0">
                              <a:latin typeface="Courier New" pitchFamily="49" charset="0"/>
                              <a:cs typeface="Courier New" pitchFamily="49" charset="0"/>
                            </a:rPr>
                            <a:t>RFC3550 6.4.1 SR: Sender Report RTCP Packet</a:t>
                          </a:r>
                        </a:p>
                        <a:p>
                          <a:r>
                            <a:rPr lang="en-US" sz="800" dirty="0" smtClean="0">
                              <a:latin typeface="Courier New" pitchFamily="49" charset="0"/>
                              <a:cs typeface="Courier New" pitchFamily="49" charset="0"/>
                            </a:rPr>
                            <a:t>        0                   1                   2                   3</a:t>
                          </a:r>
                        </a:p>
                        <a:p>
                          <a:r>
                            <a:rPr lang="en-US" sz="800" dirty="0" smtClean="0">
                              <a:latin typeface="Courier New" pitchFamily="49" charset="0"/>
                              <a:cs typeface="Courier New" pitchFamily="49" charset="0"/>
                            </a:rPr>
                            <a:t>        0 1 2 3 4 5 6 7 8 9 0 1 2 3 4 5 6 7 8 9 0 1 2 3 4 5 6 7 8 9 0 1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header |V=2|P|    RC   | PT=SR=200     |              length           |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       |                         SSRC of sender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sender |           NTP timestamp, most significant word                |</a:t>
                          </a:r>
                        </a:p>
                        <a:p>
                          <a:r>
                            <a:rPr lang="en-US" sz="800" dirty="0" smtClean="0">
                              <a:latin typeface="Courier New" pitchFamily="49" charset="0"/>
                              <a:cs typeface="Courier New" pitchFamily="49" charset="0"/>
                            </a:rPr>
                            <a:t>info   +-+-+-+-+-+-+-+-+-+-+-+-+-+-+-+-+-+-+-+-+-+-+-+-+-+-+-+-+-+-+-+-+</a:t>
                          </a:r>
                        </a:p>
                        <a:p>
                          <a:r>
                            <a:rPr lang="en-US" sz="800" dirty="0" smtClean="0">
                              <a:latin typeface="Courier New" pitchFamily="49" charset="0"/>
                              <a:cs typeface="Courier New" pitchFamily="49" charset="0"/>
                            </a:rPr>
                            <a:t>       |           NTP timestamp, least significant word               |</a:t>
                          </a:r>
                        </a:p>
                        <a:p>
                          <a:r>
                            <a:rPr lang="en-US" sz="800" dirty="0" smtClean="0">
                              <a:latin typeface="Courier New" pitchFamily="49" charset="0"/>
                              <a:cs typeface="Courier New" pitchFamily="49" charset="0"/>
                            </a:rPr>
                            <a:t>       +-+-+-+-+-+-+-+-+-+-+-+-+-+-+-+-+-+-+-+-+-+-+-+-+-+-+-+-+-+-+-+-+</a:t>
                          </a:r>
                        </a:p>
                        <a:p>
                          <a:r>
                            <a:rPr lang="en-US" sz="800" dirty="0" smtClean="0">
                              <a:latin typeface="Courier New" pitchFamily="49" charset="0"/>
                              <a:cs typeface="Courier New" pitchFamily="49" charset="0"/>
                            </a:rPr>
                            <a:t>       |                          RTP timestamp                        |</a:t>
                          </a:r>
                        </a:p>
                        <a:p>
                          <a:r>
                            <a:rPr lang="en-US" sz="800" dirty="0" smtClean="0">
                              <a:latin typeface="Courier New" pitchFamily="49" charset="0"/>
                              <a:cs typeface="Courier New" pitchFamily="49" charset="0"/>
                            </a:rPr>
                            <a:t>       +-+-+-+-+-+-+-+-+-+-+-+-+-+-+-+-+-+-+-+-+-+-+-+-+-+-+-+-+-+-+-+-+ </a:t>
                          </a:r>
                        </a:p>
                        <a:p>
                          <a:r>
                            <a:rPr lang="en-US" sz="800" dirty="0" smtClean="0">
                              <a:latin typeface="Courier New" pitchFamily="49" charset="0"/>
                              <a:cs typeface="Courier New" pitchFamily="49" charset="0"/>
                            </a:rPr>
                            <a:t>       | ...                                                           |</a:t>
                          </a:r>
                          <a:endParaRPr lang="en-US" sz="800" dirty="0">
                            <a:latin typeface="Courier New" pitchFamily="49" charset="0"/>
                            <a:cs typeface="Courier New" pitchFamily="49" charset="0"/>
                          </a:endParaRPr>
                        </a:p>
                      </a:txBody>
                      <a:useSpRect/>
                    </a:txSp>
                  </a:sp>
                </lc:lockedCanvas>
              </a:graphicData>
            </a:graphic>
          </wp:inline>
        </w:drawing>
      </w:r>
    </w:p>
    <w:p w:rsidR="003463CB" w:rsidRPr="00E9156F" w:rsidRDefault="003463CB" w:rsidP="003463CB">
      <w:pPr>
        <w:pStyle w:val="FigureNotitle"/>
      </w:pPr>
      <w:r w:rsidRPr="00E9156F">
        <w:t xml:space="preserve">Figure </w:t>
      </w:r>
      <w:r w:rsidR="001E77C6" w:rsidRPr="00E9156F">
        <w:t>2</w:t>
      </w:r>
      <w:r w:rsidRPr="00E9156F">
        <w:t xml:space="preserve"> – </w:t>
      </w:r>
      <w:r w:rsidR="001E77C6" w:rsidRPr="00E9156F">
        <w:t>RTCP SR packet – NTP (absolute) and RTP (relative) timestamps</w:t>
      </w:r>
    </w:p>
    <w:p w:rsidR="003463CB" w:rsidRPr="00E9156F" w:rsidRDefault="003463CB"/>
    <w:p w:rsidR="00033CB9" w:rsidRPr="00E9156F" w:rsidRDefault="00033CB9">
      <w:r w:rsidRPr="00E9156F">
        <w:t>Fundamental requirements:</w:t>
      </w:r>
    </w:p>
    <w:p w:rsidR="00803179" w:rsidRPr="00E9156F" w:rsidRDefault="00803179">
      <w:r w:rsidRPr="00E9156F">
        <w:t xml:space="preserve">It could be concluded that the most important requirement is to get the </w:t>
      </w:r>
      <w:r w:rsidRPr="00E9156F">
        <w:rPr>
          <w:b/>
        </w:rPr>
        <w:t>RTCP SR reports</w:t>
      </w:r>
      <w:r w:rsidRPr="00E9156F">
        <w:t xml:space="preserve"> for all </w:t>
      </w:r>
      <w:r w:rsidR="00033CB9" w:rsidRPr="00E9156F">
        <w:t xml:space="preserve">received </w:t>
      </w:r>
      <w:r w:rsidRPr="00E9156F">
        <w:t>RTP streams</w:t>
      </w:r>
      <w:r w:rsidR="00033CB9" w:rsidRPr="00E9156F">
        <w:t xml:space="preserve"> at the receiving RTP endpoint</w:t>
      </w:r>
      <w:r w:rsidR="001E77C6" w:rsidRPr="00E9156F">
        <w:t xml:space="preserve"> (because the NTP timestamps (Figure 2) serve as common reference clock across all sent RTP streams from the sending RTP endpoint)</w:t>
      </w:r>
      <w:r w:rsidR="00033CB9" w:rsidRPr="00E9156F">
        <w:t>.</w:t>
      </w:r>
    </w:p>
    <w:p w:rsidR="00803179" w:rsidRPr="00E9156F" w:rsidRDefault="00033CB9">
      <w:r w:rsidRPr="00E9156F">
        <w:t xml:space="preserve">Furthermore, what is the acceptable </w:t>
      </w:r>
      <w:r w:rsidRPr="00E9156F">
        <w:rPr>
          <w:i/>
        </w:rPr>
        <w:t>time shift</w:t>
      </w:r>
      <w:r w:rsidRPr="00E9156F">
        <w:t xml:space="preserve"> within synchronized audio and video?</w:t>
      </w:r>
    </w:p>
    <w:p w:rsidR="00033CB9" w:rsidRPr="00E9156F" w:rsidRDefault="00033CB9">
      <w:r w:rsidRPr="00E9156F">
        <w:t>See:</w:t>
      </w:r>
    </w:p>
    <w:p w:rsidR="00033CB9" w:rsidRPr="00E9156F" w:rsidRDefault="00033CB9" w:rsidP="00033CB9">
      <w:pPr>
        <w:pStyle w:val="ListParagraph"/>
        <w:numPr>
          <w:ilvl w:val="0"/>
          <w:numId w:val="13"/>
        </w:numPr>
      </w:pPr>
      <w:r w:rsidRPr="00E9156F">
        <w:t xml:space="preserve">ITU-T </w:t>
      </w:r>
      <w:r w:rsidRPr="00E9156F">
        <w:rPr>
          <w:b/>
          <w:bCs/>
        </w:rPr>
        <w:t>G.1091</w:t>
      </w:r>
      <w:r w:rsidRPr="00E9156F">
        <w:t xml:space="preserve"> QoE Requirements for </w:t>
      </w:r>
      <w:r w:rsidRPr="00E9156F">
        <w:rPr>
          <w:b/>
          <w:bCs/>
        </w:rPr>
        <w:t>Telepresence</w:t>
      </w:r>
      <w:r w:rsidRPr="00E9156F">
        <w:t xml:space="preserve"> Services</w:t>
      </w:r>
      <w:r w:rsidRPr="00E9156F">
        <w:br/>
        <w:t xml:space="preserve">=&gt; </w:t>
      </w:r>
      <w:r w:rsidR="00150857" w:rsidRPr="00E9156F">
        <w:t xml:space="preserve">clause </w:t>
      </w:r>
      <w:r w:rsidRPr="00E9156F">
        <w:t xml:space="preserve">10.2  Lip sync </w:t>
      </w:r>
      <w:r w:rsidRPr="00E9156F">
        <w:br/>
        <w:t xml:space="preserve">=&gt; Audio streams should be </w:t>
      </w:r>
      <w:r w:rsidRPr="00E9156F">
        <w:rPr>
          <w:b/>
          <w:bCs/>
        </w:rPr>
        <w:t>less than 40 ms</w:t>
      </w:r>
      <w:r w:rsidRPr="00E9156F">
        <w:t xml:space="preserve"> </w:t>
      </w:r>
      <w:r w:rsidRPr="00E9156F">
        <w:rPr>
          <w:b/>
          <w:bCs/>
        </w:rPr>
        <w:t xml:space="preserve">ahead </w:t>
      </w:r>
      <w:r w:rsidRPr="00E9156F">
        <w:t xml:space="preserve">of video streams, and less </w:t>
      </w:r>
      <w:r w:rsidRPr="00E9156F">
        <w:rPr>
          <w:b/>
          <w:bCs/>
        </w:rPr>
        <w:t>than 60 ms behind video</w:t>
      </w:r>
      <w:r w:rsidRPr="00E9156F">
        <w:t xml:space="preserve"> streams.</w:t>
      </w:r>
    </w:p>
    <w:p w:rsidR="00033CB9" w:rsidRPr="00E9156F" w:rsidRDefault="00033CB9" w:rsidP="00033CB9">
      <w:pPr>
        <w:pStyle w:val="ListParagraph"/>
        <w:numPr>
          <w:ilvl w:val="0"/>
          <w:numId w:val="13"/>
        </w:numPr>
      </w:pPr>
      <w:r w:rsidRPr="00E9156F">
        <w:lastRenderedPageBreak/>
        <w:t xml:space="preserve">ITU-T </w:t>
      </w:r>
      <w:r w:rsidRPr="00E9156F">
        <w:rPr>
          <w:b/>
          <w:bCs/>
        </w:rPr>
        <w:t>J.248</w:t>
      </w:r>
      <w:r w:rsidRPr="00E9156F">
        <w:t xml:space="preserve"> Requirements for operational monitoring of video-to-audio delay in the distribution of </w:t>
      </w:r>
      <w:r w:rsidRPr="00E9156F">
        <w:rPr>
          <w:b/>
          <w:bCs/>
        </w:rPr>
        <w:t>television</w:t>
      </w:r>
      <w:r w:rsidRPr="00E9156F">
        <w:t xml:space="preserve"> programs</w:t>
      </w:r>
      <w:r w:rsidRPr="00E9156F">
        <w:br/>
        <w:t>=&gt; Appendix I Perceptual limits for lip-sync errors</w:t>
      </w:r>
    </w:p>
    <w:p w:rsidR="00033CB9" w:rsidRPr="00E9156F" w:rsidRDefault="00033CB9" w:rsidP="00033CB9">
      <w:pPr>
        <w:pStyle w:val="ListParagraph"/>
        <w:numPr>
          <w:ilvl w:val="0"/>
          <w:numId w:val="13"/>
        </w:numPr>
      </w:pPr>
      <w:r w:rsidRPr="00E9156F">
        <w:t xml:space="preserve">ITU-R </w:t>
      </w:r>
      <w:r w:rsidRPr="00E9156F">
        <w:rPr>
          <w:b/>
          <w:bCs/>
        </w:rPr>
        <w:t>BT.1359-1</w:t>
      </w:r>
      <w:r w:rsidRPr="00E9156F">
        <w:t xml:space="preserve"> (1998), Relative timing of sound and vision for </w:t>
      </w:r>
      <w:r w:rsidRPr="00E9156F">
        <w:rPr>
          <w:b/>
          <w:bCs/>
        </w:rPr>
        <w:t>broadcasting</w:t>
      </w:r>
    </w:p>
    <w:p w:rsidR="00033CB9" w:rsidRPr="00E9156F" w:rsidRDefault="00033CB9"/>
    <w:p w:rsidR="00803179" w:rsidRPr="00E9156F" w:rsidRDefault="00803179" w:rsidP="00803179">
      <w:pPr>
        <w:rPr>
          <w:b/>
          <w:lang w:eastAsia="ja-JP"/>
        </w:rPr>
      </w:pPr>
      <w:r w:rsidRPr="00E9156F">
        <w:rPr>
          <w:b/>
          <w:lang w:eastAsia="ja-JP"/>
        </w:rPr>
        <w:t>1.</w:t>
      </w:r>
      <w:r w:rsidR="00150857" w:rsidRPr="00E9156F">
        <w:rPr>
          <w:b/>
          <w:lang w:eastAsia="ja-JP"/>
        </w:rPr>
        <w:t>3</w:t>
      </w:r>
      <w:r w:rsidRPr="00E9156F">
        <w:rPr>
          <w:b/>
          <w:lang w:eastAsia="ja-JP"/>
        </w:rPr>
        <w:tab/>
        <w:t>End-to-end scenario with interim</w:t>
      </w:r>
      <w:r w:rsidR="00150857" w:rsidRPr="00E9156F">
        <w:rPr>
          <w:b/>
          <w:lang w:eastAsia="ja-JP"/>
        </w:rPr>
        <w:t>, RTP-aware</w:t>
      </w:r>
      <w:r w:rsidRPr="00E9156F">
        <w:rPr>
          <w:b/>
          <w:lang w:eastAsia="ja-JP"/>
        </w:rPr>
        <w:t xml:space="preserve"> middleboxes</w:t>
      </w:r>
    </w:p>
    <w:p w:rsidR="004E302B" w:rsidRPr="00E9156F" w:rsidRDefault="004E302B" w:rsidP="004E302B">
      <w:pPr>
        <w:rPr>
          <w:b/>
          <w:lang w:eastAsia="ja-JP"/>
        </w:rPr>
      </w:pPr>
      <w:r w:rsidRPr="00E9156F">
        <w:rPr>
          <w:b/>
          <w:lang w:eastAsia="ja-JP"/>
        </w:rPr>
        <w:t>1.3</w:t>
      </w:r>
      <w:r>
        <w:rPr>
          <w:b/>
          <w:lang w:eastAsia="ja-JP"/>
        </w:rPr>
        <w:t>.1</w:t>
      </w:r>
      <w:r w:rsidRPr="00E9156F">
        <w:rPr>
          <w:b/>
          <w:lang w:eastAsia="ja-JP"/>
        </w:rPr>
        <w:tab/>
      </w:r>
      <w:r>
        <w:rPr>
          <w:b/>
          <w:lang w:eastAsia="ja-JP"/>
        </w:rPr>
        <w:t>H.248 IP-IP access and peering media gateways</w:t>
      </w:r>
    </w:p>
    <w:p w:rsidR="004E302B" w:rsidRDefault="004E302B">
      <w:r>
        <w:t>NOTE – Related to H.248 IP-IP MGs in point-to-point topology such as IMS access gateways or IMS/NGN peering gateways.</w:t>
      </w:r>
      <w:r w:rsidR="00CB286B">
        <w:t xml:space="preserve"> Hence, </w:t>
      </w:r>
      <w:r w:rsidR="00B577A5" w:rsidRPr="00B577A5">
        <w:rPr>
          <w:b/>
        </w:rPr>
        <w:t>Table 2/H.248.88</w:t>
      </w:r>
      <w:r w:rsidR="00CB286B">
        <w:t xml:space="preserve"> "</w:t>
      </w:r>
      <w:r w:rsidR="00B577A5" w:rsidRPr="00B577A5">
        <w:rPr>
          <w:i/>
        </w:rPr>
        <w:t>Two ITU-T H.248 IP Terminations per Context</w:t>
      </w:r>
      <w:r w:rsidR="00CB286B">
        <w:t>" applies.</w:t>
      </w:r>
    </w:p>
    <w:p w:rsidR="00BE634D" w:rsidRPr="00E9156F" w:rsidRDefault="007D1547">
      <w:r w:rsidRPr="00E9156F">
        <w:t>Q.3/16 considers end-to-end scenarios where the IP media path is routed across H.248 MGs. Figure </w:t>
      </w:r>
      <w:r w:rsidR="001E77C6" w:rsidRPr="00E9156F">
        <w:t>3</w:t>
      </w:r>
      <w:r w:rsidRPr="00E9156F">
        <w:t xml:space="preserve"> illustrates a dualmedia example. A unidirectional traffic flow consideration is sufficient from lip synchronization perspective. There are three RTP entities: the two remote RTP endpoints X and Y besides the RTP-enabled H.248 MG. Hence, there are two RTP streams in X-to-Y direction: the particular media format of each RTP stream is negotiated independently for each other, resulting in the example situation here where the MG is requested to provide a </w:t>
      </w:r>
      <w:r w:rsidRPr="00E9156F">
        <w:rPr>
          <w:i/>
        </w:rPr>
        <w:t>media translation</w:t>
      </w:r>
      <w:r w:rsidRPr="00E9156F">
        <w:t xml:space="preserve"> (MT) function for audio and a </w:t>
      </w:r>
      <w:r w:rsidRPr="00E9156F">
        <w:rPr>
          <w:i/>
        </w:rPr>
        <w:t>transparent forwarding</w:t>
      </w:r>
      <w:r w:rsidRPr="00E9156F">
        <w:t xml:space="preserve"> (TF) function for video.</w:t>
      </w:r>
    </w:p>
    <w:p w:rsidR="00BE634D" w:rsidRPr="00E9156F" w:rsidRDefault="0067240B">
      <w:r w:rsidRPr="00E9156F">
        <w:t xml:space="preserve">There are consequently two different </w:t>
      </w:r>
      <w:r w:rsidRPr="00E9156F">
        <w:rPr>
          <w:i/>
        </w:rPr>
        <w:t>RTP topologies</w:t>
      </w:r>
      <w:r w:rsidRPr="00E9156F">
        <w:t xml:space="preserve"> behind each media type specific interworking function in the H.248 MG</w:t>
      </w:r>
      <w:r w:rsidR="00CF5F51" w:rsidRPr="00E9156F">
        <w:t xml:space="preserve"> ("B2BRE" or "RTPMT" for audio and "TF" or "RTPTT" for video)</w:t>
      </w:r>
      <w:r w:rsidRPr="00E9156F">
        <w:t>.</w:t>
      </w:r>
    </w:p>
    <w:p w:rsidR="00BE634D" w:rsidRPr="00E9156F" w:rsidRDefault="00652ED6" w:rsidP="00BE634D">
      <w:pPr>
        <w:pStyle w:val="Figure"/>
      </w:pPr>
      <w:r w:rsidRPr="00E9156F">
        <w:object w:dxaOrig="9494" w:dyaOrig="4449">
          <v:shape id="_x0000_i1026" type="#_x0000_t75" style="width:427.55pt;height:200.05pt;mso-position-horizontal:absolute;mso-position-vertical:absolute" o:ole="">
            <v:imagedata r:id="rId13" o:title=""/>
          </v:shape>
          <o:OLEObject Type="Embed" ProgID="Visio.Drawing.11" ShapeID="_x0000_i1026" DrawAspect="Content" ObjectID="_1495560253" r:id="rId14"/>
        </w:object>
      </w:r>
    </w:p>
    <w:p w:rsidR="00BE634D" w:rsidRPr="00E9156F" w:rsidRDefault="00BE634D" w:rsidP="00BE634D">
      <w:pPr>
        <w:pStyle w:val="FigureNotitle"/>
      </w:pPr>
      <w:r w:rsidRPr="00E9156F">
        <w:t xml:space="preserve">Figure </w:t>
      </w:r>
      <w:r w:rsidR="001E77C6" w:rsidRPr="00E9156F">
        <w:t>3</w:t>
      </w:r>
      <w:r w:rsidRPr="00E9156F">
        <w:t xml:space="preserve"> – End-to-end scenario with interim H.248 IP-IP media gateway</w:t>
      </w:r>
    </w:p>
    <w:p w:rsidR="00BE634D" w:rsidRPr="00E9156F" w:rsidRDefault="0067240B">
      <w:r w:rsidRPr="00E9156F">
        <w:t>RTCP handling again is coupled to RTP topology behaviour (RFC 5117, H.248.88). Thus, the RTCP SR packets for audio, as sent by X1 are terminated by the MG (A1). The RTP sink receives RTCP SR packets which are originated by the MG (B1). The situation is different for the second RTP stream (video) where the original RTCP SR packets are received by Y.</w:t>
      </w:r>
    </w:p>
    <w:p w:rsidR="00BE634D" w:rsidRPr="00E9156F" w:rsidRDefault="00B930AB">
      <w:r w:rsidRPr="00E9156F">
        <w:t>There are consequently two different time domains (see the coloured fields in Figure </w:t>
      </w:r>
      <w:r w:rsidR="001E77C6" w:rsidRPr="00E9156F">
        <w:t>4</w:t>
      </w:r>
      <w:r w:rsidRPr="00E9156F">
        <w:t>) due to the different network wide scope of the RTCP basic reports (SR, RR):</w:t>
      </w:r>
    </w:p>
    <w:p w:rsidR="00BE634D" w:rsidRPr="00E9156F" w:rsidRDefault="00BE634D" w:rsidP="00BE634D">
      <w:pPr>
        <w:pStyle w:val="Figure"/>
      </w:pPr>
      <w:r w:rsidRPr="00E9156F">
        <w:object w:dxaOrig="9494" w:dyaOrig="3753">
          <v:shape id="_x0000_i1027" type="#_x0000_t75" style="width:427.55pt;height:168.85pt;mso-position-horizontal:absolute" o:ole="">
            <v:imagedata r:id="rId15" o:title=""/>
          </v:shape>
          <o:OLEObject Type="Embed" ProgID="Visio.Drawing.11" ShapeID="_x0000_i1027" DrawAspect="Content" ObjectID="_1495560254" r:id="rId16"/>
        </w:object>
      </w:r>
    </w:p>
    <w:p w:rsidR="00BE634D" w:rsidRPr="00E9156F" w:rsidRDefault="00BE634D" w:rsidP="00BE634D">
      <w:pPr>
        <w:pStyle w:val="FigureNotitle"/>
      </w:pPr>
      <w:r w:rsidRPr="00E9156F">
        <w:t xml:space="preserve">Figure </w:t>
      </w:r>
      <w:r w:rsidR="001E77C6" w:rsidRPr="00E9156F">
        <w:t>4</w:t>
      </w:r>
      <w:r w:rsidRPr="00E9156F">
        <w:t xml:space="preserve"> – End-to-end scenario with interim H.248 IP-IP media gateway</w:t>
      </w:r>
    </w:p>
    <w:p w:rsidR="00BE634D" w:rsidRPr="00E9156F" w:rsidRDefault="00BD4BE8">
      <w:r w:rsidRPr="00E9156F">
        <w:t>It should be reminded again that the two RTP endpoints within a B2BRE or RTPMT topology (here A1 and B1) are decoupled from time perspective. Hence, the RTP timestamps of segment B1-to-Y1 are not directly linked to X1-to-A1.</w:t>
      </w:r>
    </w:p>
    <w:p w:rsidR="004E302B" w:rsidRPr="00E9156F" w:rsidRDefault="004E302B" w:rsidP="004E302B">
      <w:pPr>
        <w:rPr>
          <w:b/>
          <w:lang w:eastAsia="ja-JP"/>
        </w:rPr>
      </w:pPr>
      <w:r w:rsidRPr="00E9156F">
        <w:rPr>
          <w:b/>
          <w:lang w:eastAsia="ja-JP"/>
        </w:rPr>
        <w:t>1.3</w:t>
      </w:r>
      <w:r>
        <w:rPr>
          <w:b/>
          <w:lang w:eastAsia="ja-JP"/>
        </w:rPr>
        <w:t>.2</w:t>
      </w:r>
      <w:r w:rsidRPr="00E9156F">
        <w:rPr>
          <w:b/>
          <w:lang w:eastAsia="ja-JP"/>
        </w:rPr>
        <w:tab/>
      </w:r>
      <w:r>
        <w:rPr>
          <w:b/>
          <w:lang w:eastAsia="ja-JP"/>
        </w:rPr>
        <w:t>H.248 IP media servers</w:t>
      </w:r>
    </w:p>
    <w:p w:rsidR="004E302B" w:rsidRDefault="004E302B" w:rsidP="004E302B">
      <w:r>
        <w:t>NOTE – Related to H.248 IP MG types known as media control unit (MCU), media resource function (MRF) or media server. Media servers are primarily used for conferencing based services, i.e., multipoint configurations</w:t>
      </w:r>
      <w:r w:rsidR="00F239E4">
        <w:t xml:space="preserve">. </w:t>
      </w:r>
      <w:r w:rsidR="00CB286B">
        <w:t xml:space="preserve">Hence, </w:t>
      </w:r>
      <w:r w:rsidR="00CB286B" w:rsidRPr="00CB286B">
        <w:rPr>
          <w:b/>
        </w:rPr>
        <w:t>Table </w:t>
      </w:r>
      <w:r w:rsidR="00CB286B">
        <w:rPr>
          <w:b/>
        </w:rPr>
        <w:t>3</w:t>
      </w:r>
      <w:r w:rsidR="00CB286B" w:rsidRPr="00CB286B">
        <w:rPr>
          <w:b/>
        </w:rPr>
        <w:t>/H.248.88</w:t>
      </w:r>
      <w:r w:rsidR="00CB286B">
        <w:t xml:space="preserve"> "</w:t>
      </w:r>
      <w:r w:rsidR="00B577A5" w:rsidRPr="00B577A5">
        <w:rPr>
          <w:i/>
        </w:rPr>
        <w:t>More than</w:t>
      </w:r>
      <w:r w:rsidR="00CB286B">
        <w:t xml:space="preserve"> t</w:t>
      </w:r>
      <w:r w:rsidR="00CB286B" w:rsidRPr="00CB286B">
        <w:rPr>
          <w:i/>
        </w:rPr>
        <w:t>wo ITU-T H.248 IP Terminations per Context</w:t>
      </w:r>
      <w:r w:rsidR="00CB286B">
        <w:t>" applies.</w:t>
      </w:r>
    </w:p>
    <w:p w:rsidR="00CB286B" w:rsidRDefault="00CB286B" w:rsidP="004E302B">
      <w:r>
        <w:t xml:space="preserve">Difference to clause 1.3.1: the </w:t>
      </w:r>
      <w:r w:rsidR="00B577A5" w:rsidRPr="00B577A5">
        <w:rPr>
          <w:i/>
        </w:rPr>
        <w:t>RTP mixer</w:t>
      </w:r>
      <w:r>
        <w:t xml:space="preserve"> (RTPM) topology is applied on both streams, i.e., the media server is audio-aware and video-aware. The RTCP SR packets are terminated and originated.</w:t>
      </w:r>
    </w:p>
    <w:p w:rsidR="00ED6C0F" w:rsidRDefault="00CB286B">
      <w:pPr>
        <w:ind w:left="567"/>
      </w:pPr>
      <w:r>
        <w:t>Reference RFC 5117:</w:t>
      </w:r>
    </w:p>
    <w:p w:rsidR="00ED6C0F" w:rsidRDefault="00CB286B">
      <w:pPr>
        <w:pStyle w:val="HTMLPreformatted"/>
        <w:ind w:left="567"/>
        <w:rPr>
          <w:i/>
        </w:rPr>
      </w:pPr>
      <w:r>
        <w:rPr>
          <w:i/>
        </w:rPr>
        <w:t xml:space="preserve">… </w:t>
      </w:r>
      <w:r w:rsidR="00B577A5" w:rsidRPr="00B577A5">
        <w:rPr>
          <w:i/>
        </w:rPr>
        <w:t xml:space="preserve">The Mixer is the </w:t>
      </w:r>
      <w:r w:rsidR="00B577A5" w:rsidRPr="00B577A5">
        <w:rPr>
          <w:b/>
          <w:i/>
        </w:rPr>
        <w:t>content source</w:t>
      </w:r>
      <w:r w:rsidR="00B577A5" w:rsidRPr="00B577A5">
        <w:rPr>
          <w:i/>
        </w:rPr>
        <w:t>, as it mixes the content (often in</w:t>
      </w:r>
    </w:p>
    <w:p w:rsidR="00ED6C0F" w:rsidRDefault="00B577A5">
      <w:pPr>
        <w:pStyle w:val="HTMLPreformatted"/>
        <w:ind w:left="567"/>
        <w:rPr>
          <w:i/>
        </w:rPr>
      </w:pPr>
      <w:r w:rsidRPr="00B577A5">
        <w:rPr>
          <w:i/>
        </w:rPr>
        <w:t xml:space="preserve">   the uncompressed domain) and then encodes it for transmission to a</w:t>
      </w:r>
    </w:p>
    <w:p w:rsidR="00ED6C0F" w:rsidRDefault="00B577A5">
      <w:pPr>
        <w:pStyle w:val="HTMLPreformatted"/>
        <w:ind w:left="567"/>
        <w:rPr>
          <w:i/>
        </w:rPr>
      </w:pPr>
      <w:r w:rsidRPr="00B577A5">
        <w:rPr>
          <w:i/>
        </w:rPr>
        <w:t xml:space="preserve">   participant.  The </w:t>
      </w:r>
      <w:r w:rsidRPr="00B577A5">
        <w:rPr>
          <w:b/>
          <w:i/>
        </w:rPr>
        <w:t>CSRC</w:t>
      </w:r>
      <w:r w:rsidRPr="00B577A5">
        <w:rPr>
          <w:i/>
        </w:rPr>
        <w:t xml:space="preserve"> Count (CC) and CSRC fields in the RTP header</w:t>
      </w:r>
    </w:p>
    <w:p w:rsidR="00ED6C0F" w:rsidRDefault="00B577A5">
      <w:pPr>
        <w:pStyle w:val="HTMLPreformatted"/>
        <w:ind w:left="567"/>
        <w:rPr>
          <w:i/>
        </w:rPr>
      </w:pPr>
      <w:r w:rsidRPr="00B577A5">
        <w:rPr>
          <w:i/>
        </w:rPr>
        <w:t xml:space="preserve">   are used to indicate the contributors of to the newly generated</w:t>
      </w:r>
    </w:p>
    <w:p w:rsidR="00ED6C0F" w:rsidRDefault="00B577A5">
      <w:pPr>
        <w:pStyle w:val="HTMLPreformatted"/>
        <w:ind w:left="567"/>
        <w:rPr>
          <w:i/>
        </w:rPr>
      </w:pPr>
      <w:r w:rsidRPr="00B577A5">
        <w:rPr>
          <w:i/>
        </w:rPr>
        <w:t xml:space="preserve">   stream.  The SSRCs of the to-be-mixed streams on the Mixer input</w:t>
      </w:r>
    </w:p>
    <w:p w:rsidR="00ED6C0F" w:rsidRDefault="00B577A5">
      <w:pPr>
        <w:pStyle w:val="HTMLPreformatted"/>
        <w:ind w:left="567"/>
        <w:rPr>
          <w:b/>
          <w:i/>
        </w:rPr>
      </w:pPr>
      <w:r w:rsidRPr="00B577A5">
        <w:rPr>
          <w:i/>
        </w:rPr>
        <w:t xml:space="preserve">   appear as the CSRCs at the Mixer output.  </w:t>
      </w:r>
      <w:r w:rsidRPr="00B577A5">
        <w:rPr>
          <w:b/>
          <w:i/>
        </w:rPr>
        <w:t>That output stream uses a</w:t>
      </w:r>
    </w:p>
    <w:p w:rsidR="00ED6C0F" w:rsidRDefault="00B577A5">
      <w:pPr>
        <w:pStyle w:val="HTMLPreformatted"/>
        <w:ind w:left="567"/>
        <w:rPr>
          <w:i/>
        </w:rPr>
      </w:pPr>
      <w:r w:rsidRPr="00B577A5">
        <w:rPr>
          <w:b/>
          <w:i/>
        </w:rPr>
        <w:t xml:space="preserve">   </w:t>
      </w:r>
      <w:r w:rsidRPr="00B577A5">
        <w:rPr>
          <w:b/>
          <w:i/>
          <w:highlight w:val="yellow"/>
        </w:rPr>
        <w:t>unique SSRC</w:t>
      </w:r>
      <w:r w:rsidRPr="00B577A5">
        <w:rPr>
          <w:b/>
          <w:i/>
        </w:rPr>
        <w:t xml:space="preserve"> that identifies the Mixer's stream</w:t>
      </w:r>
      <w:r w:rsidRPr="00B577A5">
        <w:rPr>
          <w:i/>
        </w:rPr>
        <w:t>.</w:t>
      </w:r>
    </w:p>
    <w:p w:rsidR="00CB286B" w:rsidRDefault="00CB286B" w:rsidP="004E302B">
      <w:r>
        <w:t>Thus, there are synchronized RTP sources (in outgoing direction of the media server)</w:t>
      </w:r>
      <w:r w:rsidR="00053D7B">
        <w:t>, - and no issues for lip sync at remote RTP receivers.</w:t>
      </w:r>
    </w:p>
    <w:p w:rsidR="00BD4BE8" w:rsidRPr="00E9156F" w:rsidRDefault="00BD4BE8" w:rsidP="00BD4BE8">
      <w:pPr>
        <w:rPr>
          <w:b/>
          <w:lang w:eastAsia="ja-JP"/>
        </w:rPr>
      </w:pPr>
      <w:r w:rsidRPr="00E9156F">
        <w:rPr>
          <w:b/>
          <w:lang w:eastAsia="ja-JP"/>
        </w:rPr>
        <w:t>1.4</w:t>
      </w:r>
      <w:r w:rsidRPr="00E9156F">
        <w:rPr>
          <w:b/>
          <w:lang w:eastAsia="ja-JP"/>
        </w:rPr>
        <w:tab/>
        <w:t>Problem</w:t>
      </w:r>
    </w:p>
    <w:p w:rsidR="00D9469C" w:rsidRPr="00E9156F" w:rsidRDefault="00BD4BE8" w:rsidP="00C049A9">
      <w:pPr>
        <w:rPr>
          <w:lang w:eastAsia="zh-CN"/>
        </w:rPr>
      </w:pPr>
      <w:r w:rsidRPr="00E9156F">
        <w:rPr>
          <w:lang w:eastAsia="zh-CN"/>
        </w:rPr>
        <w:t xml:space="preserve">The different end-to-end oneway transfer delay of audio and video, from X to Y, as given by delay components </w:t>
      </w:r>
      <w:r w:rsidR="00652ED6" w:rsidRPr="00E9156F">
        <w:rPr>
          <w:rFonts w:ascii="Trebuchet MS" w:hAnsi="Trebuchet MS"/>
          <w:lang w:eastAsia="zh-CN"/>
        </w:rPr>
        <w:t>τ</w:t>
      </w:r>
      <w:r w:rsidRPr="00E9156F">
        <w:rPr>
          <w:vertAlign w:val="subscript"/>
          <w:lang w:eastAsia="zh-CN"/>
        </w:rPr>
        <w:t>A</w:t>
      </w:r>
      <w:r w:rsidRPr="00E9156F">
        <w:rPr>
          <w:lang w:eastAsia="zh-CN"/>
        </w:rPr>
        <w:t xml:space="preserve"> and </w:t>
      </w:r>
      <w:r w:rsidR="00652ED6" w:rsidRPr="00E9156F">
        <w:rPr>
          <w:rFonts w:ascii="Trebuchet MS" w:hAnsi="Trebuchet MS"/>
          <w:lang w:eastAsia="zh-CN"/>
        </w:rPr>
        <w:t>τ</w:t>
      </w:r>
      <w:r w:rsidR="00652ED6" w:rsidRPr="00E9156F">
        <w:rPr>
          <w:vertAlign w:val="subscript"/>
          <w:lang w:eastAsia="zh-CN"/>
        </w:rPr>
        <w:t>V</w:t>
      </w:r>
      <w:r w:rsidRPr="00E9156F">
        <w:rPr>
          <w:lang w:eastAsia="zh-CN"/>
        </w:rPr>
        <w:t xml:space="preserve">, does not represent any </w:t>
      </w:r>
      <w:r w:rsidR="000D64A0" w:rsidRPr="00E9156F">
        <w:rPr>
          <w:lang w:eastAsia="zh-CN"/>
        </w:rPr>
        <w:t>issue</w:t>
      </w:r>
      <w:r w:rsidRPr="00E9156F">
        <w:rPr>
          <w:lang w:eastAsia="zh-CN"/>
        </w:rPr>
        <w:t>!</w:t>
      </w:r>
    </w:p>
    <w:p w:rsidR="000D64A0" w:rsidRPr="00E9156F" w:rsidRDefault="000D64A0" w:rsidP="00C049A9">
      <w:pPr>
        <w:rPr>
          <w:lang w:eastAsia="zh-CN"/>
        </w:rPr>
      </w:pPr>
      <w:r w:rsidRPr="00E9156F">
        <w:rPr>
          <w:lang w:eastAsia="zh-CN"/>
        </w:rPr>
        <w:t>The actual problem is related to the different timelines of the RTCP SR reports for audio and video: RTP endpoint tries to provide lip synchronization on basis of the two RTP sources B1 (audio) and X2 (video).</w:t>
      </w:r>
    </w:p>
    <w:p w:rsidR="000D64A0" w:rsidRPr="00E9156F" w:rsidRDefault="000D64A0" w:rsidP="000D64A0">
      <w:pPr>
        <w:rPr>
          <w:b/>
          <w:lang w:eastAsia="ja-JP"/>
        </w:rPr>
      </w:pPr>
      <w:r w:rsidRPr="00E9156F">
        <w:rPr>
          <w:b/>
          <w:lang w:eastAsia="ja-JP"/>
        </w:rPr>
        <w:t>2</w:t>
      </w:r>
      <w:r w:rsidRPr="00E9156F">
        <w:rPr>
          <w:b/>
          <w:lang w:eastAsia="ja-JP"/>
        </w:rPr>
        <w:tab/>
        <w:t>Solution</w:t>
      </w:r>
      <w:r w:rsidR="001E77C6" w:rsidRPr="00E9156F">
        <w:rPr>
          <w:b/>
          <w:lang w:eastAsia="ja-JP"/>
        </w:rPr>
        <w:t xml:space="preserve"> proposals</w:t>
      </w:r>
    </w:p>
    <w:p w:rsidR="000D64A0" w:rsidRPr="00E9156F" w:rsidRDefault="000D64A0" w:rsidP="000D64A0">
      <w:pPr>
        <w:rPr>
          <w:b/>
          <w:lang w:eastAsia="ja-JP"/>
        </w:rPr>
      </w:pPr>
      <w:r w:rsidRPr="00E9156F">
        <w:rPr>
          <w:b/>
          <w:lang w:eastAsia="ja-JP"/>
        </w:rPr>
        <w:t>2.1</w:t>
      </w:r>
      <w:r w:rsidRPr="00E9156F">
        <w:rPr>
          <w:b/>
          <w:lang w:eastAsia="ja-JP"/>
        </w:rPr>
        <w:tab/>
      </w:r>
      <w:r w:rsidR="001E77C6" w:rsidRPr="00E9156F">
        <w:rPr>
          <w:b/>
          <w:lang w:eastAsia="ja-JP"/>
        </w:rPr>
        <w:t>Proposal 1: "Virtual RTP source"</w:t>
      </w:r>
    </w:p>
    <w:p w:rsidR="00975E23" w:rsidRPr="00E9156F" w:rsidRDefault="00975E23" w:rsidP="00975E23">
      <w:pPr>
        <w:rPr>
          <w:b/>
          <w:lang w:eastAsia="ja-JP"/>
        </w:rPr>
      </w:pPr>
      <w:r w:rsidRPr="00E9156F">
        <w:rPr>
          <w:b/>
          <w:lang w:eastAsia="ja-JP"/>
        </w:rPr>
        <w:t>2.1.1</w:t>
      </w:r>
      <w:r w:rsidRPr="00E9156F">
        <w:rPr>
          <w:b/>
          <w:lang w:eastAsia="ja-JP"/>
        </w:rPr>
        <w:tab/>
        <w:t>Required RTP / RTCP capabilities</w:t>
      </w:r>
    </w:p>
    <w:p w:rsidR="001E77C6" w:rsidRPr="00E9156F" w:rsidRDefault="001E77C6" w:rsidP="00C049A9">
      <w:pPr>
        <w:rPr>
          <w:lang w:eastAsia="zh-CN"/>
        </w:rPr>
      </w:pPr>
      <w:r w:rsidRPr="00E9156F">
        <w:rPr>
          <w:lang w:eastAsia="zh-CN"/>
        </w:rPr>
        <w:t xml:space="preserve">When RTP source B1 would look like RTP source X1 from time perspective (i.e., NTP timestamp baseline), then lip synchronization should feasible again. Of course, the offset </w:t>
      </w:r>
      <w:r w:rsidRPr="00E9156F">
        <w:rPr>
          <w:rFonts w:ascii="Trebuchet MS" w:hAnsi="Trebuchet MS"/>
          <w:lang w:eastAsia="zh-CN"/>
        </w:rPr>
        <w:t>τ</w:t>
      </w:r>
      <w:r w:rsidRPr="00E9156F">
        <w:rPr>
          <w:vertAlign w:val="subscript"/>
          <w:lang w:eastAsia="zh-CN"/>
        </w:rPr>
        <w:t>A,MG</w:t>
      </w:r>
      <w:r w:rsidRPr="00E9156F">
        <w:rPr>
          <w:lang w:eastAsia="zh-CN"/>
        </w:rPr>
        <w:t xml:space="preserve"> due to media translation needs to be considered.</w:t>
      </w:r>
    </w:p>
    <w:p w:rsidR="00975E23" w:rsidRPr="00E9156F" w:rsidRDefault="00975E23" w:rsidP="00975E23">
      <w:pPr>
        <w:rPr>
          <w:b/>
          <w:lang w:eastAsia="ja-JP"/>
        </w:rPr>
      </w:pPr>
      <w:r w:rsidRPr="00E9156F">
        <w:rPr>
          <w:b/>
          <w:lang w:eastAsia="ja-JP"/>
        </w:rPr>
        <w:lastRenderedPageBreak/>
        <w:t>2.1.2</w:t>
      </w:r>
      <w:r w:rsidRPr="00E9156F">
        <w:rPr>
          <w:b/>
          <w:lang w:eastAsia="ja-JP"/>
        </w:rPr>
        <w:tab/>
        <w:t>H.248 capabilities</w:t>
      </w:r>
    </w:p>
    <w:p w:rsidR="00BD4BE8" w:rsidRPr="00E9156F" w:rsidRDefault="00CF5F51" w:rsidP="00C049A9">
      <w:pPr>
        <w:rPr>
          <w:lang w:eastAsia="zh-CN"/>
        </w:rPr>
      </w:pPr>
      <w:r w:rsidRPr="00E9156F">
        <w:rPr>
          <w:lang w:eastAsia="zh-CN"/>
        </w:rPr>
        <w:t>The MG must know whether B1 is a self-contained, real RTP source function or such a virtual RTP source which is linked to the received RTP stream on the peer H.248 SEP within the SEPP.</w:t>
      </w:r>
    </w:p>
    <w:p w:rsidR="00CF5F51" w:rsidRPr="00E9156F" w:rsidRDefault="00CF5F51" w:rsidP="00C049A9">
      <w:pPr>
        <w:rPr>
          <w:lang w:eastAsia="zh-CN"/>
        </w:rPr>
      </w:pPr>
      <w:r w:rsidRPr="00E9156F">
        <w:rPr>
          <w:lang w:eastAsia="zh-CN"/>
        </w:rPr>
        <w:t>Such a capability extension would relate to the scope of H.248.88.</w:t>
      </w:r>
    </w:p>
    <w:p w:rsidR="00053D7B" w:rsidRPr="00E9156F" w:rsidRDefault="00053D7B" w:rsidP="00053D7B">
      <w:pPr>
        <w:rPr>
          <w:b/>
          <w:lang w:eastAsia="ja-JP"/>
        </w:rPr>
      </w:pPr>
      <w:r w:rsidRPr="00E9156F">
        <w:rPr>
          <w:b/>
          <w:lang w:eastAsia="ja-JP"/>
        </w:rPr>
        <w:t>2.2</w:t>
      </w:r>
      <w:r w:rsidRPr="00E9156F">
        <w:rPr>
          <w:b/>
          <w:lang w:eastAsia="ja-JP"/>
        </w:rPr>
        <w:tab/>
        <w:t xml:space="preserve">Proposal 2: </w:t>
      </w:r>
      <w:r>
        <w:rPr>
          <w:b/>
          <w:lang w:eastAsia="ja-JP"/>
        </w:rPr>
        <w:t>complete media aware RTP stream indications</w:t>
      </w:r>
    </w:p>
    <w:p w:rsidR="00053D7B" w:rsidRDefault="00053D7B" w:rsidP="00053D7B">
      <w:pPr>
        <w:rPr>
          <w:lang w:eastAsia="zh-CN"/>
        </w:rPr>
      </w:pPr>
      <w:r>
        <w:rPr>
          <w:lang w:eastAsia="zh-CN"/>
        </w:rPr>
        <w:t>The idea is to indicate the video stream also as media type (and media format) aware RTP stream, - as the audio stream -, despite the fact that a RTPTT topology would be already sufficient. The MG could then derive the conclusion that both H.248 streams are subject of lip synchronization in a downstream RTP receiver entity.</w:t>
      </w:r>
    </w:p>
    <w:p w:rsidR="00053D7B" w:rsidRPr="00E9156F" w:rsidRDefault="00053D7B" w:rsidP="00053D7B">
      <w:pPr>
        <w:rPr>
          <w:lang w:eastAsia="zh-CN"/>
        </w:rPr>
      </w:pPr>
      <w:r>
        <w:rPr>
          <w:lang w:eastAsia="zh-CN"/>
        </w:rPr>
        <w:t>Such a context configuration looks odd and is for further studies.</w:t>
      </w:r>
    </w:p>
    <w:p w:rsidR="00053D7B" w:rsidRPr="00E9156F" w:rsidRDefault="00053D7B" w:rsidP="00053D7B">
      <w:pPr>
        <w:rPr>
          <w:b/>
          <w:lang w:eastAsia="ja-JP"/>
        </w:rPr>
      </w:pPr>
      <w:r w:rsidRPr="00E9156F">
        <w:rPr>
          <w:b/>
          <w:lang w:eastAsia="ja-JP"/>
        </w:rPr>
        <w:t>2.</w:t>
      </w:r>
      <w:r>
        <w:rPr>
          <w:b/>
          <w:lang w:eastAsia="ja-JP"/>
        </w:rPr>
        <w:t>3</w:t>
      </w:r>
      <w:r w:rsidRPr="00E9156F">
        <w:rPr>
          <w:b/>
          <w:lang w:eastAsia="ja-JP"/>
        </w:rPr>
        <w:tab/>
        <w:t xml:space="preserve">Proposal </w:t>
      </w:r>
      <w:r>
        <w:rPr>
          <w:b/>
          <w:lang w:eastAsia="ja-JP"/>
        </w:rPr>
        <w:t>3</w:t>
      </w:r>
      <w:r w:rsidRPr="00E9156F">
        <w:rPr>
          <w:b/>
          <w:lang w:eastAsia="ja-JP"/>
        </w:rPr>
        <w:t xml:space="preserve">: </w:t>
      </w:r>
      <w:r>
        <w:rPr>
          <w:b/>
          <w:lang w:eastAsia="ja-JP"/>
        </w:rPr>
        <w:t>application of SDP grouping semantics "LS"</w:t>
      </w:r>
    </w:p>
    <w:p w:rsidR="00053D7B" w:rsidRDefault="00053D7B" w:rsidP="00053D7B">
      <w:pPr>
        <w:rPr>
          <w:lang w:eastAsia="zh-CN"/>
        </w:rPr>
      </w:pPr>
      <w:r>
        <w:rPr>
          <w:lang w:eastAsia="zh-CN"/>
        </w:rPr>
        <w:t>Such SDP grouping semantics are normally signalled to RTP receiver Y via call control signaling. The idea is to mis-use these semantics also for the interim middlebox, despite the fact that this node does not provide a RTP sink for video.</w:t>
      </w:r>
    </w:p>
    <w:p w:rsidR="00053D7B" w:rsidRPr="00E9156F" w:rsidRDefault="00053D7B" w:rsidP="00053D7B">
      <w:pPr>
        <w:rPr>
          <w:lang w:eastAsia="zh-CN"/>
        </w:rPr>
      </w:pPr>
      <w:r>
        <w:rPr>
          <w:lang w:eastAsia="zh-CN"/>
        </w:rPr>
        <w:t>For further studies.</w:t>
      </w:r>
    </w:p>
    <w:p w:rsidR="00CF5F51" w:rsidRPr="00E9156F" w:rsidRDefault="00CF5F51" w:rsidP="00CF5F51">
      <w:pPr>
        <w:rPr>
          <w:b/>
          <w:lang w:eastAsia="ja-JP"/>
        </w:rPr>
      </w:pPr>
      <w:r w:rsidRPr="00E9156F">
        <w:rPr>
          <w:b/>
          <w:lang w:eastAsia="ja-JP"/>
        </w:rPr>
        <w:t>2.</w:t>
      </w:r>
      <w:r w:rsidR="00053D7B">
        <w:rPr>
          <w:b/>
          <w:lang w:eastAsia="ja-JP"/>
        </w:rPr>
        <w:t>4</w:t>
      </w:r>
      <w:r w:rsidRPr="00E9156F">
        <w:rPr>
          <w:b/>
          <w:lang w:eastAsia="ja-JP"/>
        </w:rPr>
        <w:tab/>
        <w:t xml:space="preserve">Proposal </w:t>
      </w:r>
      <w:r w:rsidR="00053D7B">
        <w:rPr>
          <w:b/>
          <w:lang w:eastAsia="ja-JP"/>
        </w:rPr>
        <w:t>4</w:t>
      </w:r>
      <w:r w:rsidRPr="00E9156F">
        <w:rPr>
          <w:b/>
          <w:lang w:eastAsia="ja-JP"/>
        </w:rPr>
        <w:t>: others?</w:t>
      </w:r>
    </w:p>
    <w:p w:rsidR="000D64A0" w:rsidRPr="00E9156F" w:rsidRDefault="00CF5F51" w:rsidP="00C049A9">
      <w:pPr>
        <w:rPr>
          <w:lang w:eastAsia="zh-CN"/>
        </w:rPr>
      </w:pPr>
      <w:r w:rsidRPr="00E9156F">
        <w:rPr>
          <w:lang w:eastAsia="zh-CN"/>
        </w:rPr>
        <w:t>Any other solution proposals?</w:t>
      </w:r>
    </w:p>
    <w:p w:rsidR="00CF5F51" w:rsidRPr="00E9156F" w:rsidRDefault="00CF5F51" w:rsidP="00C049A9">
      <w:pPr>
        <w:rPr>
          <w:lang w:eastAsia="zh-CN"/>
        </w:rPr>
      </w:pPr>
    </w:p>
    <w:p w:rsidR="00C07683" w:rsidRPr="00E9156F" w:rsidRDefault="00C07683" w:rsidP="00C07683">
      <w:pPr>
        <w:pBdr>
          <w:top w:val="single" w:sz="4" w:space="1" w:color="auto"/>
        </w:pBdr>
        <w:rPr>
          <w:lang w:eastAsia="zh-CN"/>
        </w:rPr>
      </w:pPr>
    </w:p>
    <w:p w:rsidR="00C049A9" w:rsidRPr="00E9156F" w:rsidRDefault="00C049A9" w:rsidP="00C049A9">
      <w:pPr>
        <w:jc w:val="center"/>
      </w:pPr>
      <w:r w:rsidRPr="00E9156F">
        <w:t>____________________</w:t>
      </w:r>
    </w:p>
    <w:sectPr w:rsidR="00C049A9" w:rsidRPr="00E9156F" w:rsidSect="006C499C">
      <w:headerReference w:type="default" r:id="rId17"/>
      <w:footerReference w:type="first" r:id="rId1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B93" w:rsidRDefault="002B0B93">
      <w:r>
        <w:separator/>
      </w:r>
    </w:p>
  </w:endnote>
  <w:endnote w:type="continuationSeparator" w:id="0">
    <w:p w:rsidR="002B0B93" w:rsidRDefault="002B0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CB286B" w:rsidRPr="007D5DAA" w:rsidTr="00A23348">
      <w:trPr>
        <w:cantSplit/>
        <w:trHeight w:val="204"/>
      </w:trPr>
      <w:tc>
        <w:tcPr>
          <w:tcW w:w="1617" w:type="dxa"/>
          <w:tcBorders>
            <w:top w:val="single" w:sz="12" w:space="0" w:color="auto"/>
          </w:tcBorders>
        </w:tcPr>
        <w:p w:rsidR="00CB286B" w:rsidRPr="007D5DAA" w:rsidRDefault="00CB286B" w:rsidP="00A23348">
          <w:pPr>
            <w:rPr>
              <w:b/>
              <w:bCs/>
              <w:sz w:val="20"/>
              <w:lang w:val="de-DE"/>
            </w:rPr>
          </w:pPr>
          <w:r w:rsidRPr="007D5DAA">
            <w:rPr>
              <w:b/>
              <w:bCs/>
              <w:sz w:val="20"/>
              <w:lang w:val="de-DE"/>
            </w:rPr>
            <w:t>Contact:</w:t>
          </w:r>
        </w:p>
      </w:tc>
      <w:tc>
        <w:tcPr>
          <w:tcW w:w="4394" w:type="dxa"/>
          <w:tcBorders>
            <w:top w:val="single" w:sz="12" w:space="0" w:color="auto"/>
          </w:tcBorders>
        </w:tcPr>
        <w:p w:rsidR="00CB286B" w:rsidRPr="007D5DAA" w:rsidRDefault="00CB286B"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CB286B" w:rsidRPr="007D5DAA" w:rsidRDefault="00CB286B" w:rsidP="00A23348">
          <w:pPr>
            <w:spacing w:before="0"/>
            <w:rPr>
              <w:sz w:val="20"/>
              <w:lang w:val="de-DE"/>
            </w:rPr>
          </w:pPr>
          <w:r w:rsidRPr="007D5DAA">
            <w:rPr>
              <w:sz w:val="20"/>
              <w:lang w:val="de-DE"/>
            </w:rPr>
            <w:t>ALCATEL-LUCENT</w:t>
          </w:r>
        </w:p>
        <w:p w:rsidR="00CB286B" w:rsidRPr="007D5DAA" w:rsidRDefault="00CB286B" w:rsidP="00A23348">
          <w:pPr>
            <w:spacing w:before="0"/>
            <w:rPr>
              <w:sz w:val="20"/>
              <w:lang w:val="de-DE"/>
            </w:rPr>
          </w:pPr>
          <w:r>
            <w:rPr>
              <w:sz w:val="20"/>
              <w:lang w:val="de-DE"/>
            </w:rPr>
            <w:t>France</w:t>
          </w:r>
        </w:p>
      </w:tc>
      <w:tc>
        <w:tcPr>
          <w:tcW w:w="3912" w:type="dxa"/>
          <w:tcBorders>
            <w:top w:val="single" w:sz="12" w:space="0" w:color="auto"/>
          </w:tcBorders>
        </w:tcPr>
        <w:p w:rsidR="00CB286B" w:rsidRPr="007D5DAA" w:rsidRDefault="00CB286B" w:rsidP="00A23348">
          <w:pPr>
            <w:rPr>
              <w:sz w:val="20"/>
              <w:lang w:val="fr-FR"/>
            </w:rPr>
          </w:pPr>
          <w:r w:rsidRPr="007D5DAA">
            <w:rPr>
              <w:sz w:val="20"/>
              <w:lang w:val="fr-FR"/>
            </w:rPr>
            <w:t xml:space="preserve">Tel: </w:t>
          </w:r>
          <w:r w:rsidRPr="007D5DAA">
            <w:rPr>
              <w:sz w:val="20"/>
              <w:lang w:val="fr-FR"/>
            </w:rPr>
            <w:tab/>
            <w:t>+49-711-821-41425</w:t>
          </w:r>
        </w:p>
        <w:p w:rsidR="00CB286B" w:rsidRPr="007D5DAA" w:rsidRDefault="00CB286B" w:rsidP="00A23348">
          <w:pPr>
            <w:spacing w:before="0"/>
            <w:rPr>
              <w:sz w:val="20"/>
              <w:lang w:val="fr-FR"/>
            </w:rPr>
          </w:pPr>
          <w:r w:rsidRPr="007D5DAA">
            <w:rPr>
              <w:sz w:val="20"/>
              <w:lang w:val="fr-FR"/>
            </w:rPr>
            <w:t xml:space="preserve">Fax: </w:t>
          </w:r>
          <w:r w:rsidRPr="007D5DAA">
            <w:rPr>
              <w:sz w:val="20"/>
              <w:lang w:val="fr-FR"/>
            </w:rPr>
            <w:tab/>
            <w:t>+49-711-821-40017</w:t>
          </w:r>
        </w:p>
        <w:p w:rsidR="00CB286B" w:rsidRPr="007D5DAA" w:rsidRDefault="00CB286B"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bl>
  <w:p w:rsidR="00CB286B" w:rsidRPr="00981DCE" w:rsidRDefault="00CB286B"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B93" w:rsidRDefault="002B0B93">
      <w:r>
        <w:separator/>
      </w:r>
    </w:p>
  </w:footnote>
  <w:footnote w:type="continuationSeparator" w:id="0">
    <w:p w:rsidR="002B0B93" w:rsidRDefault="002B0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6B" w:rsidRPr="00E9156F" w:rsidRDefault="00CB286B" w:rsidP="006C499C">
    <w:pPr>
      <w:pStyle w:val="Header"/>
    </w:pPr>
    <w:r w:rsidRPr="00E9156F">
      <w:t xml:space="preserve">- </w:t>
    </w:r>
    <w:r w:rsidR="00B577A5" w:rsidRPr="00E9156F">
      <w:fldChar w:fldCharType="begin"/>
    </w:r>
    <w:r w:rsidRPr="00E9156F">
      <w:instrText xml:space="preserve"> PAGE  \* MERGEFORMAT </w:instrText>
    </w:r>
    <w:r w:rsidR="00B577A5" w:rsidRPr="00E9156F">
      <w:fldChar w:fldCharType="separate"/>
    </w:r>
    <w:r w:rsidR="000D0B4E">
      <w:rPr>
        <w:noProof/>
      </w:rPr>
      <w:t>3</w:t>
    </w:r>
    <w:r w:rsidR="00B577A5" w:rsidRPr="00E9156F">
      <w:rPr>
        <w:noProof/>
      </w:rPr>
      <w:fldChar w:fldCharType="end"/>
    </w:r>
    <w:r w:rsidRPr="00E9156F">
      <w:t xml:space="preserve"> -</w:t>
    </w:r>
  </w:p>
  <w:p w:rsidR="00CB286B" w:rsidRPr="00711FE1" w:rsidRDefault="00B577A5" w:rsidP="006C499C">
    <w:pPr>
      <w:pStyle w:val="Header"/>
    </w:pPr>
    <w:r w:rsidRPr="00E9156F">
      <w:fldChar w:fldCharType="begin"/>
    </w:r>
    <w:r w:rsidR="00CB286B" w:rsidRPr="00E9156F">
      <w:instrText xml:space="preserve"> REF docnumber \h  \* MERGEFORMAT </w:instrText>
    </w:r>
    <w:r w:rsidRPr="00E9156F">
      <w:fldChar w:fldCharType="separate"/>
    </w:r>
    <w:r w:rsidR="00CB286B" w:rsidRPr="004E302B">
      <w:t>TD-24</w:t>
    </w:r>
    <w:r w:rsidRPr="00E9156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347F1F21"/>
    <w:multiLevelType w:val="hybridMultilevel"/>
    <w:tmpl w:val="B0D69B7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77F23DA"/>
    <w:multiLevelType w:val="hybridMultilevel"/>
    <w:tmpl w:val="9F7CCBD6"/>
    <w:lvl w:ilvl="0" w:tplc="F34AE778">
      <w:start w:val="1"/>
      <w:numFmt w:val="decimal"/>
      <w:lvlText w:val="%1."/>
      <w:lvlJc w:val="left"/>
      <w:pPr>
        <w:tabs>
          <w:tab w:val="num" w:pos="930"/>
        </w:tabs>
        <w:ind w:left="930" w:hanging="570"/>
      </w:pPr>
      <w:rPr>
        <w:rFonts w:ascii="TimesNewRoman" w:hAnsi="TimesNewRoman" w:cs="TimesNewRoman" w:hint="default"/>
      </w:rPr>
    </w:lvl>
    <w:lvl w:ilvl="1" w:tplc="77D46C00">
      <w:numFmt w:val="none"/>
      <w:lvlText w:val=""/>
      <w:lvlJc w:val="left"/>
      <w:pPr>
        <w:tabs>
          <w:tab w:val="num" w:pos="360"/>
        </w:tabs>
      </w:pPr>
    </w:lvl>
    <w:lvl w:ilvl="2" w:tplc="A52AADC4">
      <w:numFmt w:val="none"/>
      <w:lvlText w:val=""/>
      <w:lvlJc w:val="left"/>
      <w:pPr>
        <w:tabs>
          <w:tab w:val="num" w:pos="360"/>
        </w:tabs>
      </w:pPr>
    </w:lvl>
    <w:lvl w:ilvl="3" w:tplc="D1BA5B80">
      <w:numFmt w:val="none"/>
      <w:lvlText w:val=""/>
      <w:lvlJc w:val="left"/>
      <w:pPr>
        <w:tabs>
          <w:tab w:val="num" w:pos="360"/>
        </w:tabs>
      </w:pPr>
    </w:lvl>
    <w:lvl w:ilvl="4" w:tplc="97E6E6FA">
      <w:numFmt w:val="none"/>
      <w:lvlText w:val=""/>
      <w:lvlJc w:val="left"/>
      <w:pPr>
        <w:tabs>
          <w:tab w:val="num" w:pos="360"/>
        </w:tabs>
      </w:pPr>
    </w:lvl>
    <w:lvl w:ilvl="5" w:tplc="92822AA6">
      <w:numFmt w:val="none"/>
      <w:lvlText w:val=""/>
      <w:lvlJc w:val="left"/>
      <w:pPr>
        <w:tabs>
          <w:tab w:val="num" w:pos="360"/>
        </w:tabs>
      </w:pPr>
    </w:lvl>
    <w:lvl w:ilvl="6" w:tplc="73446B46">
      <w:numFmt w:val="none"/>
      <w:lvlText w:val=""/>
      <w:lvlJc w:val="left"/>
      <w:pPr>
        <w:tabs>
          <w:tab w:val="num" w:pos="360"/>
        </w:tabs>
      </w:pPr>
    </w:lvl>
    <w:lvl w:ilvl="7" w:tplc="FCA2701E">
      <w:numFmt w:val="none"/>
      <w:lvlText w:val=""/>
      <w:lvlJc w:val="left"/>
      <w:pPr>
        <w:tabs>
          <w:tab w:val="num" w:pos="360"/>
        </w:tabs>
      </w:pPr>
    </w:lvl>
    <w:lvl w:ilvl="8" w:tplc="D24A0158">
      <w:numFmt w:val="none"/>
      <w:lvlText w:val=""/>
      <w:lvlJc w:val="left"/>
      <w:pPr>
        <w:tabs>
          <w:tab w:val="num" w:pos="360"/>
        </w:tabs>
      </w:pPr>
    </w:lvl>
  </w:abstractNum>
  <w:abstractNum w:abstractNumId="4" w15:restartNumberingAfterBreak="0">
    <w:nsid w:val="51A02988"/>
    <w:multiLevelType w:val="hybridMultilevel"/>
    <w:tmpl w:val="E91C58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1E3BFF"/>
    <w:multiLevelType w:val="hybridMultilevel"/>
    <w:tmpl w:val="D2B27CEC"/>
    <w:lvl w:ilvl="0" w:tplc="60528B8E">
      <w:start w:val="1"/>
      <w:numFmt w:val="bullet"/>
      <w:lvlText w:val=""/>
      <w:lvlJc w:val="left"/>
      <w:pPr>
        <w:tabs>
          <w:tab w:val="num" w:pos="360"/>
        </w:tabs>
        <w:ind w:left="360" w:hanging="360"/>
      </w:pPr>
      <w:rPr>
        <w:rFonts w:ascii="Symbol" w:hAnsi="Symbol" w:hint="default"/>
      </w:rPr>
    </w:lvl>
    <w:lvl w:ilvl="1" w:tplc="452E66D2" w:tentative="1">
      <w:start w:val="1"/>
      <w:numFmt w:val="bullet"/>
      <w:lvlText w:val="o"/>
      <w:lvlJc w:val="left"/>
      <w:pPr>
        <w:tabs>
          <w:tab w:val="num" w:pos="1440"/>
        </w:tabs>
        <w:ind w:left="1440" w:hanging="360"/>
      </w:pPr>
      <w:rPr>
        <w:rFonts w:ascii="Courier New" w:hAnsi="Courier New" w:cs="Courier New" w:hint="default"/>
      </w:rPr>
    </w:lvl>
    <w:lvl w:ilvl="2" w:tplc="1E30A18E" w:tentative="1">
      <w:start w:val="1"/>
      <w:numFmt w:val="bullet"/>
      <w:lvlText w:val=""/>
      <w:lvlJc w:val="left"/>
      <w:pPr>
        <w:tabs>
          <w:tab w:val="num" w:pos="2160"/>
        </w:tabs>
        <w:ind w:left="2160" w:hanging="360"/>
      </w:pPr>
      <w:rPr>
        <w:rFonts w:ascii="Wingdings" w:hAnsi="Wingdings" w:hint="default"/>
      </w:rPr>
    </w:lvl>
    <w:lvl w:ilvl="3" w:tplc="449A2238" w:tentative="1">
      <w:start w:val="1"/>
      <w:numFmt w:val="bullet"/>
      <w:lvlText w:val=""/>
      <w:lvlJc w:val="left"/>
      <w:pPr>
        <w:tabs>
          <w:tab w:val="num" w:pos="2880"/>
        </w:tabs>
        <w:ind w:left="2880" w:hanging="360"/>
      </w:pPr>
      <w:rPr>
        <w:rFonts w:ascii="Symbol" w:hAnsi="Symbol" w:hint="default"/>
      </w:rPr>
    </w:lvl>
    <w:lvl w:ilvl="4" w:tplc="00867968" w:tentative="1">
      <w:start w:val="1"/>
      <w:numFmt w:val="bullet"/>
      <w:lvlText w:val="o"/>
      <w:lvlJc w:val="left"/>
      <w:pPr>
        <w:tabs>
          <w:tab w:val="num" w:pos="3600"/>
        </w:tabs>
        <w:ind w:left="3600" w:hanging="360"/>
      </w:pPr>
      <w:rPr>
        <w:rFonts w:ascii="Courier New" w:hAnsi="Courier New" w:cs="Courier New" w:hint="default"/>
      </w:rPr>
    </w:lvl>
    <w:lvl w:ilvl="5" w:tplc="07DCEAF8" w:tentative="1">
      <w:start w:val="1"/>
      <w:numFmt w:val="bullet"/>
      <w:lvlText w:val=""/>
      <w:lvlJc w:val="left"/>
      <w:pPr>
        <w:tabs>
          <w:tab w:val="num" w:pos="4320"/>
        </w:tabs>
        <w:ind w:left="4320" w:hanging="360"/>
      </w:pPr>
      <w:rPr>
        <w:rFonts w:ascii="Wingdings" w:hAnsi="Wingdings" w:hint="default"/>
      </w:rPr>
    </w:lvl>
    <w:lvl w:ilvl="6" w:tplc="CBE80B9A" w:tentative="1">
      <w:start w:val="1"/>
      <w:numFmt w:val="bullet"/>
      <w:lvlText w:val=""/>
      <w:lvlJc w:val="left"/>
      <w:pPr>
        <w:tabs>
          <w:tab w:val="num" w:pos="5040"/>
        </w:tabs>
        <w:ind w:left="5040" w:hanging="360"/>
      </w:pPr>
      <w:rPr>
        <w:rFonts w:ascii="Symbol" w:hAnsi="Symbol" w:hint="default"/>
      </w:rPr>
    </w:lvl>
    <w:lvl w:ilvl="7" w:tplc="74D80582" w:tentative="1">
      <w:start w:val="1"/>
      <w:numFmt w:val="bullet"/>
      <w:lvlText w:val="o"/>
      <w:lvlJc w:val="left"/>
      <w:pPr>
        <w:tabs>
          <w:tab w:val="num" w:pos="5760"/>
        </w:tabs>
        <w:ind w:left="5760" w:hanging="360"/>
      </w:pPr>
      <w:rPr>
        <w:rFonts w:ascii="Courier New" w:hAnsi="Courier New" w:cs="Courier New" w:hint="default"/>
      </w:rPr>
    </w:lvl>
    <w:lvl w:ilvl="8" w:tplc="9B7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6F6EA5"/>
    <w:multiLevelType w:val="hybridMultilevel"/>
    <w:tmpl w:val="09546066"/>
    <w:lvl w:ilvl="0" w:tplc="0AF220CE">
      <w:start w:val="1"/>
      <w:numFmt w:val="decimal"/>
      <w:lvlText w:val="%1."/>
      <w:lvlJc w:val="left"/>
      <w:pPr>
        <w:ind w:left="720" w:hanging="360"/>
      </w:pPr>
      <w:rPr>
        <w:rFonts w:ascii="TimesNewRoman" w:hAnsi="TimesNewRoman" w:cs="TimesNewRoman" w:hint="default"/>
        <w:b/>
      </w:rPr>
    </w:lvl>
    <w:lvl w:ilvl="1" w:tplc="F5706966" w:tentative="1">
      <w:start w:val="1"/>
      <w:numFmt w:val="lowerLetter"/>
      <w:lvlText w:val="%2."/>
      <w:lvlJc w:val="left"/>
      <w:pPr>
        <w:ind w:left="1440" w:hanging="360"/>
      </w:pPr>
    </w:lvl>
    <w:lvl w:ilvl="2" w:tplc="077C72D6" w:tentative="1">
      <w:start w:val="1"/>
      <w:numFmt w:val="lowerRoman"/>
      <w:lvlText w:val="%3."/>
      <w:lvlJc w:val="right"/>
      <w:pPr>
        <w:ind w:left="2160" w:hanging="180"/>
      </w:pPr>
    </w:lvl>
    <w:lvl w:ilvl="3" w:tplc="0B10DE1C" w:tentative="1">
      <w:start w:val="1"/>
      <w:numFmt w:val="decimal"/>
      <w:lvlText w:val="%4."/>
      <w:lvlJc w:val="left"/>
      <w:pPr>
        <w:ind w:left="2880" w:hanging="360"/>
      </w:pPr>
    </w:lvl>
    <w:lvl w:ilvl="4" w:tplc="802C7F2C" w:tentative="1">
      <w:start w:val="1"/>
      <w:numFmt w:val="lowerLetter"/>
      <w:lvlText w:val="%5."/>
      <w:lvlJc w:val="left"/>
      <w:pPr>
        <w:ind w:left="3600" w:hanging="360"/>
      </w:pPr>
    </w:lvl>
    <w:lvl w:ilvl="5" w:tplc="4EEC15D2" w:tentative="1">
      <w:start w:val="1"/>
      <w:numFmt w:val="lowerRoman"/>
      <w:lvlText w:val="%6."/>
      <w:lvlJc w:val="right"/>
      <w:pPr>
        <w:ind w:left="4320" w:hanging="180"/>
      </w:pPr>
    </w:lvl>
    <w:lvl w:ilvl="6" w:tplc="8E3051A8" w:tentative="1">
      <w:start w:val="1"/>
      <w:numFmt w:val="decimal"/>
      <w:lvlText w:val="%7."/>
      <w:lvlJc w:val="left"/>
      <w:pPr>
        <w:ind w:left="5040" w:hanging="360"/>
      </w:pPr>
    </w:lvl>
    <w:lvl w:ilvl="7" w:tplc="2050213A" w:tentative="1">
      <w:start w:val="1"/>
      <w:numFmt w:val="lowerLetter"/>
      <w:lvlText w:val="%8."/>
      <w:lvlJc w:val="left"/>
      <w:pPr>
        <w:ind w:left="5760" w:hanging="360"/>
      </w:pPr>
    </w:lvl>
    <w:lvl w:ilvl="8" w:tplc="11949FEA" w:tentative="1">
      <w:start w:val="1"/>
      <w:numFmt w:val="lowerRoman"/>
      <w:lvlText w:val="%9."/>
      <w:lvlJc w:val="right"/>
      <w:pPr>
        <w:ind w:left="6480" w:hanging="180"/>
      </w:pPr>
    </w:lvl>
  </w:abstractNum>
  <w:abstractNum w:abstractNumId="7" w15:restartNumberingAfterBreak="0">
    <w:nsid w:val="7360689F"/>
    <w:multiLevelType w:val="hybridMultilevel"/>
    <w:tmpl w:val="B276F23E"/>
    <w:lvl w:ilvl="0" w:tplc="63EE0C18">
      <w:start w:val="1"/>
      <w:numFmt w:val="decimal"/>
      <w:lvlText w:val="%1."/>
      <w:lvlJc w:val="left"/>
      <w:pPr>
        <w:tabs>
          <w:tab w:val="num" w:pos="720"/>
        </w:tabs>
        <w:ind w:left="720" w:hanging="360"/>
      </w:pPr>
    </w:lvl>
    <w:lvl w:ilvl="1" w:tplc="7376E65C" w:tentative="1">
      <w:start w:val="1"/>
      <w:numFmt w:val="lowerLetter"/>
      <w:lvlText w:val="%2."/>
      <w:lvlJc w:val="left"/>
      <w:pPr>
        <w:tabs>
          <w:tab w:val="num" w:pos="1440"/>
        </w:tabs>
        <w:ind w:left="1440" w:hanging="360"/>
      </w:pPr>
    </w:lvl>
    <w:lvl w:ilvl="2" w:tplc="0034064A" w:tentative="1">
      <w:start w:val="1"/>
      <w:numFmt w:val="lowerRoman"/>
      <w:lvlText w:val="%3."/>
      <w:lvlJc w:val="right"/>
      <w:pPr>
        <w:tabs>
          <w:tab w:val="num" w:pos="2160"/>
        </w:tabs>
        <w:ind w:left="2160" w:hanging="180"/>
      </w:pPr>
    </w:lvl>
    <w:lvl w:ilvl="3" w:tplc="BCDAAC5A" w:tentative="1">
      <w:start w:val="1"/>
      <w:numFmt w:val="decimal"/>
      <w:lvlText w:val="%4."/>
      <w:lvlJc w:val="left"/>
      <w:pPr>
        <w:tabs>
          <w:tab w:val="num" w:pos="2880"/>
        </w:tabs>
        <w:ind w:left="2880" w:hanging="360"/>
      </w:pPr>
    </w:lvl>
    <w:lvl w:ilvl="4" w:tplc="94006F18" w:tentative="1">
      <w:start w:val="1"/>
      <w:numFmt w:val="lowerLetter"/>
      <w:lvlText w:val="%5."/>
      <w:lvlJc w:val="left"/>
      <w:pPr>
        <w:tabs>
          <w:tab w:val="num" w:pos="3600"/>
        </w:tabs>
        <w:ind w:left="3600" w:hanging="360"/>
      </w:pPr>
    </w:lvl>
    <w:lvl w:ilvl="5" w:tplc="43660C0E" w:tentative="1">
      <w:start w:val="1"/>
      <w:numFmt w:val="lowerRoman"/>
      <w:lvlText w:val="%6."/>
      <w:lvlJc w:val="right"/>
      <w:pPr>
        <w:tabs>
          <w:tab w:val="num" w:pos="4320"/>
        </w:tabs>
        <w:ind w:left="4320" w:hanging="180"/>
      </w:pPr>
    </w:lvl>
    <w:lvl w:ilvl="6" w:tplc="EA48495C" w:tentative="1">
      <w:start w:val="1"/>
      <w:numFmt w:val="decimal"/>
      <w:lvlText w:val="%7."/>
      <w:lvlJc w:val="left"/>
      <w:pPr>
        <w:tabs>
          <w:tab w:val="num" w:pos="5040"/>
        </w:tabs>
        <w:ind w:left="5040" w:hanging="360"/>
      </w:pPr>
    </w:lvl>
    <w:lvl w:ilvl="7" w:tplc="A14EA164" w:tentative="1">
      <w:start w:val="1"/>
      <w:numFmt w:val="lowerLetter"/>
      <w:lvlText w:val="%8."/>
      <w:lvlJc w:val="left"/>
      <w:pPr>
        <w:tabs>
          <w:tab w:val="num" w:pos="5760"/>
        </w:tabs>
        <w:ind w:left="5760" w:hanging="360"/>
      </w:pPr>
    </w:lvl>
    <w:lvl w:ilvl="8" w:tplc="E17A85C4" w:tentative="1">
      <w:start w:val="1"/>
      <w:numFmt w:val="lowerRoman"/>
      <w:lvlText w:val="%9."/>
      <w:lvlJc w:val="right"/>
      <w:pPr>
        <w:tabs>
          <w:tab w:val="num" w:pos="6480"/>
        </w:tabs>
        <w:ind w:left="6480" w:hanging="180"/>
      </w:pPr>
    </w:lvl>
  </w:abstractNum>
  <w:abstractNum w:abstractNumId="8" w15:restartNumberingAfterBreak="0">
    <w:nsid w:val="73B065CB"/>
    <w:multiLevelType w:val="hybridMultilevel"/>
    <w:tmpl w:val="AC3C0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3"/>
  </w:num>
  <w:num w:numId="9">
    <w:abstractNumId w:val="5"/>
  </w:num>
  <w:num w:numId="10">
    <w:abstractNumId w:val="7"/>
  </w:num>
  <w:num w:numId="11">
    <w:abstractNumId w:val="2"/>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3CB9"/>
    <w:rsid w:val="00053D7B"/>
    <w:rsid w:val="00056DAD"/>
    <w:rsid w:val="000628A1"/>
    <w:rsid w:val="000939EC"/>
    <w:rsid w:val="000B4F47"/>
    <w:rsid w:val="000B77CF"/>
    <w:rsid w:val="000D0B4E"/>
    <w:rsid w:val="000D64A0"/>
    <w:rsid w:val="000E33BC"/>
    <w:rsid w:val="000F4172"/>
    <w:rsid w:val="00121B82"/>
    <w:rsid w:val="001410DA"/>
    <w:rsid w:val="00150857"/>
    <w:rsid w:val="001C72EC"/>
    <w:rsid w:val="001D54A9"/>
    <w:rsid w:val="001E3845"/>
    <w:rsid w:val="001E3E74"/>
    <w:rsid w:val="001E77C6"/>
    <w:rsid w:val="00203CC6"/>
    <w:rsid w:val="00205A28"/>
    <w:rsid w:val="00226C7B"/>
    <w:rsid w:val="00276AE7"/>
    <w:rsid w:val="00284A0E"/>
    <w:rsid w:val="002B0B93"/>
    <w:rsid w:val="002D15E7"/>
    <w:rsid w:val="002F12F3"/>
    <w:rsid w:val="0030108C"/>
    <w:rsid w:val="00301D02"/>
    <w:rsid w:val="00314ED9"/>
    <w:rsid w:val="0034157B"/>
    <w:rsid w:val="00342FDD"/>
    <w:rsid w:val="00345D8B"/>
    <w:rsid w:val="003463CB"/>
    <w:rsid w:val="00364CBE"/>
    <w:rsid w:val="00381CDF"/>
    <w:rsid w:val="0038387E"/>
    <w:rsid w:val="003A113F"/>
    <w:rsid w:val="003E5802"/>
    <w:rsid w:val="003F3C15"/>
    <w:rsid w:val="00406BC2"/>
    <w:rsid w:val="004209C0"/>
    <w:rsid w:val="00427846"/>
    <w:rsid w:val="00445C37"/>
    <w:rsid w:val="00462F82"/>
    <w:rsid w:val="00481990"/>
    <w:rsid w:val="0049269B"/>
    <w:rsid w:val="004E300A"/>
    <w:rsid w:val="004E302B"/>
    <w:rsid w:val="004F3600"/>
    <w:rsid w:val="005066C3"/>
    <w:rsid w:val="00510C0D"/>
    <w:rsid w:val="00511B26"/>
    <w:rsid w:val="00546304"/>
    <w:rsid w:val="00546F7A"/>
    <w:rsid w:val="0057475A"/>
    <w:rsid w:val="005B17C4"/>
    <w:rsid w:val="005B1896"/>
    <w:rsid w:val="005C7962"/>
    <w:rsid w:val="005E52A7"/>
    <w:rsid w:val="005E596E"/>
    <w:rsid w:val="005F0850"/>
    <w:rsid w:val="00610C71"/>
    <w:rsid w:val="00627E88"/>
    <w:rsid w:val="00633E9F"/>
    <w:rsid w:val="00634E9C"/>
    <w:rsid w:val="00652ED6"/>
    <w:rsid w:val="00652FC6"/>
    <w:rsid w:val="00657EDF"/>
    <w:rsid w:val="0067240B"/>
    <w:rsid w:val="006B0F27"/>
    <w:rsid w:val="006C2928"/>
    <w:rsid w:val="006C499C"/>
    <w:rsid w:val="006F5CBB"/>
    <w:rsid w:val="00703437"/>
    <w:rsid w:val="00721873"/>
    <w:rsid w:val="00732438"/>
    <w:rsid w:val="007530B8"/>
    <w:rsid w:val="00762E0E"/>
    <w:rsid w:val="00767787"/>
    <w:rsid w:val="00792B1E"/>
    <w:rsid w:val="007C0997"/>
    <w:rsid w:val="007C6D6B"/>
    <w:rsid w:val="007D1547"/>
    <w:rsid w:val="007D5DAA"/>
    <w:rsid w:val="00803179"/>
    <w:rsid w:val="0086014B"/>
    <w:rsid w:val="008B3A0B"/>
    <w:rsid w:val="00975E23"/>
    <w:rsid w:val="00990883"/>
    <w:rsid w:val="009C2A71"/>
    <w:rsid w:val="009F5199"/>
    <w:rsid w:val="00A01D72"/>
    <w:rsid w:val="00A23348"/>
    <w:rsid w:val="00A55B3D"/>
    <w:rsid w:val="00A67AF2"/>
    <w:rsid w:val="00A71543"/>
    <w:rsid w:val="00A86EDA"/>
    <w:rsid w:val="00AB00A6"/>
    <w:rsid w:val="00AC2CAE"/>
    <w:rsid w:val="00AD2D8B"/>
    <w:rsid w:val="00AD412C"/>
    <w:rsid w:val="00AF346D"/>
    <w:rsid w:val="00B05B56"/>
    <w:rsid w:val="00B171EE"/>
    <w:rsid w:val="00B577A5"/>
    <w:rsid w:val="00B85207"/>
    <w:rsid w:val="00B930AB"/>
    <w:rsid w:val="00BB0FFF"/>
    <w:rsid w:val="00BD4BE8"/>
    <w:rsid w:val="00BD595B"/>
    <w:rsid w:val="00BE634D"/>
    <w:rsid w:val="00C049A9"/>
    <w:rsid w:val="00C07683"/>
    <w:rsid w:val="00C158C3"/>
    <w:rsid w:val="00C54997"/>
    <w:rsid w:val="00C7005C"/>
    <w:rsid w:val="00C81EE7"/>
    <w:rsid w:val="00C82327"/>
    <w:rsid w:val="00C94986"/>
    <w:rsid w:val="00CB286B"/>
    <w:rsid w:val="00CF5F51"/>
    <w:rsid w:val="00D81498"/>
    <w:rsid w:val="00D93393"/>
    <w:rsid w:val="00D9469C"/>
    <w:rsid w:val="00DE2128"/>
    <w:rsid w:val="00DE3CB3"/>
    <w:rsid w:val="00E17EF9"/>
    <w:rsid w:val="00E470C3"/>
    <w:rsid w:val="00E6522C"/>
    <w:rsid w:val="00E9156F"/>
    <w:rsid w:val="00EB5B4E"/>
    <w:rsid w:val="00EB6B91"/>
    <w:rsid w:val="00ED4C4B"/>
    <w:rsid w:val="00ED6C0F"/>
    <w:rsid w:val="00F2233E"/>
    <w:rsid w:val="00F2250F"/>
    <w:rsid w:val="00F239E4"/>
    <w:rsid w:val="00F40BA8"/>
    <w:rsid w:val="00F432D8"/>
    <w:rsid w:val="00F43BF4"/>
    <w:rsid w:val="00F64F35"/>
    <w:rsid w:val="00F85FD0"/>
    <w:rsid w:val="00F948D7"/>
    <w:rsid w:val="00FA3684"/>
    <w:rsid w:val="00FC66F6"/>
    <w:rsid w:val="00FD0239"/>
    <w:rsid w:val="00FE1DA9"/>
    <w:rsid w:val="00FF41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4691CB-802E-4A54-8596-E2B31CD4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Heading U,H11,Titre Partie,MyHeading 1,HHeading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aliases w:val="H6,H61"/>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Heading U Char,H1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2F12F3"/>
    <w:pPr>
      <w:ind w:left="720"/>
      <w:contextualSpacing/>
    </w:pPr>
  </w:style>
  <w:style w:type="paragraph" w:customStyle="1" w:styleId="Figure">
    <w:name w:val="Figure"/>
    <w:basedOn w:val="Normal"/>
    <w:next w:val="Normal"/>
    <w:rsid w:val="005C7962"/>
    <w:pPr>
      <w:keepNext/>
      <w:keepLines/>
      <w:spacing w:before="240" w:after="120"/>
      <w:jc w:val="center"/>
    </w:pPr>
    <w:rPr>
      <w:rFonts w:eastAsia="Times New Roman"/>
    </w:rPr>
  </w:style>
  <w:style w:type="paragraph" w:styleId="HTMLPreformatted">
    <w:name w:val="HTML Preformatted"/>
    <w:basedOn w:val="Normal"/>
    <w:link w:val="HTMLPreformattedChar"/>
    <w:uiPriority w:val="99"/>
    <w:unhideWhenUsed/>
    <w:rsid w:val="0080317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803179"/>
    <w:rPr>
      <w:rFonts w:ascii="Courier New" w:eastAsia="Times New Roman" w:hAnsi="Courier New" w:cs="Courier New"/>
      <w:lang w:val="en-GB" w:eastAsia="en-GB"/>
    </w:rPr>
  </w:style>
  <w:style w:type="character" w:customStyle="1" w:styleId="grey">
    <w:name w:val="grey"/>
    <w:basedOn w:val="DefaultParagraphFont"/>
    <w:rsid w:val="00803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89593582">
      <w:bodyDiv w:val="1"/>
      <w:marLeft w:val="0"/>
      <w:marRight w:val="0"/>
      <w:marTop w:val="0"/>
      <w:marBottom w:val="0"/>
      <w:divBdr>
        <w:top w:val="none" w:sz="0" w:space="0" w:color="auto"/>
        <w:left w:val="none" w:sz="0" w:space="0" w:color="auto"/>
        <w:bottom w:val="none" w:sz="0" w:space="0" w:color="auto"/>
        <w:right w:val="none" w:sz="0" w:space="0" w:color="auto"/>
      </w:divBdr>
    </w:div>
    <w:div w:id="386925832">
      <w:bodyDiv w:val="1"/>
      <w:marLeft w:val="0"/>
      <w:marRight w:val="0"/>
      <w:marTop w:val="0"/>
      <w:marBottom w:val="0"/>
      <w:divBdr>
        <w:top w:val="none" w:sz="0" w:space="0" w:color="auto"/>
        <w:left w:val="none" w:sz="0" w:space="0" w:color="auto"/>
        <w:bottom w:val="none" w:sz="0" w:space="0" w:color="auto"/>
        <w:right w:val="none" w:sz="0" w:space="0" w:color="auto"/>
      </w:divBdr>
    </w:div>
    <w:div w:id="543904869">
      <w:bodyDiv w:val="1"/>
      <w:marLeft w:val="0"/>
      <w:marRight w:val="0"/>
      <w:marTop w:val="0"/>
      <w:marBottom w:val="0"/>
      <w:divBdr>
        <w:top w:val="none" w:sz="0" w:space="0" w:color="auto"/>
        <w:left w:val="none" w:sz="0" w:space="0" w:color="auto"/>
        <w:bottom w:val="none" w:sz="0" w:space="0" w:color="auto"/>
        <w:right w:val="none" w:sz="0" w:space="0" w:color="auto"/>
      </w:divBdr>
    </w:div>
    <w:div w:id="614214371">
      <w:bodyDiv w:val="1"/>
      <w:marLeft w:val="0"/>
      <w:marRight w:val="0"/>
      <w:marTop w:val="0"/>
      <w:marBottom w:val="0"/>
      <w:divBdr>
        <w:top w:val="none" w:sz="0" w:space="0" w:color="auto"/>
        <w:left w:val="none" w:sz="0" w:space="0" w:color="auto"/>
        <w:bottom w:val="none" w:sz="0" w:space="0" w:color="auto"/>
        <w:right w:val="none" w:sz="0" w:space="0" w:color="auto"/>
      </w:divBdr>
    </w:div>
    <w:div w:id="62798046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01082324">
      <w:bodyDiv w:val="1"/>
      <w:marLeft w:val="0"/>
      <w:marRight w:val="0"/>
      <w:marTop w:val="0"/>
      <w:marBottom w:val="0"/>
      <w:divBdr>
        <w:top w:val="none" w:sz="0" w:space="0" w:color="auto"/>
        <w:left w:val="none" w:sz="0" w:space="0" w:color="auto"/>
        <w:bottom w:val="none" w:sz="0" w:space="0" w:color="auto"/>
        <w:right w:val="none" w:sz="0" w:space="0" w:color="auto"/>
      </w:divBdr>
    </w:div>
    <w:div w:id="1427771691">
      <w:bodyDiv w:val="1"/>
      <w:marLeft w:val="0"/>
      <w:marRight w:val="0"/>
      <w:marTop w:val="0"/>
      <w:marBottom w:val="0"/>
      <w:divBdr>
        <w:top w:val="none" w:sz="0" w:space="0" w:color="auto"/>
        <w:left w:val="none" w:sz="0" w:space="0" w:color="auto"/>
        <w:bottom w:val="none" w:sz="0" w:space="0" w:color="auto"/>
        <w:right w:val="none" w:sz="0" w:space="0" w:color="auto"/>
      </w:divBdr>
    </w:div>
    <w:div w:id="1504126231">
      <w:bodyDiv w:val="1"/>
      <w:marLeft w:val="0"/>
      <w:marRight w:val="0"/>
      <w:marTop w:val="0"/>
      <w:marBottom w:val="0"/>
      <w:divBdr>
        <w:top w:val="none" w:sz="0" w:space="0" w:color="auto"/>
        <w:left w:val="none" w:sz="0" w:space="0" w:color="auto"/>
        <w:bottom w:val="none" w:sz="0" w:space="0" w:color="auto"/>
        <w:right w:val="none" w:sz="0" w:space="0" w:color="auto"/>
      </w:divBdr>
    </w:div>
    <w:div w:id="1824008329">
      <w:bodyDiv w:val="1"/>
      <w:marLeft w:val="0"/>
      <w:marRight w:val="0"/>
      <w:marTop w:val="0"/>
      <w:marBottom w:val="0"/>
      <w:divBdr>
        <w:top w:val="none" w:sz="0" w:space="0" w:color="auto"/>
        <w:left w:val="none" w:sz="0" w:space="0" w:color="auto"/>
        <w:bottom w:val="none" w:sz="0" w:space="0" w:color="auto"/>
        <w:right w:val="none" w:sz="0" w:space="0" w:color="auto"/>
      </w:divBdr>
    </w:div>
    <w:div w:id="1982611013">
      <w:bodyDiv w:val="1"/>
      <w:marLeft w:val="0"/>
      <w:marRight w:val="0"/>
      <w:marTop w:val="0"/>
      <w:marBottom w:val="0"/>
      <w:divBdr>
        <w:top w:val="none" w:sz="0" w:space="0" w:color="auto"/>
        <w:left w:val="none" w:sz="0" w:space="0" w:color="auto"/>
        <w:bottom w:val="none" w:sz="0" w:space="0" w:color="auto"/>
        <w:right w:val="none" w:sz="0" w:space="0" w:color="auto"/>
      </w:divBdr>
    </w:div>
    <w:div w:id="203045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tu.int/rec/T-REC-H.248.88/recommendation.asp?lang=en&amp;parent=T-REC-H.248.88-201401-I" TargetMode="External"/><Relationship Id="rId12" Type="http://schemas.openxmlformats.org/officeDocument/2006/relationships/hyperlink" Target="http://tools.ietf.org/html/rfc355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ietf.org/html/rfc3550" TargetMode="Externa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http://tools.ietf.org/html/rfc557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6</Pages>
  <Words>1441</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9642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22</cp:revision>
  <cp:lastPrinted>2002-08-01T07:30:00Z</cp:lastPrinted>
  <dcterms:created xsi:type="dcterms:W3CDTF">2015-05-18T08:19:00Z</dcterms:created>
  <dcterms:modified xsi:type="dcterms:W3CDTF">2015-06-12T00:35:00Z</dcterms:modified>
</cp:coreProperties>
</file>