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EE5468" w:rsidRPr="00A14FB6" w:rsidTr="00EE5468">
        <w:trPr>
          <w:cantSplit/>
        </w:trPr>
        <w:tc>
          <w:tcPr>
            <w:tcW w:w="6297" w:type="dxa"/>
            <w:gridSpan w:val="4"/>
            <w:vAlign w:val="center"/>
          </w:tcPr>
          <w:p w:rsidR="00EE5468" w:rsidRPr="00A14FB6" w:rsidRDefault="00EE5468" w:rsidP="001C530C">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EE5468" w:rsidRPr="00A14FB6" w:rsidRDefault="00EE5468" w:rsidP="001C530C">
            <w:pPr>
              <w:spacing w:before="0"/>
              <w:jc w:val="right"/>
              <w:rPr>
                <w:b/>
                <w:bCs/>
                <w:sz w:val="40"/>
              </w:rPr>
            </w:pPr>
            <w:r>
              <w:rPr>
                <w:b/>
                <w:bCs/>
                <w:sz w:val="40"/>
              </w:rPr>
              <w:t>AVD-4444</w:t>
            </w:r>
          </w:p>
        </w:tc>
      </w:tr>
      <w:tr w:rsidR="00EE5468" w:rsidRPr="00A14FB6" w:rsidTr="00EE5468">
        <w:trPr>
          <w:cantSplit/>
          <w:trHeight w:val="461"/>
        </w:trPr>
        <w:tc>
          <w:tcPr>
            <w:tcW w:w="4857" w:type="dxa"/>
            <w:gridSpan w:val="3"/>
            <w:vMerge w:val="restart"/>
            <w:tcBorders>
              <w:bottom w:val="nil"/>
            </w:tcBorders>
          </w:tcPr>
          <w:p w:rsidR="00EE5468" w:rsidRPr="00A14FB6" w:rsidRDefault="00EE5468" w:rsidP="001C530C">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EE5468" w:rsidRPr="00A14FB6" w:rsidRDefault="00EE5468" w:rsidP="001C530C">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EE5468" w:rsidRPr="00A14FB6" w:rsidRDefault="00EE5468" w:rsidP="001C530C">
            <w:pPr>
              <w:jc w:val="right"/>
              <w:rPr>
                <w:b/>
                <w:bCs/>
                <w:sz w:val="40"/>
              </w:rPr>
            </w:pPr>
            <w:r w:rsidRPr="00A14FB6">
              <w:rPr>
                <w:b/>
                <w:bCs/>
                <w:smallCaps/>
                <w:sz w:val="32"/>
              </w:rPr>
              <w:t>STUDY GROUP 16</w:t>
            </w:r>
          </w:p>
        </w:tc>
      </w:tr>
      <w:tr w:rsidR="00EE5468" w:rsidRPr="00A14FB6" w:rsidTr="00EE5468">
        <w:trPr>
          <w:cantSplit/>
          <w:trHeight w:val="355"/>
        </w:trPr>
        <w:tc>
          <w:tcPr>
            <w:tcW w:w="4857" w:type="dxa"/>
            <w:gridSpan w:val="3"/>
            <w:vMerge/>
            <w:tcBorders>
              <w:bottom w:val="single" w:sz="12" w:space="0" w:color="auto"/>
            </w:tcBorders>
          </w:tcPr>
          <w:p w:rsidR="00EE5468" w:rsidRPr="00A14FB6" w:rsidRDefault="00EE5468" w:rsidP="001C530C">
            <w:pPr>
              <w:rPr>
                <w:b/>
                <w:bCs/>
                <w:sz w:val="26"/>
              </w:rPr>
            </w:pPr>
            <w:bookmarkStart w:id="3" w:name="dorlang" w:colFirst="1" w:colLast="1"/>
            <w:bookmarkEnd w:id="2"/>
          </w:p>
        </w:tc>
        <w:tc>
          <w:tcPr>
            <w:tcW w:w="5066" w:type="dxa"/>
            <w:gridSpan w:val="2"/>
            <w:tcBorders>
              <w:bottom w:val="single" w:sz="12" w:space="0" w:color="auto"/>
            </w:tcBorders>
          </w:tcPr>
          <w:p w:rsidR="00EE5468" w:rsidRPr="00A14FB6" w:rsidRDefault="00EE5468" w:rsidP="001C530C">
            <w:pPr>
              <w:jc w:val="right"/>
              <w:rPr>
                <w:b/>
                <w:bCs/>
                <w:sz w:val="28"/>
              </w:rPr>
            </w:pPr>
            <w:r w:rsidRPr="00A14FB6">
              <w:rPr>
                <w:b/>
                <w:bCs/>
                <w:sz w:val="28"/>
              </w:rPr>
              <w:t>Original: English</w:t>
            </w:r>
          </w:p>
        </w:tc>
      </w:tr>
      <w:tr w:rsidR="00EE5468" w:rsidRPr="00A14FB6" w:rsidTr="00EE5468">
        <w:trPr>
          <w:cantSplit/>
          <w:trHeight w:val="357"/>
        </w:trPr>
        <w:tc>
          <w:tcPr>
            <w:tcW w:w="1617" w:type="dxa"/>
          </w:tcPr>
          <w:p w:rsidR="00EE5468" w:rsidRPr="00A14FB6" w:rsidRDefault="00EE5468" w:rsidP="001C530C">
            <w:pPr>
              <w:rPr>
                <w:b/>
                <w:bCs/>
              </w:rPr>
            </w:pPr>
            <w:bookmarkStart w:id="4" w:name="dmeeting" w:colFirst="2" w:colLast="2"/>
            <w:bookmarkStart w:id="5" w:name="dbluepink" w:colFirst="1" w:colLast="1"/>
            <w:bookmarkEnd w:id="3"/>
            <w:r w:rsidRPr="00A14FB6">
              <w:rPr>
                <w:b/>
                <w:bCs/>
              </w:rPr>
              <w:t>Question(s):</w:t>
            </w:r>
          </w:p>
        </w:tc>
        <w:tc>
          <w:tcPr>
            <w:tcW w:w="3030" w:type="dxa"/>
          </w:tcPr>
          <w:p w:rsidR="00EE5468" w:rsidRPr="00A14FB6" w:rsidRDefault="00EE5468" w:rsidP="001C530C">
            <w:r>
              <w:t>1, 2, and 5/16</w:t>
            </w:r>
          </w:p>
        </w:tc>
        <w:tc>
          <w:tcPr>
            <w:tcW w:w="5276" w:type="dxa"/>
            <w:gridSpan w:val="3"/>
          </w:tcPr>
          <w:p w:rsidR="00EE5468" w:rsidRPr="00A14FB6" w:rsidRDefault="00EE5468" w:rsidP="001C530C">
            <w:pPr>
              <w:wordWrap w:val="0"/>
              <w:jc w:val="right"/>
              <w:rPr>
                <w:szCs w:val="24"/>
              </w:rPr>
            </w:pPr>
            <w:r>
              <w:rPr>
                <w:rFonts w:eastAsia="Malgun Gothic"/>
                <w:szCs w:val="24"/>
                <w:lang w:eastAsia="ko-KR"/>
              </w:rPr>
              <w:t>Oslo</w:t>
            </w:r>
            <w:r w:rsidRPr="00A14FB6">
              <w:rPr>
                <w:rFonts w:eastAsia="Malgun Gothic"/>
                <w:szCs w:val="24"/>
                <w:lang w:eastAsia="ko-KR"/>
              </w:rPr>
              <w:t xml:space="preserve">, </w:t>
            </w:r>
            <w:r>
              <w:rPr>
                <w:rFonts w:eastAsia="Malgun Gothic"/>
                <w:szCs w:val="24"/>
                <w:lang w:eastAsia="ko-KR"/>
              </w:rPr>
              <w:t>17</w:t>
            </w:r>
            <w:r w:rsidRPr="00A14FB6">
              <w:rPr>
                <w:rFonts w:eastAsia="Malgun Gothic"/>
                <w:szCs w:val="24"/>
                <w:lang w:eastAsia="ko-KR"/>
              </w:rPr>
              <w:t xml:space="preserve"> - </w:t>
            </w:r>
            <w:r>
              <w:rPr>
                <w:rFonts w:eastAsia="Malgun Gothic"/>
                <w:szCs w:val="24"/>
                <w:lang w:eastAsia="ko-KR"/>
              </w:rPr>
              <w:t>21</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3</w:t>
            </w:r>
          </w:p>
        </w:tc>
      </w:tr>
      <w:tr w:rsidR="00EE5468" w:rsidRPr="00A14FB6" w:rsidTr="00EE5468">
        <w:trPr>
          <w:cantSplit/>
          <w:trHeight w:val="357"/>
        </w:trPr>
        <w:tc>
          <w:tcPr>
            <w:tcW w:w="9923" w:type="dxa"/>
            <w:gridSpan w:val="5"/>
          </w:tcPr>
          <w:p w:rsidR="00EE5468" w:rsidRPr="00A14FB6" w:rsidRDefault="00EE5468" w:rsidP="001C530C">
            <w:pPr>
              <w:jc w:val="center"/>
              <w:rPr>
                <w:b/>
                <w:bCs/>
              </w:rPr>
            </w:pPr>
            <w:bookmarkStart w:id="6" w:name="dtitle" w:colFirst="0" w:colLast="0"/>
            <w:bookmarkEnd w:id="4"/>
            <w:bookmarkEnd w:id="5"/>
            <w:r w:rsidRPr="00A14FB6">
              <w:rPr>
                <w:b/>
                <w:bCs/>
              </w:rPr>
              <w:t>RAPPORTEUR MEETING DOCUMENT</w:t>
            </w:r>
          </w:p>
        </w:tc>
      </w:tr>
      <w:tr w:rsidR="00EE5468" w:rsidRPr="00A14FB6" w:rsidTr="00EE5468">
        <w:trPr>
          <w:cantSplit/>
          <w:trHeight w:val="357"/>
        </w:trPr>
        <w:tc>
          <w:tcPr>
            <w:tcW w:w="1617" w:type="dxa"/>
          </w:tcPr>
          <w:p w:rsidR="00EE5468" w:rsidRPr="00A14FB6" w:rsidRDefault="00EE5468" w:rsidP="001C530C">
            <w:pPr>
              <w:rPr>
                <w:b/>
                <w:bCs/>
              </w:rPr>
            </w:pPr>
            <w:bookmarkStart w:id="7" w:name="dsource" w:colFirst="1" w:colLast="1"/>
            <w:bookmarkEnd w:id="6"/>
            <w:r w:rsidRPr="00A14FB6">
              <w:rPr>
                <w:b/>
                <w:bCs/>
              </w:rPr>
              <w:t>Source:</w:t>
            </w:r>
          </w:p>
        </w:tc>
        <w:tc>
          <w:tcPr>
            <w:tcW w:w="8306" w:type="dxa"/>
            <w:gridSpan w:val="4"/>
          </w:tcPr>
          <w:p w:rsidR="00EE5468" w:rsidRPr="00A14FB6" w:rsidRDefault="00EE5468" w:rsidP="001C530C">
            <w:r>
              <w:t>Polycom</w:t>
            </w:r>
          </w:p>
        </w:tc>
      </w:tr>
      <w:tr w:rsidR="00EE5468" w:rsidRPr="00A14FB6" w:rsidTr="00EE5468">
        <w:trPr>
          <w:cantSplit/>
          <w:trHeight w:val="357"/>
        </w:trPr>
        <w:tc>
          <w:tcPr>
            <w:tcW w:w="1617" w:type="dxa"/>
          </w:tcPr>
          <w:p w:rsidR="00EE5468" w:rsidRPr="00A14FB6" w:rsidRDefault="00EE5468" w:rsidP="001C530C">
            <w:pPr>
              <w:spacing w:after="120"/>
            </w:pPr>
            <w:bookmarkStart w:id="8" w:name="dtitle1" w:colFirst="1" w:colLast="1"/>
            <w:bookmarkEnd w:id="7"/>
            <w:r w:rsidRPr="00A14FB6">
              <w:rPr>
                <w:b/>
                <w:bCs/>
              </w:rPr>
              <w:t>Title:</w:t>
            </w:r>
          </w:p>
        </w:tc>
        <w:tc>
          <w:tcPr>
            <w:tcW w:w="8306" w:type="dxa"/>
            <w:gridSpan w:val="4"/>
          </w:tcPr>
          <w:p w:rsidR="00EE5468" w:rsidRPr="00A14FB6" w:rsidRDefault="00EE5468" w:rsidP="00EE5468">
            <w:pPr>
              <w:spacing w:after="120"/>
            </w:pPr>
            <w:r>
              <w:t>Integration of Web Services in H.32x series Terminals and MCUs</w:t>
            </w:r>
          </w:p>
        </w:tc>
      </w:tr>
      <w:tr w:rsidR="00EE5468" w:rsidRPr="00A14FB6" w:rsidTr="00EE5468">
        <w:trPr>
          <w:cantSplit/>
          <w:trHeight w:val="357"/>
        </w:trPr>
        <w:tc>
          <w:tcPr>
            <w:tcW w:w="1617" w:type="dxa"/>
            <w:tcBorders>
              <w:bottom w:val="single" w:sz="12" w:space="0" w:color="auto"/>
            </w:tcBorders>
          </w:tcPr>
          <w:p w:rsidR="00EE5468" w:rsidRPr="00A14FB6" w:rsidRDefault="00EE5468" w:rsidP="001C530C">
            <w:pPr>
              <w:spacing w:after="120"/>
            </w:pPr>
            <w:r w:rsidRPr="00A14FB6">
              <w:rPr>
                <w:b/>
                <w:bCs/>
              </w:rPr>
              <w:t>Purpose:</w:t>
            </w:r>
          </w:p>
        </w:tc>
        <w:tc>
          <w:tcPr>
            <w:tcW w:w="8306" w:type="dxa"/>
            <w:gridSpan w:val="4"/>
            <w:tcBorders>
              <w:bottom w:val="single" w:sz="12" w:space="0" w:color="auto"/>
            </w:tcBorders>
          </w:tcPr>
          <w:p w:rsidR="00EE5468" w:rsidRPr="00A14FB6" w:rsidRDefault="00EE5468" w:rsidP="001C530C">
            <w:pPr>
              <w:spacing w:after="120"/>
            </w:pPr>
            <w:r>
              <w:t>Discussion</w:t>
            </w:r>
          </w:p>
        </w:tc>
      </w:tr>
      <w:bookmarkEnd w:id="1"/>
      <w:bookmarkEnd w:id="8"/>
    </w:tbl>
    <w:p w:rsidR="00EE5468" w:rsidRPr="00A14FB6" w:rsidRDefault="00EE5468" w:rsidP="00EE5468"/>
    <w:p w:rsidR="00EE5468" w:rsidRPr="00A14FB6" w:rsidRDefault="00EE5468" w:rsidP="00EE5468">
      <w:pPr>
        <w:pStyle w:val="Headingb"/>
      </w:pPr>
      <w:r w:rsidRPr="00A14FB6">
        <w:t>Summary</w:t>
      </w:r>
    </w:p>
    <w:p w:rsidR="00EE5468" w:rsidRPr="00A14FB6" w:rsidRDefault="00427C1E" w:rsidP="00EE5468">
      <w:r>
        <w:t>The growing use of Web applications</w:t>
      </w:r>
      <w:r w:rsidR="004D1467">
        <w:t xml:space="preserve"> in conferencing is resulting in creating i</w:t>
      </w:r>
      <w:r>
        <w:t>nteroperability</w:t>
      </w:r>
      <w:r w:rsidR="004D1467">
        <w:t xml:space="preserve"> issues</w:t>
      </w:r>
      <w:r>
        <w:t xml:space="preserve"> with H.32x series equipment.  This contribution’s goal is to begin a discussion on this topic, in the hope that SG16 experts can begin development of protocol extensions that will solve this interoperability problem</w:t>
      </w:r>
      <w:r w:rsidR="004D1467">
        <w:t>, and also create a richer conferencing experience</w:t>
      </w:r>
      <w:r>
        <w:t xml:space="preserve">. </w:t>
      </w:r>
    </w:p>
    <w:p w:rsidR="00EE5468" w:rsidRPr="00A14FB6" w:rsidRDefault="00EE5468" w:rsidP="00EE5468">
      <w:pPr>
        <w:pStyle w:val="Heading1"/>
      </w:pPr>
      <w:r w:rsidRPr="00A14FB6">
        <w:t>Introduction</w:t>
      </w:r>
    </w:p>
    <w:p w:rsidR="00427C1E" w:rsidRDefault="00427C1E" w:rsidP="00427C1E">
      <w:r>
        <w:t xml:space="preserve">The increased use of Web applications in audio conferencing over the past several years has resulted in interoperability issues when H.32x series equipment is used in such </w:t>
      </w:r>
      <w:r>
        <w:t>a call.   These services typically include conference roster management, text chat, screen and application sharing, and audio bridging.  Increasingly these services also include participant video.</w:t>
      </w:r>
    </w:p>
    <w:p w:rsidR="00427C1E" w:rsidRDefault="00427C1E" w:rsidP="00427C1E">
      <w:r>
        <w:t xml:space="preserve">Audio endpoints are integrated fairly easily in these applications.  Often they provide a dial-in phone number, which functions in the same way as a typical audio bridge.  Sometimes they also include an audio dial-out facility, which allows participants to use a </w:t>
      </w:r>
      <w:r w:rsidR="00C86AD2">
        <w:t>telephone</w:t>
      </w:r>
      <w:bookmarkStart w:id="9" w:name="_GoBack"/>
      <w:bookmarkEnd w:id="9"/>
      <w:r>
        <w:t xml:space="preserve"> handset for audio, instead if using their PC or tablet.</w:t>
      </w:r>
    </w:p>
    <w:p w:rsidR="00EE5468" w:rsidRDefault="00427C1E" w:rsidP="00EE5468">
      <w:r>
        <w:t>However, H.32x video devices are not so easily accommodated.</w:t>
      </w:r>
      <w:r w:rsidR="005706E6">
        <w:t xml:space="preserve">  Such devices end up connected as audio-only – often providing a less useful experience for the local participant.</w:t>
      </w:r>
    </w:p>
    <w:p w:rsidR="005706E6" w:rsidRDefault="005706E6" w:rsidP="00EE5468">
      <w:r>
        <w:t>In addition, there are other interesting ways that web applications could be used in conjunction with an H.32x call.  For instance, this could be used for a variety of conference control features.  One simple example is conference recording.</w:t>
      </w:r>
    </w:p>
    <w:p w:rsidR="005706E6" w:rsidRDefault="005706E6" w:rsidP="00EE5468">
      <w:r>
        <w:t xml:space="preserve">Many H.32x video devices also support SIP.  The emergence of </w:t>
      </w:r>
      <w:proofErr w:type="spellStart"/>
      <w:r>
        <w:t>webRTC</w:t>
      </w:r>
      <w:proofErr w:type="spellEnd"/>
      <w:r>
        <w:t xml:space="preserve"> suggests that in the future, more and more H.32x terminal devices will likely be capable of supporting a web browser with GPU support.  Of course video devices built on PC and mobile platforms already do have this capability.  But there is no standards means even signalling the existence of that browser, and there are no means to integrate the browser in the conference application as a whole.</w:t>
      </w:r>
    </w:p>
    <w:p w:rsidR="005706E6" w:rsidRPr="004D1467" w:rsidRDefault="005706E6" w:rsidP="00EE5468">
      <w:pPr>
        <w:rPr>
          <w:rFonts w:eastAsia="Times New Roman"/>
          <w:szCs w:val="24"/>
          <w:lang w:val="en-US"/>
        </w:rPr>
      </w:pPr>
      <w:r>
        <w:t>Providi</w:t>
      </w:r>
      <w:r w:rsidR="004D1467">
        <w:t xml:space="preserve">ng such means would enable improved interoperability with popular Web applications, and would also </w:t>
      </w:r>
      <w:r w:rsidR="001C69B8">
        <w:t xml:space="preserve">provide a straightforward way </w:t>
      </w:r>
      <w:proofErr w:type="spellStart"/>
      <w:r w:rsidR="001C69B8">
        <w:t>yo</w:t>
      </w:r>
      <w:proofErr w:type="spellEnd"/>
      <w:r w:rsidR="001C69B8">
        <w:t xml:space="preserve"> </w:t>
      </w:r>
      <w:r w:rsidR="004D1467">
        <w:t>allow a variety of new services to be added to traditional video bridging</w:t>
      </w:r>
      <w:r w:rsidR="001C69B8">
        <w:t>.</w:t>
      </w:r>
      <w:r w:rsidR="004D1467">
        <w:t xml:space="preserve">  </w:t>
      </w:r>
    </w:p>
    <w:p w:rsidR="00EE5468" w:rsidRPr="00A14FB6" w:rsidRDefault="00EE5468" w:rsidP="00EE5468">
      <w:pPr>
        <w:pStyle w:val="Heading1"/>
        <w:rPr>
          <w:lang w:eastAsia="ja-JP"/>
        </w:rPr>
      </w:pPr>
      <w:r w:rsidRPr="00A14FB6">
        <w:rPr>
          <w:lang w:eastAsia="ja-JP"/>
        </w:rPr>
        <w:lastRenderedPageBreak/>
        <w:t>Discussion</w:t>
      </w:r>
    </w:p>
    <w:p w:rsidR="00EE5468" w:rsidRDefault="001C69B8" w:rsidP="00EE5468">
      <w:r>
        <w:t>There are at least</w:t>
      </w:r>
      <w:r w:rsidR="003C196B">
        <w:t xml:space="preserve"> four </w:t>
      </w:r>
      <w:r>
        <w:t>distinct use cases for the use of such web services – Content Sharing, Conferenc</w:t>
      </w:r>
      <w:r w:rsidR="003C196B">
        <w:t xml:space="preserve">e </w:t>
      </w:r>
      <w:r w:rsidR="00BF476D">
        <w:t xml:space="preserve">Services </w:t>
      </w:r>
      <w:r w:rsidR="003C196B">
        <w:t xml:space="preserve">Control, </w:t>
      </w:r>
      <w:r>
        <w:t>switching the entire H.32x call to a web</w:t>
      </w:r>
      <w:r w:rsidR="003C196B">
        <w:t xml:space="preserve"> application, and providing a web proxy within the H.32x system.</w:t>
      </w:r>
    </w:p>
    <w:p w:rsidR="001C69B8" w:rsidRDefault="001C69B8" w:rsidP="001C69B8">
      <w:pPr>
        <w:pStyle w:val="Heading2"/>
        <w:rPr>
          <w:lang w:eastAsia="ja-JP"/>
        </w:rPr>
      </w:pPr>
      <w:r>
        <w:rPr>
          <w:lang w:eastAsia="ja-JP"/>
        </w:rPr>
        <w:t>Content Sharing</w:t>
      </w:r>
    </w:p>
    <w:p w:rsidR="003C196B" w:rsidRDefault="003C196B" w:rsidP="003C196B">
      <w:pPr>
        <w:rPr>
          <w:lang w:eastAsia="ja-JP"/>
        </w:rPr>
      </w:pPr>
      <w:r>
        <w:rPr>
          <w:lang w:eastAsia="ja-JP"/>
        </w:rPr>
        <w:t xml:space="preserve">In many H.32x conferences, some participants (or even most) participants are limited to audio-only.  Since there still is a need to share presentations, a web application similar to </w:t>
      </w:r>
      <w:proofErr w:type="spellStart"/>
      <w:r>
        <w:rPr>
          <w:lang w:eastAsia="ja-JP"/>
        </w:rPr>
        <w:t>Webex</w:t>
      </w:r>
      <w:proofErr w:type="spellEnd"/>
      <w:r>
        <w:rPr>
          <w:lang w:eastAsia="ja-JP"/>
        </w:rPr>
        <w:t xml:space="preserve"> or </w:t>
      </w:r>
      <w:proofErr w:type="spellStart"/>
      <w:r>
        <w:rPr>
          <w:lang w:eastAsia="ja-JP"/>
        </w:rPr>
        <w:t>GoToMeeting</w:t>
      </w:r>
      <w:proofErr w:type="spellEnd"/>
      <w:r>
        <w:rPr>
          <w:lang w:eastAsia="ja-JP"/>
        </w:rPr>
        <w:t xml:space="preserve"> is used.</w:t>
      </w:r>
    </w:p>
    <w:p w:rsidR="003C196B" w:rsidRDefault="003C196B" w:rsidP="003C196B">
      <w:pPr>
        <w:rPr>
          <w:lang w:eastAsia="ja-JP"/>
        </w:rPr>
      </w:pPr>
      <w:r>
        <w:rPr>
          <w:lang w:eastAsia="ja-JP"/>
        </w:rPr>
        <w:t>Sometimes this service is simply used instead of H.329. In such cases, all participants view the presentation on their local display – which is often much smaller than the display resources available on the video conferencing system.  In other cases, the web application is used in conjunction with H.329.  For instance, the presenter might connect their laptop or tablet to the H.32x system via an HDMI cable, and also connect their presentation device to the web application over the internet.  They then become the H.329 presenter, as well as the presentation source for the web application.</w:t>
      </w:r>
    </w:p>
    <w:p w:rsidR="00015309" w:rsidRDefault="003C196B" w:rsidP="003C196B">
      <w:pPr>
        <w:rPr>
          <w:lang w:eastAsia="ja-JP"/>
        </w:rPr>
      </w:pPr>
      <w:r>
        <w:rPr>
          <w:lang w:eastAsia="ja-JP"/>
        </w:rPr>
        <w:t xml:space="preserve">Although these techniques work, neither is ideal. </w:t>
      </w:r>
      <w:r w:rsidR="00015309">
        <w:rPr>
          <w:lang w:eastAsia="ja-JP"/>
        </w:rPr>
        <w:t xml:space="preserve">A modern H.32x conference room often has extremely good support for presentations, and of course a </w:t>
      </w:r>
      <w:proofErr w:type="spellStart"/>
      <w:r w:rsidR="00015309">
        <w:rPr>
          <w:lang w:eastAsia="ja-JP"/>
        </w:rPr>
        <w:t>telepresence</w:t>
      </w:r>
      <w:proofErr w:type="spellEnd"/>
      <w:r w:rsidR="00015309">
        <w:rPr>
          <w:lang w:eastAsia="ja-JP"/>
        </w:rPr>
        <w:t xml:space="preserve"> room is even better.  When these resources cannot be used in the meeting, the user experience suffers.  Using the web application in conjunction with H.329 allows these resources to be used.  However, the interactive aspects of the web application are lost.</w:t>
      </w:r>
    </w:p>
    <w:p w:rsidR="00015309" w:rsidRDefault="00015309" w:rsidP="003C196B">
      <w:pPr>
        <w:rPr>
          <w:lang w:eastAsia="ja-JP"/>
        </w:rPr>
      </w:pPr>
      <w:r>
        <w:rPr>
          <w:lang w:eastAsia="ja-JP"/>
        </w:rPr>
        <w:t xml:space="preserve">One potential solution is to provide means to signal that a web browser is available in the endpoint, and then extend H.329 to allow the content role to be associated with a URI instead of a logical channel. </w:t>
      </w:r>
    </w:p>
    <w:p w:rsidR="003C196B" w:rsidRPr="003C196B" w:rsidRDefault="00015309" w:rsidP="003C196B">
      <w:pPr>
        <w:rPr>
          <w:lang w:eastAsia="ja-JP"/>
        </w:rPr>
      </w:pPr>
      <w:r>
        <w:rPr>
          <w:lang w:eastAsia="ja-JP"/>
        </w:rPr>
        <w:t xml:space="preserve">In cases where the </w:t>
      </w:r>
      <w:proofErr w:type="gramStart"/>
      <w:r>
        <w:rPr>
          <w:lang w:eastAsia="ja-JP"/>
        </w:rPr>
        <w:t>conferencing bridge</w:t>
      </w:r>
      <w:proofErr w:type="gramEnd"/>
      <w:r>
        <w:rPr>
          <w:lang w:eastAsia="ja-JP"/>
        </w:rPr>
        <w:t xml:space="preserve"> is integrated with the application’s web server, then the MCU would offer the web connection for H.32x clients that can support it, but also offer a traditional H.329 video channel for endpoints that cannot.  This would allow the larger screen in the conferencing room to be used to full advantage, and minimize the loss of interactivity.  Note that users could still connect their PCs or tablets to the web server, so no functionality is lost.  </w:t>
      </w:r>
    </w:p>
    <w:p w:rsidR="001C69B8" w:rsidRDefault="001C69B8" w:rsidP="001C69B8">
      <w:pPr>
        <w:pStyle w:val="Heading2"/>
        <w:rPr>
          <w:lang w:eastAsia="ja-JP"/>
        </w:rPr>
      </w:pPr>
      <w:r>
        <w:rPr>
          <w:lang w:eastAsia="ja-JP"/>
        </w:rPr>
        <w:t xml:space="preserve">Conference </w:t>
      </w:r>
      <w:r w:rsidR="00BF476D">
        <w:rPr>
          <w:lang w:eastAsia="ja-JP"/>
        </w:rPr>
        <w:t xml:space="preserve">Services </w:t>
      </w:r>
      <w:r>
        <w:rPr>
          <w:lang w:eastAsia="ja-JP"/>
        </w:rPr>
        <w:t>Control</w:t>
      </w:r>
    </w:p>
    <w:p w:rsidR="00280793" w:rsidRDefault="00280793" w:rsidP="00280793">
      <w:pPr>
        <w:rPr>
          <w:lang w:eastAsia="ja-JP"/>
        </w:rPr>
      </w:pPr>
      <w:r>
        <w:rPr>
          <w:lang w:eastAsia="ja-JP"/>
        </w:rPr>
        <w:t xml:space="preserve">Our industry’s typical approach to adding new standard services to an H.32x system is to define a protocol that is specific for that service. For instance, in the case of conference recording, one might define messages to start/stop/pause recording.  In the case of video, one might provide additional messages to allow specification of which media streams are to be recorded, and what form of video layout should be used if the video streams are </w:t>
      </w:r>
      <w:proofErr w:type="spellStart"/>
      <w:r>
        <w:rPr>
          <w:lang w:eastAsia="ja-JP"/>
        </w:rPr>
        <w:t>downmixed</w:t>
      </w:r>
      <w:proofErr w:type="spellEnd"/>
      <w:r>
        <w:rPr>
          <w:lang w:eastAsia="ja-JP"/>
        </w:rPr>
        <w:t>.</w:t>
      </w:r>
      <w:r w:rsidR="00BF476D">
        <w:rPr>
          <w:lang w:eastAsia="ja-JP"/>
        </w:rPr>
        <w:t xml:space="preserve">  </w:t>
      </w:r>
    </w:p>
    <w:p w:rsidR="00BF476D" w:rsidRDefault="00280793" w:rsidP="00280793">
      <w:pPr>
        <w:rPr>
          <w:lang w:eastAsia="ja-JP"/>
        </w:rPr>
      </w:pPr>
      <w:r>
        <w:rPr>
          <w:lang w:eastAsia="ja-JP"/>
        </w:rPr>
        <w:t xml:space="preserve">This approach </w:t>
      </w:r>
      <w:r w:rsidR="00BF476D">
        <w:rPr>
          <w:lang w:eastAsia="ja-JP"/>
        </w:rPr>
        <w:t>is often effective, but in many cases it is slow to standardize.  Also, the user interfaces of the H.32x clients vary.  This often creates significant barriers for users when they try to access the feature.</w:t>
      </w:r>
    </w:p>
    <w:p w:rsidR="00BF476D" w:rsidRDefault="00BF476D" w:rsidP="00280793">
      <w:pPr>
        <w:rPr>
          <w:lang w:eastAsia="ja-JP"/>
        </w:rPr>
      </w:pPr>
      <w:r>
        <w:rPr>
          <w:lang w:eastAsia="ja-JP"/>
        </w:rPr>
        <w:t xml:space="preserve">More importantly, this approach requires that manufacturers invest effort in implementing the protocol and establishing interoperability.  For a </w:t>
      </w:r>
      <w:r w:rsidR="0024644B">
        <w:rPr>
          <w:lang w:eastAsia="ja-JP"/>
        </w:rPr>
        <w:t>“mainstream” service, that investment is likely.  However, there are many extremely useful services where the investment is less likely.  Accessibility services are perhaps one example.</w:t>
      </w:r>
    </w:p>
    <w:p w:rsidR="00280793" w:rsidRPr="00280793" w:rsidRDefault="0024644B" w:rsidP="00280793">
      <w:pPr>
        <w:rPr>
          <w:lang w:eastAsia="ja-JP"/>
        </w:rPr>
      </w:pPr>
      <w:r>
        <w:rPr>
          <w:lang w:eastAsia="ja-JP"/>
        </w:rPr>
        <w:t xml:space="preserve">If a web browser were available in the H.32x client device, and could be easily connected to the service, then rapid deployment of such services would be enabled. </w:t>
      </w:r>
    </w:p>
    <w:p w:rsidR="001C69B8" w:rsidRDefault="0024644B" w:rsidP="001C69B8">
      <w:pPr>
        <w:pStyle w:val="Heading2"/>
        <w:rPr>
          <w:lang w:eastAsia="ja-JP"/>
        </w:rPr>
      </w:pPr>
      <w:r>
        <w:rPr>
          <w:lang w:eastAsia="ja-JP"/>
        </w:rPr>
        <w:lastRenderedPageBreak/>
        <w:t>H.32x to Web S</w:t>
      </w:r>
      <w:r w:rsidR="003C196B">
        <w:rPr>
          <w:lang w:eastAsia="ja-JP"/>
        </w:rPr>
        <w:t>ervices Transfer</w:t>
      </w:r>
    </w:p>
    <w:p w:rsidR="008604E7" w:rsidRDefault="0024644B" w:rsidP="001C69B8">
      <w:pPr>
        <w:rPr>
          <w:lang w:eastAsia="ja-JP"/>
        </w:rPr>
      </w:pPr>
      <w:r>
        <w:rPr>
          <w:lang w:eastAsia="ja-JP"/>
        </w:rPr>
        <w:t xml:space="preserve">Although H.32x and SIP offer very good conferencing experiences, there are cases where it is advantageous to use the full web application directly.  One example where this might be the case is </w:t>
      </w:r>
      <w:proofErr w:type="spellStart"/>
      <w:r>
        <w:rPr>
          <w:lang w:eastAsia="ja-JP"/>
        </w:rPr>
        <w:t>webRTC</w:t>
      </w:r>
      <w:proofErr w:type="spellEnd"/>
      <w:r>
        <w:rPr>
          <w:lang w:eastAsia="ja-JP"/>
        </w:rPr>
        <w:t xml:space="preserve">.  </w:t>
      </w:r>
      <w:proofErr w:type="spellStart"/>
      <w:r>
        <w:rPr>
          <w:lang w:eastAsia="ja-JP"/>
        </w:rPr>
        <w:t>WebRTC</w:t>
      </w:r>
      <w:proofErr w:type="spellEnd"/>
      <w:r>
        <w:rPr>
          <w:lang w:eastAsia="ja-JP"/>
        </w:rPr>
        <w:t xml:space="preserve"> is not simply videoconferencing over the web.  Rather it </w:t>
      </w:r>
      <w:r w:rsidR="008604E7">
        <w:rPr>
          <w:lang w:eastAsia="ja-JP"/>
        </w:rPr>
        <w:t xml:space="preserve">is an integration of web and audio/video interactive communication.  </w:t>
      </w:r>
      <w:proofErr w:type="spellStart"/>
      <w:r w:rsidR="008604E7">
        <w:rPr>
          <w:lang w:eastAsia="ja-JP"/>
        </w:rPr>
        <w:t>WebRTC</w:t>
      </w:r>
      <w:proofErr w:type="spellEnd"/>
      <w:r w:rsidR="008604E7">
        <w:rPr>
          <w:lang w:eastAsia="ja-JP"/>
        </w:rPr>
        <w:t xml:space="preserve"> is designed for browsers, and if one is available in the H.32x client, the user is likely best served by dropping the H.32x conn</w:t>
      </w:r>
      <w:r w:rsidR="008604E7">
        <w:rPr>
          <w:lang w:eastAsia="ja-JP"/>
        </w:rPr>
        <w:t xml:space="preserve">ection and switching to </w:t>
      </w:r>
      <w:proofErr w:type="spellStart"/>
      <w:r w:rsidR="008604E7">
        <w:rPr>
          <w:lang w:eastAsia="ja-JP"/>
        </w:rPr>
        <w:t>webRTC</w:t>
      </w:r>
      <w:proofErr w:type="spellEnd"/>
      <w:r w:rsidR="008604E7">
        <w:rPr>
          <w:lang w:eastAsia="ja-JP"/>
        </w:rPr>
        <w:t>.</w:t>
      </w:r>
    </w:p>
    <w:p w:rsidR="001C69B8" w:rsidRDefault="008604E7" w:rsidP="00EE5468">
      <w:pPr>
        <w:rPr>
          <w:lang w:eastAsia="ja-JP"/>
        </w:rPr>
      </w:pPr>
      <w:r>
        <w:rPr>
          <w:lang w:eastAsia="ja-JP"/>
        </w:rPr>
        <w:t>If a conferencing server cannot provide any H.32x/</w:t>
      </w:r>
      <w:proofErr w:type="spellStart"/>
      <w:r>
        <w:rPr>
          <w:lang w:eastAsia="ja-JP"/>
        </w:rPr>
        <w:t>webRTC</w:t>
      </w:r>
      <w:proofErr w:type="spellEnd"/>
      <w:r>
        <w:rPr>
          <w:lang w:eastAsia="ja-JP"/>
        </w:rPr>
        <w:t xml:space="preserve"> bridging, then of course the user can simply be instructed to go to the appropriate URI.  However, if the conferencing server can provide H.32x/</w:t>
      </w:r>
      <w:proofErr w:type="spellStart"/>
      <w:r>
        <w:rPr>
          <w:lang w:eastAsia="ja-JP"/>
        </w:rPr>
        <w:t>webRTC</w:t>
      </w:r>
      <w:proofErr w:type="spellEnd"/>
      <w:r>
        <w:rPr>
          <w:lang w:eastAsia="ja-JP"/>
        </w:rPr>
        <w:t xml:space="preserve"> bridging</w:t>
      </w:r>
      <w:r>
        <w:rPr>
          <w:lang w:eastAsia="ja-JP"/>
        </w:rPr>
        <w:t xml:space="preserve">, then it would be useful if the server could make an H.32x connection, and transfer it to </w:t>
      </w:r>
      <w:proofErr w:type="spellStart"/>
      <w:r>
        <w:rPr>
          <w:lang w:eastAsia="ja-JP"/>
        </w:rPr>
        <w:t>webRTC</w:t>
      </w:r>
      <w:proofErr w:type="spellEnd"/>
      <w:r>
        <w:rPr>
          <w:lang w:eastAsia="ja-JP"/>
        </w:rPr>
        <w:t xml:space="preserve"> (or some other web conferencing means) if a suitable browser is available.</w:t>
      </w:r>
    </w:p>
    <w:p w:rsidR="008604E7" w:rsidRDefault="008604E7" w:rsidP="008604E7">
      <w:pPr>
        <w:pStyle w:val="Heading2"/>
        <w:rPr>
          <w:lang w:eastAsia="ja-JP"/>
        </w:rPr>
      </w:pPr>
      <w:r>
        <w:rPr>
          <w:lang w:eastAsia="ja-JP"/>
        </w:rPr>
        <w:t>Web Proxies/Connectivity</w:t>
      </w:r>
    </w:p>
    <w:p w:rsidR="008604E7" w:rsidRDefault="00D4309A" w:rsidP="00EE5468">
      <w:pPr>
        <w:rPr>
          <w:lang w:eastAsia="ja-JP"/>
        </w:rPr>
      </w:pPr>
      <w:r>
        <w:rPr>
          <w:lang w:eastAsia="ja-JP"/>
        </w:rPr>
        <w:t>In many deployments, it is desirable to separate the videoconferencing system from the corporate network.  One reason is security.  Increasingly videoconferencing is used between companies, and keeping the H.32x devices on their own network is an easy way to ensure that the H.32x systems cannot be used to compromise the corporate network.  Also, if a conferencing service provider is used, often the H.32x equipment needs to be placed on the service provider’s network.  This suggests that being able to route web application traffic over the H.32x infrastructure might be useful feature, especially if this traffic can be secured so it is not accessible beyond the span of the conference.</w:t>
      </w:r>
    </w:p>
    <w:p w:rsidR="00D4309A" w:rsidRPr="00A14FB6" w:rsidRDefault="00D4309A" w:rsidP="00EE5468">
      <w:pPr>
        <w:rPr>
          <w:lang w:eastAsia="ja-JP"/>
        </w:rPr>
      </w:pPr>
      <w:r>
        <w:rPr>
          <w:lang w:eastAsia="ja-JP"/>
        </w:rPr>
        <w:t>Also, since many H.32x devices today don’t have suitable web browsers, it would be desirable to enable aggregation of an H.32x device and a PC or tablet that does have such a browser.</w:t>
      </w:r>
      <w:r w:rsidR="00C86AD2">
        <w:rPr>
          <w:lang w:eastAsia="ja-JP"/>
        </w:rPr>
        <w:t xml:space="preserve">  This also suggests that any signalling should support disaggregation, </w:t>
      </w:r>
    </w:p>
    <w:p w:rsidR="00EE5468" w:rsidRPr="00A14FB6" w:rsidRDefault="00EE5468" w:rsidP="00EE5468">
      <w:pPr>
        <w:pStyle w:val="Heading1"/>
        <w:rPr>
          <w:lang w:eastAsia="ja-JP"/>
        </w:rPr>
      </w:pPr>
      <w:r w:rsidRPr="00A14FB6">
        <w:rPr>
          <w:lang w:eastAsia="ja-JP"/>
        </w:rPr>
        <w:t>Conclusion</w:t>
      </w:r>
    </w:p>
    <w:p w:rsidR="00EE5468" w:rsidRPr="00A14FB6" w:rsidRDefault="00C86AD2" w:rsidP="00EE5468">
      <w:r>
        <w:t>Polycom believes that extending H.23x systems along the lines described above could be a useful work item for WP1/16 in this study period. We are interested in getting feedback on this concept, and determining how much interest WP1/16 experts have in such a project.</w:t>
      </w:r>
    </w:p>
    <w:p w:rsidR="00EE5468" w:rsidRPr="00A14FB6" w:rsidRDefault="00EE5468" w:rsidP="00EE5468">
      <w:pPr>
        <w:jc w:val="center"/>
      </w:pPr>
      <w:r w:rsidRPr="00A14FB6">
        <w:t>__________________</w:t>
      </w:r>
    </w:p>
    <w:p w:rsidR="00CC7ED7" w:rsidRDefault="00CC7ED7"/>
    <w:sectPr w:rsidR="00CC7ED7"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227" w:rsidRDefault="00960227" w:rsidP="00EE5468">
      <w:pPr>
        <w:spacing w:before="0"/>
      </w:pPr>
      <w:r>
        <w:separator/>
      </w:r>
    </w:p>
  </w:endnote>
  <w:endnote w:type="continuationSeparator" w:id="0">
    <w:p w:rsidR="00960227" w:rsidRDefault="00960227" w:rsidP="00EE546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960227" w:rsidP="006C499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6C499C" w:rsidRPr="00EE5468" w:rsidRDefault="00EE5468" w:rsidP="006C499C">
          <w:pPr>
            <w:rPr>
              <w:sz w:val="20"/>
            </w:rPr>
          </w:pPr>
          <w:r w:rsidRPr="00EE5468">
            <w:rPr>
              <w:sz w:val="20"/>
            </w:rPr>
            <w:t>Stephen Botzko</w:t>
          </w:r>
        </w:p>
        <w:p w:rsidR="006C499C" w:rsidRPr="00EE5468" w:rsidRDefault="00EE5468" w:rsidP="006C499C">
          <w:pPr>
            <w:spacing w:before="0"/>
            <w:rPr>
              <w:sz w:val="20"/>
            </w:rPr>
          </w:pPr>
          <w:r w:rsidRPr="00EE5468">
            <w:rPr>
              <w:sz w:val="20"/>
            </w:rPr>
            <w:t>Polycom</w:t>
          </w:r>
        </w:p>
        <w:p w:rsidR="006C499C" w:rsidRPr="00F331C5" w:rsidRDefault="00EE5468" w:rsidP="006C499C">
          <w:pPr>
            <w:spacing w:before="0"/>
            <w:rPr>
              <w:sz w:val="20"/>
            </w:rPr>
          </w:pPr>
          <w:r>
            <w:rPr>
              <w:sz w:val="20"/>
            </w:rPr>
            <w:t>US</w:t>
          </w:r>
        </w:p>
      </w:tc>
      <w:tc>
        <w:tcPr>
          <w:tcW w:w="3912" w:type="dxa"/>
          <w:tcBorders>
            <w:top w:val="single" w:sz="12" w:space="0" w:color="auto"/>
            <w:bottom w:val="single" w:sz="12" w:space="0" w:color="auto"/>
          </w:tcBorders>
        </w:tcPr>
        <w:p w:rsidR="006C499C" w:rsidRPr="00F331C5" w:rsidRDefault="00960227" w:rsidP="006C499C">
          <w:pPr>
            <w:rPr>
              <w:sz w:val="20"/>
            </w:rPr>
          </w:pPr>
          <w:r w:rsidRPr="00F331C5">
            <w:rPr>
              <w:sz w:val="20"/>
            </w:rPr>
            <w:t>Tel: +</w:t>
          </w:r>
          <w:r w:rsidR="00EE5468">
            <w:rPr>
              <w:sz w:val="20"/>
            </w:rPr>
            <w:t>1 (978) 292-5395</w:t>
          </w:r>
        </w:p>
        <w:p w:rsidR="006C499C" w:rsidRPr="00F331C5" w:rsidRDefault="00EE5468" w:rsidP="006C499C">
          <w:pPr>
            <w:spacing w:before="0"/>
            <w:rPr>
              <w:sz w:val="20"/>
            </w:rPr>
          </w:pPr>
          <w:r>
            <w:rPr>
              <w:sz w:val="20"/>
            </w:rPr>
            <w:t xml:space="preserve">Fax: </w:t>
          </w:r>
        </w:p>
        <w:p w:rsidR="006C499C" w:rsidRPr="00F331C5" w:rsidRDefault="00960227" w:rsidP="006C499C">
          <w:pPr>
            <w:spacing w:before="0"/>
            <w:rPr>
              <w:sz w:val="20"/>
            </w:rPr>
          </w:pPr>
          <w:r w:rsidRPr="00F331C5">
            <w:rPr>
              <w:sz w:val="20"/>
            </w:rPr>
            <w:t xml:space="preserve">Email: </w:t>
          </w:r>
          <w:r w:rsidR="00EE5468">
            <w:rPr>
              <w:sz w:val="20"/>
            </w:rPr>
            <w:t>Stephen.Botzko@polycom.com</w:t>
          </w:r>
        </w:p>
      </w:tc>
    </w:tr>
    <w:bookmarkEnd w:id="10"/>
  </w:tbl>
  <w:p w:rsidR="006C499C" w:rsidRPr="00981DCE" w:rsidRDefault="00960227"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227" w:rsidRDefault="00960227" w:rsidP="00EE5468">
      <w:pPr>
        <w:spacing w:before="0"/>
      </w:pPr>
      <w:r>
        <w:separator/>
      </w:r>
    </w:p>
  </w:footnote>
  <w:footnote w:type="continuationSeparator" w:id="0">
    <w:p w:rsidR="00960227" w:rsidRDefault="00960227" w:rsidP="00EE5468">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960227"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C86AD2">
      <w:rPr>
        <w:noProof/>
      </w:rPr>
      <w:t>3</w:t>
    </w:r>
    <w:r w:rsidRPr="00981DCE">
      <w:fldChar w:fldCharType="end"/>
    </w:r>
    <w:r w:rsidRPr="00981DCE">
      <w:t xml:space="preserve"> -</w:t>
    </w:r>
  </w:p>
  <w:p w:rsidR="006C499C" w:rsidRPr="00711FE1" w:rsidRDefault="00C86AD2" w:rsidP="006C499C">
    <w:pPr>
      <w:pStyle w:val="Header"/>
    </w:pPr>
    <w:r>
      <w:t>AVD-4444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468"/>
    <w:rsid w:val="00015309"/>
    <w:rsid w:val="001C69B8"/>
    <w:rsid w:val="0024644B"/>
    <w:rsid w:val="00280793"/>
    <w:rsid w:val="003C196B"/>
    <w:rsid w:val="00427C1E"/>
    <w:rsid w:val="004D1467"/>
    <w:rsid w:val="005706E6"/>
    <w:rsid w:val="008604E7"/>
    <w:rsid w:val="00960227"/>
    <w:rsid w:val="00BF476D"/>
    <w:rsid w:val="00C86AD2"/>
    <w:rsid w:val="00CC7ED7"/>
    <w:rsid w:val="00D4309A"/>
    <w:rsid w:val="00EE5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468"/>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sz w:val="24"/>
      <w:szCs w:val="20"/>
      <w:lang w:val="en-GB"/>
    </w:rPr>
  </w:style>
  <w:style w:type="paragraph" w:styleId="Heading1">
    <w:name w:val="heading 1"/>
    <w:basedOn w:val="Normal"/>
    <w:next w:val="Normal"/>
    <w:link w:val="Heading1Char"/>
    <w:qFormat/>
    <w:rsid w:val="00EE5468"/>
    <w:pPr>
      <w:keepNext/>
      <w:keepLines/>
      <w:numPr>
        <w:numId w:val="1"/>
      </w:numPr>
      <w:spacing w:before="360"/>
      <w:outlineLvl w:val="0"/>
    </w:pPr>
    <w:rPr>
      <w:b/>
    </w:rPr>
  </w:style>
  <w:style w:type="paragraph" w:styleId="Heading2">
    <w:name w:val="heading 2"/>
    <w:basedOn w:val="Heading1"/>
    <w:next w:val="Normal"/>
    <w:link w:val="Heading2Char"/>
    <w:qFormat/>
    <w:rsid w:val="00EE5468"/>
    <w:pPr>
      <w:numPr>
        <w:ilvl w:val="1"/>
      </w:numPr>
      <w:spacing w:before="240"/>
      <w:outlineLvl w:val="1"/>
    </w:pPr>
  </w:style>
  <w:style w:type="paragraph" w:styleId="Heading3">
    <w:name w:val="heading 3"/>
    <w:basedOn w:val="Heading1"/>
    <w:next w:val="Normal"/>
    <w:link w:val="Heading3Char"/>
    <w:qFormat/>
    <w:rsid w:val="00EE5468"/>
    <w:pPr>
      <w:numPr>
        <w:ilvl w:val="2"/>
      </w:numPr>
      <w:spacing w:before="160"/>
      <w:outlineLvl w:val="2"/>
    </w:pPr>
  </w:style>
  <w:style w:type="paragraph" w:styleId="Heading4">
    <w:name w:val="heading 4"/>
    <w:basedOn w:val="Heading3"/>
    <w:next w:val="Normal"/>
    <w:link w:val="Heading4Char"/>
    <w:qFormat/>
    <w:rsid w:val="00EE5468"/>
    <w:pPr>
      <w:numPr>
        <w:ilvl w:val="3"/>
      </w:numPr>
      <w:tabs>
        <w:tab w:val="clear" w:pos="794"/>
        <w:tab w:val="left" w:pos="1021"/>
      </w:tabs>
      <w:outlineLvl w:val="3"/>
    </w:pPr>
  </w:style>
  <w:style w:type="paragraph" w:styleId="Heading5">
    <w:name w:val="heading 5"/>
    <w:basedOn w:val="Heading4"/>
    <w:next w:val="Normal"/>
    <w:link w:val="Heading5Char"/>
    <w:qFormat/>
    <w:rsid w:val="00EE5468"/>
    <w:pPr>
      <w:numPr>
        <w:ilvl w:val="4"/>
      </w:numPr>
      <w:outlineLvl w:val="4"/>
    </w:pPr>
  </w:style>
  <w:style w:type="paragraph" w:styleId="Heading6">
    <w:name w:val="heading 6"/>
    <w:basedOn w:val="Heading4"/>
    <w:next w:val="Normal"/>
    <w:link w:val="Heading6Char"/>
    <w:qFormat/>
    <w:rsid w:val="00EE5468"/>
    <w:pPr>
      <w:numPr>
        <w:ilvl w:val="5"/>
      </w:numPr>
      <w:tabs>
        <w:tab w:val="clear" w:pos="1021"/>
        <w:tab w:val="clear" w:pos="1191"/>
      </w:tabs>
      <w:outlineLvl w:val="5"/>
    </w:pPr>
  </w:style>
  <w:style w:type="paragraph" w:styleId="Heading7">
    <w:name w:val="heading 7"/>
    <w:basedOn w:val="Heading6"/>
    <w:next w:val="Normal"/>
    <w:link w:val="Heading7Char"/>
    <w:qFormat/>
    <w:rsid w:val="00EE5468"/>
    <w:pPr>
      <w:numPr>
        <w:ilvl w:val="6"/>
      </w:numPr>
      <w:outlineLvl w:val="6"/>
    </w:pPr>
  </w:style>
  <w:style w:type="paragraph" w:styleId="Heading8">
    <w:name w:val="heading 8"/>
    <w:basedOn w:val="Heading6"/>
    <w:next w:val="Normal"/>
    <w:link w:val="Heading8Char"/>
    <w:qFormat/>
    <w:rsid w:val="00EE5468"/>
    <w:pPr>
      <w:numPr>
        <w:ilvl w:val="7"/>
      </w:numPr>
      <w:outlineLvl w:val="7"/>
    </w:pPr>
  </w:style>
  <w:style w:type="paragraph" w:styleId="Heading9">
    <w:name w:val="heading 9"/>
    <w:basedOn w:val="Heading6"/>
    <w:next w:val="Normal"/>
    <w:link w:val="Heading9Char"/>
    <w:qFormat/>
    <w:rsid w:val="00EE546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5468"/>
    <w:rPr>
      <w:rFonts w:ascii="Times New Roman" w:eastAsia="MS Mincho" w:hAnsi="Times New Roman" w:cs="Times New Roman"/>
      <w:b/>
      <w:sz w:val="24"/>
      <w:szCs w:val="20"/>
      <w:lang w:val="en-GB"/>
    </w:rPr>
  </w:style>
  <w:style w:type="character" w:customStyle="1" w:styleId="Heading2Char">
    <w:name w:val="Heading 2 Char"/>
    <w:basedOn w:val="DefaultParagraphFont"/>
    <w:link w:val="Heading2"/>
    <w:rsid w:val="00EE5468"/>
    <w:rPr>
      <w:rFonts w:ascii="Times New Roman" w:eastAsia="MS Mincho" w:hAnsi="Times New Roman" w:cs="Times New Roman"/>
      <w:b/>
      <w:sz w:val="24"/>
      <w:szCs w:val="20"/>
      <w:lang w:val="en-GB"/>
    </w:rPr>
  </w:style>
  <w:style w:type="character" w:customStyle="1" w:styleId="Heading3Char">
    <w:name w:val="Heading 3 Char"/>
    <w:basedOn w:val="DefaultParagraphFont"/>
    <w:link w:val="Heading3"/>
    <w:rsid w:val="00EE5468"/>
    <w:rPr>
      <w:rFonts w:ascii="Times New Roman" w:eastAsia="MS Mincho" w:hAnsi="Times New Roman" w:cs="Times New Roman"/>
      <w:b/>
      <w:sz w:val="24"/>
      <w:szCs w:val="20"/>
      <w:lang w:val="en-GB"/>
    </w:rPr>
  </w:style>
  <w:style w:type="character" w:customStyle="1" w:styleId="Heading4Char">
    <w:name w:val="Heading 4 Char"/>
    <w:basedOn w:val="DefaultParagraphFont"/>
    <w:link w:val="Heading4"/>
    <w:rsid w:val="00EE5468"/>
    <w:rPr>
      <w:rFonts w:ascii="Times New Roman" w:eastAsia="MS Mincho" w:hAnsi="Times New Roman" w:cs="Times New Roman"/>
      <w:b/>
      <w:sz w:val="24"/>
      <w:szCs w:val="20"/>
      <w:lang w:val="en-GB"/>
    </w:rPr>
  </w:style>
  <w:style w:type="character" w:customStyle="1" w:styleId="Heading5Char">
    <w:name w:val="Heading 5 Char"/>
    <w:basedOn w:val="DefaultParagraphFont"/>
    <w:link w:val="Heading5"/>
    <w:rsid w:val="00EE5468"/>
    <w:rPr>
      <w:rFonts w:ascii="Times New Roman" w:eastAsia="MS Mincho" w:hAnsi="Times New Roman" w:cs="Times New Roman"/>
      <w:b/>
      <w:sz w:val="24"/>
      <w:szCs w:val="20"/>
      <w:lang w:val="en-GB"/>
    </w:rPr>
  </w:style>
  <w:style w:type="character" w:customStyle="1" w:styleId="Heading6Char">
    <w:name w:val="Heading 6 Char"/>
    <w:basedOn w:val="DefaultParagraphFont"/>
    <w:link w:val="Heading6"/>
    <w:rsid w:val="00EE5468"/>
    <w:rPr>
      <w:rFonts w:ascii="Times New Roman" w:eastAsia="MS Mincho" w:hAnsi="Times New Roman" w:cs="Times New Roman"/>
      <w:b/>
      <w:sz w:val="24"/>
      <w:szCs w:val="20"/>
      <w:lang w:val="en-GB"/>
    </w:rPr>
  </w:style>
  <w:style w:type="character" w:customStyle="1" w:styleId="Heading7Char">
    <w:name w:val="Heading 7 Char"/>
    <w:basedOn w:val="DefaultParagraphFont"/>
    <w:link w:val="Heading7"/>
    <w:rsid w:val="00EE5468"/>
    <w:rPr>
      <w:rFonts w:ascii="Times New Roman" w:eastAsia="MS Mincho" w:hAnsi="Times New Roman" w:cs="Times New Roman"/>
      <w:b/>
      <w:sz w:val="24"/>
      <w:szCs w:val="20"/>
      <w:lang w:val="en-GB"/>
    </w:rPr>
  </w:style>
  <w:style w:type="character" w:customStyle="1" w:styleId="Heading8Char">
    <w:name w:val="Heading 8 Char"/>
    <w:basedOn w:val="DefaultParagraphFont"/>
    <w:link w:val="Heading8"/>
    <w:rsid w:val="00EE5468"/>
    <w:rPr>
      <w:rFonts w:ascii="Times New Roman" w:eastAsia="MS Mincho" w:hAnsi="Times New Roman" w:cs="Times New Roman"/>
      <w:b/>
      <w:sz w:val="24"/>
      <w:szCs w:val="20"/>
      <w:lang w:val="en-GB"/>
    </w:rPr>
  </w:style>
  <w:style w:type="character" w:customStyle="1" w:styleId="Heading9Char">
    <w:name w:val="Heading 9 Char"/>
    <w:basedOn w:val="DefaultParagraphFont"/>
    <w:link w:val="Heading9"/>
    <w:rsid w:val="00EE5468"/>
    <w:rPr>
      <w:rFonts w:ascii="Times New Roman" w:eastAsia="MS Mincho" w:hAnsi="Times New Roman" w:cs="Times New Roman"/>
      <w:b/>
      <w:sz w:val="24"/>
      <w:szCs w:val="20"/>
      <w:lang w:val="en-GB"/>
    </w:rPr>
  </w:style>
  <w:style w:type="paragraph" w:styleId="Footer">
    <w:name w:val="footer"/>
    <w:basedOn w:val="Normal"/>
    <w:link w:val="FooterChar"/>
    <w:rsid w:val="00EE5468"/>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rsid w:val="00EE5468"/>
    <w:rPr>
      <w:rFonts w:ascii="Times New Roman" w:eastAsia="MS Mincho" w:hAnsi="Times New Roman" w:cs="Times New Roman"/>
      <w:caps/>
      <w:noProof/>
      <w:sz w:val="16"/>
      <w:szCs w:val="20"/>
      <w:lang w:val="en-GB"/>
    </w:rPr>
  </w:style>
  <w:style w:type="paragraph" w:styleId="Header">
    <w:name w:val="header"/>
    <w:basedOn w:val="Normal"/>
    <w:link w:val="HeaderChar"/>
    <w:rsid w:val="00EE5468"/>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rsid w:val="00EE5468"/>
    <w:rPr>
      <w:rFonts w:ascii="Times New Roman" w:eastAsia="MS Mincho" w:hAnsi="Times New Roman" w:cs="Times New Roman"/>
      <w:sz w:val="18"/>
      <w:szCs w:val="20"/>
      <w:lang w:val="en-GB"/>
    </w:rPr>
  </w:style>
  <w:style w:type="paragraph" w:customStyle="1" w:styleId="Headingb">
    <w:name w:val="Heading_b"/>
    <w:basedOn w:val="Normal"/>
    <w:next w:val="Normal"/>
    <w:rsid w:val="00EE5468"/>
    <w:pPr>
      <w:keepNext/>
      <w:spacing w:before="160"/>
    </w:pPr>
    <w:rPr>
      <w:b/>
    </w:rPr>
  </w:style>
  <w:style w:type="paragraph" w:styleId="BalloonText">
    <w:name w:val="Balloon Text"/>
    <w:basedOn w:val="Normal"/>
    <w:link w:val="BalloonTextChar"/>
    <w:uiPriority w:val="99"/>
    <w:semiHidden/>
    <w:unhideWhenUsed/>
    <w:rsid w:val="004D1467"/>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467"/>
    <w:rPr>
      <w:rFonts w:ascii="Tahoma" w:eastAsia="MS Mincho"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468"/>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sz w:val="24"/>
      <w:szCs w:val="20"/>
      <w:lang w:val="en-GB"/>
    </w:rPr>
  </w:style>
  <w:style w:type="paragraph" w:styleId="Heading1">
    <w:name w:val="heading 1"/>
    <w:basedOn w:val="Normal"/>
    <w:next w:val="Normal"/>
    <w:link w:val="Heading1Char"/>
    <w:qFormat/>
    <w:rsid w:val="00EE5468"/>
    <w:pPr>
      <w:keepNext/>
      <w:keepLines/>
      <w:numPr>
        <w:numId w:val="1"/>
      </w:numPr>
      <w:spacing w:before="360"/>
      <w:outlineLvl w:val="0"/>
    </w:pPr>
    <w:rPr>
      <w:b/>
    </w:rPr>
  </w:style>
  <w:style w:type="paragraph" w:styleId="Heading2">
    <w:name w:val="heading 2"/>
    <w:basedOn w:val="Heading1"/>
    <w:next w:val="Normal"/>
    <w:link w:val="Heading2Char"/>
    <w:qFormat/>
    <w:rsid w:val="00EE5468"/>
    <w:pPr>
      <w:numPr>
        <w:ilvl w:val="1"/>
      </w:numPr>
      <w:spacing w:before="240"/>
      <w:outlineLvl w:val="1"/>
    </w:pPr>
  </w:style>
  <w:style w:type="paragraph" w:styleId="Heading3">
    <w:name w:val="heading 3"/>
    <w:basedOn w:val="Heading1"/>
    <w:next w:val="Normal"/>
    <w:link w:val="Heading3Char"/>
    <w:qFormat/>
    <w:rsid w:val="00EE5468"/>
    <w:pPr>
      <w:numPr>
        <w:ilvl w:val="2"/>
      </w:numPr>
      <w:spacing w:before="160"/>
      <w:outlineLvl w:val="2"/>
    </w:pPr>
  </w:style>
  <w:style w:type="paragraph" w:styleId="Heading4">
    <w:name w:val="heading 4"/>
    <w:basedOn w:val="Heading3"/>
    <w:next w:val="Normal"/>
    <w:link w:val="Heading4Char"/>
    <w:qFormat/>
    <w:rsid w:val="00EE5468"/>
    <w:pPr>
      <w:numPr>
        <w:ilvl w:val="3"/>
      </w:numPr>
      <w:tabs>
        <w:tab w:val="clear" w:pos="794"/>
        <w:tab w:val="left" w:pos="1021"/>
      </w:tabs>
      <w:outlineLvl w:val="3"/>
    </w:pPr>
  </w:style>
  <w:style w:type="paragraph" w:styleId="Heading5">
    <w:name w:val="heading 5"/>
    <w:basedOn w:val="Heading4"/>
    <w:next w:val="Normal"/>
    <w:link w:val="Heading5Char"/>
    <w:qFormat/>
    <w:rsid w:val="00EE5468"/>
    <w:pPr>
      <w:numPr>
        <w:ilvl w:val="4"/>
      </w:numPr>
      <w:outlineLvl w:val="4"/>
    </w:pPr>
  </w:style>
  <w:style w:type="paragraph" w:styleId="Heading6">
    <w:name w:val="heading 6"/>
    <w:basedOn w:val="Heading4"/>
    <w:next w:val="Normal"/>
    <w:link w:val="Heading6Char"/>
    <w:qFormat/>
    <w:rsid w:val="00EE5468"/>
    <w:pPr>
      <w:numPr>
        <w:ilvl w:val="5"/>
      </w:numPr>
      <w:tabs>
        <w:tab w:val="clear" w:pos="1021"/>
        <w:tab w:val="clear" w:pos="1191"/>
      </w:tabs>
      <w:outlineLvl w:val="5"/>
    </w:pPr>
  </w:style>
  <w:style w:type="paragraph" w:styleId="Heading7">
    <w:name w:val="heading 7"/>
    <w:basedOn w:val="Heading6"/>
    <w:next w:val="Normal"/>
    <w:link w:val="Heading7Char"/>
    <w:qFormat/>
    <w:rsid w:val="00EE5468"/>
    <w:pPr>
      <w:numPr>
        <w:ilvl w:val="6"/>
      </w:numPr>
      <w:outlineLvl w:val="6"/>
    </w:pPr>
  </w:style>
  <w:style w:type="paragraph" w:styleId="Heading8">
    <w:name w:val="heading 8"/>
    <w:basedOn w:val="Heading6"/>
    <w:next w:val="Normal"/>
    <w:link w:val="Heading8Char"/>
    <w:qFormat/>
    <w:rsid w:val="00EE5468"/>
    <w:pPr>
      <w:numPr>
        <w:ilvl w:val="7"/>
      </w:numPr>
      <w:outlineLvl w:val="7"/>
    </w:pPr>
  </w:style>
  <w:style w:type="paragraph" w:styleId="Heading9">
    <w:name w:val="heading 9"/>
    <w:basedOn w:val="Heading6"/>
    <w:next w:val="Normal"/>
    <w:link w:val="Heading9Char"/>
    <w:qFormat/>
    <w:rsid w:val="00EE546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5468"/>
    <w:rPr>
      <w:rFonts w:ascii="Times New Roman" w:eastAsia="MS Mincho" w:hAnsi="Times New Roman" w:cs="Times New Roman"/>
      <w:b/>
      <w:sz w:val="24"/>
      <w:szCs w:val="20"/>
      <w:lang w:val="en-GB"/>
    </w:rPr>
  </w:style>
  <w:style w:type="character" w:customStyle="1" w:styleId="Heading2Char">
    <w:name w:val="Heading 2 Char"/>
    <w:basedOn w:val="DefaultParagraphFont"/>
    <w:link w:val="Heading2"/>
    <w:rsid w:val="00EE5468"/>
    <w:rPr>
      <w:rFonts w:ascii="Times New Roman" w:eastAsia="MS Mincho" w:hAnsi="Times New Roman" w:cs="Times New Roman"/>
      <w:b/>
      <w:sz w:val="24"/>
      <w:szCs w:val="20"/>
      <w:lang w:val="en-GB"/>
    </w:rPr>
  </w:style>
  <w:style w:type="character" w:customStyle="1" w:styleId="Heading3Char">
    <w:name w:val="Heading 3 Char"/>
    <w:basedOn w:val="DefaultParagraphFont"/>
    <w:link w:val="Heading3"/>
    <w:rsid w:val="00EE5468"/>
    <w:rPr>
      <w:rFonts w:ascii="Times New Roman" w:eastAsia="MS Mincho" w:hAnsi="Times New Roman" w:cs="Times New Roman"/>
      <w:b/>
      <w:sz w:val="24"/>
      <w:szCs w:val="20"/>
      <w:lang w:val="en-GB"/>
    </w:rPr>
  </w:style>
  <w:style w:type="character" w:customStyle="1" w:styleId="Heading4Char">
    <w:name w:val="Heading 4 Char"/>
    <w:basedOn w:val="DefaultParagraphFont"/>
    <w:link w:val="Heading4"/>
    <w:rsid w:val="00EE5468"/>
    <w:rPr>
      <w:rFonts w:ascii="Times New Roman" w:eastAsia="MS Mincho" w:hAnsi="Times New Roman" w:cs="Times New Roman"/>
      <w:b/>
      <w:sz w:val="24"/>
      <w:szCs w:val="20"/>
      <w:lang w:val="en-GB"/>
    </w:rPr>
  </w:style>
  <w:style w:type="character" w:customStyle="1" w:styleId="Heading5Char">
    <w:name w:val="Heading 5 Char"/>
    <w:basedOn w:val="DefaultParagraphFont"/>
    <w:link w:val="Heading5"/>
    <w:rsid w:val="00EE5468"/>
    <w:rPr>
      <w:rFonts w:ascii="Times New Roman" w:eastAsia="MS Mincho" w:hAnsi="Times New Roman" w:cs="Times New Roman"/>
      <w:b/>
      <w:sz w:val="24"/>
      <w:szCs w:val="20"/>
      <w:lang w:val="en-GB"/>
    </w:rPr>
  </w:style>
  <w:style w:type="character" w:customStyle="1" w:styleId="Heading6Char">
    <w:name w:val="Heading 6 Char"/>
    <w:basedOn w:val="DefaultParagraphFont"/>
    <w:link w:val="Heading6"/>
    <w:rsid w:val="00EE5468"/>
    <w:rPr>
      <w:rFonts w:ascii="Times New Roman" w:eastAsia="MS Mincho" w:hAnsi="Times New Roman" w:cs="Times New Roman"/>
      <w:b/>
      <w:sz w:val="24"/>
      <w:szCs w:val="20"/>
      <w:lang w:val="en-GB"/>
    </w:rPr>
  </w:style>
  <w:style w:type="character" w:customStyle="1" w:styleId="Heading7Char">
    <w:name w:val="Heading 7 Char"/>
    <w:basedOn w:val="DefaultParagraphFont"/>
    <w:link w:val="Heading7"/>
    <w:rsid w:val="00EE5468"/>
    <w:rPr>
      <w:rFonts w:ascii="Times New Roman" w:eastAsia="MS Mincho" w:hAnsi="Times New Roman" w:cs="Times New Roman"/>
      <w:b/>
      <w:sz w:val="24"/>
      <w:szCs w:val="20"/>
      <w:lang w:val="en-GB"/>
    </w:rPr>
  </w:style>
  <w:style w:type="character" w:customStyle="1" w:styleId="Heading8Char">
    <w:name w:val="Heading 8 Char"/>
    <w:basedOn w:val="DefaultParagraphFont"/>
    <w:link w:val="Heading8"/>
    <w:rsid w:val="00EE5468"/>
    <w:rPr>
      <w:rFonts w:ascii="Times New Roman" w:eastAsia="MS Mincho" w:hAnsi="Times New Roman" w:cs="Times New Roman"/>
      <w:b/>
      <w:sz w:val="24"/>
      <w:szCs w:val="20"/>
      <w:lang w:val="en-GB"/>
    </w:rPr>
  </w:style>
  <w:style w:type="character" w:customStyle="1" w:styleId="Heading9Char">
    <w:name w:val="Heading 9 Char"/>
    <w:basedOn w:val="DefaultParagraphFont"/>
    <w:link w:val="Heading9"/>
    <w:rsid w:val="00EE5468"/>
    <w:rPr>
      <w:rFonts w:ascii="Times New Roman" w:eastAsia="MS Mincho" w:hAnsi="Times New Roman" w:cs="Times New Roman"/>
      <w:b/>
      <w:sz w:val="24"/>
      <w:szCs w:val="20"/>
      <w:lang w:val="en-GB"/>
    </w:rPr>
  </w:style>
  <w:style w:type="paragraph" w:styleId="Footer">
    <w:name w:val="footer"/>
    <w:basedOn w:val="Normal"/>
    <w:link w:val="FooterChar"/>
    <w:rsid w:val="00EE5468"/>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rsid w:val="00EE5468"/>
    <w:rPr>
      <w:rFonts w:ascii="Times New Roman" w:eastAsia="MS Mincho" w:hAnsi="Times New Roman" w:cs="Times New Roman"/>
      <w:caps/>
      <w:noProof/>
      <w:sz w:val="16"/>
      <w:szCs w:val="20"/>
      <w:lang w:val="en-GB"/>
    </w:rPr>
  </w:style>
  <w:style w:type="paragraph" w:styleId="Header">
    <w:name w:val="header"/>
    <w:basedOn w:val="Normal"/>
    <w:link w:val="HeaderChar"/>
    <w:rsid w:val="00EE5468"/>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rsid w:val="00EE5468"/>
    <w:rPr>
      <w:rFonts w:ascii="Times New Roman" w:eastAsia="MS Mincho" w:hAnsi="Times New Roman" w:cs="Times New Roman"/>
      <w:sz w:val="18"/>
      <w:szCs w:val="20"/>
      <w:lang w:val="en-GB"/>
    </w:rPr>
  </w:style>
  <w:style w:type="paragraph" w:customStyle="1" w:styleId="Headingb">
    <w:name w:val="Heading_b"/>
    <w:basedOn w:val="Normal"/>
    <w:next w:val="Normal"/>
    <w:rsid w:val="00EE5468"/>
    <w:pPr>
      <w:keepNext/>
      <w:spacing w:before="160"/>
    </w:pPr>
    <w:rPr>
      <w:b/>
    </w:rPr>
  </w:style>
  <w:style w:type="paragraph" w:styleId="BalloonText">
    <w:name w:val="Balloon Text"/>
    <w:basedOn w:val="Normal"/>
    <w:link w:val="BalloonTextChar"/>
    <w:uiPriority w:val="99"/>
    <w:semiHidden/>
    <w:unhideWhenUsed/>
    <w:rsid w:val="004D1467"/>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467"/>
    <w:rPr>
      <w:rFonts w:ascii="Tahoma" w:eastAsia="MS Mincho"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509441">
      <w:bodyDiv w:val="1"/>
      <w:marLeft w:val="0"/>
      <w:marRight w:val="0"/>
      <w:marTop w:val="0"/>
      <w:marBottom w:val="0"/>
      <w:divBdr>
        <w:top w:val="none" w:sz="0" w:space="0" w:color="auto"/>
        <w:left w:val="none" w:sz="0" w:space="0" w:color="auto"/>
        <w:bottom w:val="none" w:sz="0" w:space="0" w:color="auto"/>
        <w:right w:val="none" w:sz="0" w:space="0" w:color="auto"/>
      </w:divBdr>
      <w:divsChild>
        <w:div w:id="7308120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3</Pages>
  <Words>1211</Words>
  <Characters>6905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Polycom, Inc.</Company>
  <LinksUpToDate>false</LinksUpToDate>
  <CharactersWithSpaces>8100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Polycom</dc:creator>
  <cp:lastModifiedBy>Polycom</cp:lastModifiedBy>
  <cp:revision>1</cp:revision>
  <dcterms:created xsi:type="dcterms:W3CDTF">2013-06-09T19:19:00Z</dcterms:created>
  <dcterms:modified xsi:type="dcterms:W3CDTF">2013-06-09T21:29:00Z</dcterms:modified>
</cp:coreProperties>
</file>