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EE6E56">
            <w:pPr>
              <w:spacing w:before="0"/>
              <w:jc w:val="right"/>
              <w:rPr>
                <w:b/>
                <w:bCs/>
                <w:sz w:val="40"/>
              </w:rPr>
            </w:pPr>
            <w:bookmarkStart w:id="2" w:name="docnumber"/>
            <w:r w:rsidRPr="00406BC2">
              <w:rPr>
                <w:b/>
                <w:bCs/>
                <w:sz w:val="40"/>
              </w:rPr>
              <w:t>AVD-</w:t>
            </w:r>
            <w:r w:rsidR="00EE6E56">
              <w:rPr>
                <w:b/>
                <w:bCs/>
                <w:sz w:val="40"/>
              </w:rPr>
              <w:t>4414</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375A9D" w:rsidP="004F3600">
            <w:pPr>
              <w:wordWrap w:val="0"/>
              <w:jc w:val="right"/>
              <w:rPr>
                <w:sz w:val="22"/>
              </w:rPr>
            </w:pPr>
            <w:r w:rsidRPr="00375A9D">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EE6E56" w:rsidP="00FD7CC7">
            <w:pPr>
              <w:spacing w:after="120"/>
            </w:pPr>
            <w:r w:rsidRPr="00EE6E56">
              <w:t>H.248.RTPTOPO: Appendix I - Update proposals</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455D90" w:rsidRDefault="00DE2128" w:rsidP="009245CB">
            <w:pPr>
              <w:spacing w:after="120"/>
              <w:rPr>
                <w:lang w:val="en-US"/>
              </w:rPr>
            </w:pPr>
            <w:r w:rsidRPr="00455D90">
              <w:rPr>
                <w:lang w:val="en-US"/>
              </w:rPr>
              <w:t>Proposal</w:t>
            </w:r>
          </w:p>
        </w:tc>
      </w:tr>
    </w:tbl>
    <w:p w:rsidR="00DE2128" w:rsidRPr="00455D90" w:rsidRDefault="00DE2128" w:rsidP="006C499C">
      <w:pPr>
        <w:rPr>
          <w:lang w:val="en-US"/>
        </w:rPr>
      </w:pPr>
    </w:p>
    <w:p w:rsidR="009245CB" w:rsidRPr="009245CB" w:rsidRDefault="009245CB" w:rsidP="009245CB">
      <w:pPr>
        <w:keepNext/>
        <w:spacing w:before="160"/>
        <w:rPr>
          <w:b/>
        </w:rPr>
      </w:pPr>
      <w:r w:rsidRPr="009245CB">
        <w:rPr>
          <w:b/>
        </w:rPr>
        <w:t>Summary</w:t>
      </w:r>
    </w:p>
    <w:p w:rsidR="00430585" w:rsidRDefault="007C19E4" w:rsidP="009245CB">
      <w:r>
        <w:t>This contribution proposes a resolution to the editor’s note</w:t>
      </w:r>
      <w:r w:rsidR="00D80EAC">
        <w:rPr>
          <w:rStyle w:val="FootnoteReference"/>
        </w:rPr>
        <w:footnoteReference w:id="1"/>
      </w:r>
      <w:r>
        <w:t xml:space="preserve"> in Appendix I</w:t>
      </w:r>
      <w:r w:rsidR="00D80EAC">
        <w:t>, which primarily requests more information about the examples and conclusions concerning usability of the implicit signalling method (for the purpose of “transparent forwarding”).</w:t>
      </w:r>
    </w:p>
    <w:p w:rsidR="00D80EAC" w:rsidRPr="009245CB" w:rsidRDefault="00D80EAC" w:rsidP="009245CB"/>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 xml:space="preserve">TD </w:t>
      </w:r>
      <w:r w:rsidR="00430585">
        <w:rPr>
          <w:b/>
        </w:rPr>
        <w:t>18</w:t>
      </w:r>
      <w:r w:rsidR="009245CB" w:rsidRPr="009245CB">
        <w:rPr>
          <w:b/>
        </w:rPr>
        <w:t xml:space="preserve"> R1 (WP 1/16)</w:t>
      </w:r>
      <w:r>
        <w:t xml:space="preserve"> from the </w:t>
      </w:r>
      <w:r w:rsidR="009245CB">
        <w:t>January</w:t>
      </w:r>
      <w:r>
        <w:t xml:space="preserve"> 20</w:t>
      </w:r>
      <w:r w:rsidR="009245CB">
        <w:t>13</w:t>
      </w:r>
      <w:r>
        <w:t xml:space="preserve"> Q.3/16 meeting.</w:t>
      </w:r>
    </w:p>
    <w:p w:rsidR="00284A0E" w:rsidRDefault="00284A0E" w:rsidP="00284A0E"/>
    <w:p w:rsidR="00284A0E" w:rsidRDefault="00284A0E" w:rsidP="00284A0E">
      <w:r w:rsidRPr="001627DD">
        <w:rPr>
          <w:highlight w:val="green"/>
        </w:rPr>
        <w:t>Change proposal #1:</w:t>
      </w:r>
    </w:p>
    <w:p w:rsidR="00284A0E" w:rsidRDefault="007C19E4" w:rsidP="00284A0E">
      <w:pPr>
        <w:pStyle w:val="CorrectionSeparatorBegin"/>
        <w:rPr>
          <w:lang w:val="en-GB"/>
        </w:rPr>
      </w:pPr>
      <w:r>
        <w:rPr>
          <w:lang w:val="en-GB"/>
        </w:rPr>
        <w:lastRenderedPageBreak/>
        <w:t xml:space="preserve"> </w:t>
      </w:r>
      <w:r w:rsidR="00284A0E">
        <w:rPr>
          <w:lang w:val="en-GB"/>
        </w:rPr>
        <w:t>[Begin Proposed Correction]</w:t>
      </w:r>
    </w:p>
    <w:p w:rsidR="00430585" w:rsidRPr="00D80EAC" w:rsidRDefault="00430585" w:rsidP="00D80EAC">
      <w:pPr>
        <w:tabs>
          <w:tab w:val="clear" w:pos="794"/>
          <w:tab w:val="clear" w:pos="1191"/>
          <w:tab w:val="clear" w:pos="1588"/>
          <w:tab w:val="clear" w:pos="1985"/>
        </w:tabs>
        <w:overflowPunct/>
        <w:autoSpaceDE/>
        <w:autoSpaceDN/>
        <w:adjustRightInd/>
        <w:jc w:val="center"/>
        <w:textAlignment w:val="auto"/>
        <w:rPr>
          <w:rFonts w:eastAsiaTheme="minorEastAsia"/>
          <w:b/>
          <w:szCs w:val="24"/>
          <w:lang w:eastAsia="ja-JP"/>
        </w:rPr>
      </w:pPr>
      <w:bookmarkStart w:id="5" w:name="_Toc346625651"/>
      <w:r w:rsidRPr="00D80EAC">
        <w:rPr>
          <w:rFonts w:eastAsiaTheme="minorEastAsia"/>
          <w:b/>
          <w:szCs w:val="24"/>
          <w:lang w:eastAsia="ja-JP"/>
        </w:rPr>
        <w:t>Appendix I</w:t>
      </w:r>
      <w:r w:rsidRPr="00D80EAC">
        <w:rPr>
          <w:rFonts w:eastAsiaTheme="minorEastAsia"/>
          <w:b/>
          <w:szCs w:val="24"/>
          <w:lang w:eastAsia="ja-JP"/>
        </w:rPr>
        <w:br/>
        <w:t>Examples of transparent forwarding</w:t>
      </w:r>
      <w:bookmarkEnd w:id="5"/>
    </w:p>
    <w:p w:rsidR="00430585" w:rsidRPr="00430585" w:rsidRDefault="00430585" w:rsidP="00430585">
      <w:pPr>
        <w:keepNext/>
        <w:tabs>
          <w:tab w:val="clear" w:pos="794"/>
          <w:tab w:val="clear" w:pos="1191"/>
          <w:tab w:val="clear" w:pos="1588"/>
          <w:tab w:val="clear" w:pos="1985"/>
        </w:tabs>
        <w:overflowPunct/>
        <w:autoSpaceDE/>
        <w:autoSpaceDN/>
        <w:adjustRightInd/>
        <w:jc w:val="center"/>
        <w:textAlignment w:val="auto"/>
        <w:rPr>
          <w:rFonts w:eastAsiaTheme="minorEastAsia"/>
          <w:szCs w:val="24"/>
          <w:lang w:eastAsia="ja-JP"/>
        </w:rPr>
      </w:pPr>
      <w:r w:rsidRPr="00430585">
        <w:rPr>
          <w:rFonts w:eastAsiaTheme="minorEastAsia"/>
          <w:szCs w:val="24"/>
          <w:lang w:eastAsia="ja-JP"/>
        </w:rPr>
        <w:t>(This appendix does not form an integral part of this Recommendation)</w:t>
      </w:r>
    </w:p>
    <w:p w:rsidR="00430585" w:rsidRPr="00430585" w:rsidRDefault="00430585" w:rsidP="00430585">
      <w:pPr>
        <w:keepNext/>
        <w:tabs>
          <w:tab w:val="clear" w:pos="794"/>
          <w:tab w:val="clear" w:pos="1191"/>
          <w:tab w:val="clear" w:pos="1588"/>
          <w:tab w:val="clear" w:pos="1985"/>
        </w:tabs>
        <w:overflowPunct/>
        <w:autoSpaceDE/>
        <w:autoSpaceDN/>
        <w:adjustRightInd/>
        <w:jc w:val="center"/>
        <w:textAlignment w:val="auto"/>
        <w:rPr>
          <w:rFonts w:eastAsiaTheme="minorEastAsia"/>
          <w:szCs w:val="24"/>
          <w:lang w:eastAsia="ja-JP"/>
        </w:rPr>
      </w:pPr>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6" w:name="_Toc346625598"/>
      <w:bookmarkStart w:id="7" w:name="_Toc346625652"/>
      <w:r w:rsidRPr="00430585">
        <w:rPr>
          <w:rFonts w:eastAsiaTheme="minorEastAsia"/>
          <w:b/>
          <w:szCs w:val="24"/>
          <w:lang w:eastAsia="ja-JP"/>
        </w:rPr>
        <w:t>I.1</w:t>
      </w:r>
      <w:r w:rsidRPr="00430585">
        <w:rPr>
          <w:rFonts w:eastAsiaTheme="minorEastAsia"/>
          <w:b/>
          <w:szCs w:val="24"/>
          <w:lang w:eastAsia="ja-JP"/>
        </w:rPr>
        <w:tab/>
        <w:t>Introduction</w:t>
      </w:r>
      <w:bookmarkEnd w:id="6"/>
      <w:bookmarkEnd w:id="7"/>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The MG behaviour of “RTP transparent forwarding” may be enforced by either </w:t>
      </w:r>
      <w:r w:rsidRPr="00430585">
        <w:rPr>
          <w:rFonts w:eastAsiaTheme="minorEastAsia"/>
          <w:i/>
          <w:szCs w:val="24"/>
          <w:lang w:eastAsia="ja-JP"/>
        </w:rPr>
        <w:t>implicit</w:t>
      </w:r>
      <w:r w:rsidRPr="00430585">
        <w:rPr>
          <w:rFonts w:eastAsiaTheme="minorEastAsia"/>
          <w:szCs w:val="24"/>
          <w:lang w:eastAsia="ja-JP"/>
        </w:rPr>
        <w:t xml:space="preserve"> or </w:t>
      </w:r>
      <w:r w:rsidRPr="00430585">
        <w:rPr>
          <w:rFonts w:eastAsiaTheme="minorEastAsia"/>
          <w:i/>
          <w:szCs w:val="24"/>
          <w:lang w:eastAsia="ja-JP"/>
        </w:rPr>
        <w:t>explicit</w:t>
      </w:r>
      <w:r w:rsidRPr="00430585">
        <w:rPr>
          <w:rFonts w:eastAsiaTheme="minorEastAsia"/>
          <w:szCs w:val="24"/>
          <w:lang w:eastAsia="ja-JP"/>
        </w:rPr>
        <w:t xml:space="preserve"> H.248 signalling (see clause 10.6.3.8.1). The explicit method is semantically straightforward, whereas implicit signalling is often conditional. Some examples shall illustrate the uncontroversial and controversial usage of implicit signalling.</w:t>
      </w:r>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There is an (IP, IP) connection model in all examples. The signalling of a single stream endpoint is shown.</w:t>
      </w:r>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8" w:name="_Toc346625599"/>
      <w:bookmarkStart w:id="9" w:name="_Toc346625653"/>
      <w:r w:rsidRPr="00430585">
        <w:rPr>
          <w:rFonts w:eastAsiaTheme="minorEastAsia"/>
          <w:b/>
          <w:szCs w:val="24"/>
          <w:lang w:eastAsia="ja-JP"/>
        </w:rPr>
        <w:t>I.2</w:t>
      </w:r>
      <w:r w:rsidRPr="00430585">
        <w:rPr>
          <w:rFonts w:eastAsiaTheme="minorEastAsia"/>
          <w:b/>
          <w:szCs w:val="24"/>
          <w:lang w:eastAsia="ja-JP"/>
        </w:rPr>
        <w:tab/>
        <w:t>Convention</w:t>
      </w:r>
      <w:bookmarkEnd w:id="8"/>
      <w:bookmarkEnd w:id="9"/>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The examples use an abstracted command notation, see Table I.1. There are three key areas of interest in such H.248 commands:</w:t>
      </w:r>
    </w:p>
    <w:p w:rsidR="00430585" w:rsidRPr="00430585" w:rsidRDefault="00430585" w:rsidP="00430585">
      <w:pPr>
        <w:keepNext/>
        <w:keepLines/>
        <w:spacing w:before="360" w:after="120"/>
        <w:jc w:val="center"/>
        <w:rPr>
          <w:rFonts w:eastAsiaTheme="minorEastAsia"/>
          <w:b/>
          <w:lang w:eastAsia="zh-CN"/>
        </w:rPr>
      </w:pPr>
      <w:bookmarkStart w:id="10" w:name="_Toc346430916"/>
      <w:bookmarkStart w:id="11" w:name="_Toc346625668"/>
      <w:r w:rsidRPr="00430585">
        <w:rPr>
          <w:rFonts w:eastAsiaTheme="minorEastAsia"/>
          <w:b/>
          <w:lang w:eastAsia="ja-JP"/>
        </w:rPr>
        <w:t xml:space="preserve">Table I.1 –Implicit signalling – abstracted H.248 command format </w:t>
      </w:r>
      <w:r w:rsidRPr="00430585">
        <w:rPr>
          <w:rFonts w:eastAsiaTheme="minorEastAsia"/>
          <w:b/>
          <w:lang w:eastAsia="ja-JP"/>
        </w:rPr>
        <w:br/>
        <w:t>with principal areas related to RTP</w:t>
      </w:r>
      <w:bookmarkEnd w:id="10"/>
      <w:bookmarkEnd w:id="1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430585" w:rsidRPr="00430585" w:rsidTr="00FE386F">
        <w:trPr>
          <w:jc w:val="center"/>
        </w:trPr>
        <w:tc>
          <w:tcPr>
            <w:tcW w:w="6363"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ITU-T H.248 encoding (shortened command)</w:t>
            </w:r>
          </w:p>
        </w:tc>
        <w:tc>
          <w:tcPr>
            <w:tcW w:w="3276"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Comments</w:t>
            </w:r>
          </w:p>
        </w:tc>
      </w:tr>
      <w:tr w:rsidR="00430585" w:rsidRPr="00430585" w:rsidTr="00FE386F">
        <w:trPr>
          <w:jc w:val="center"/>
        </w:trPr>
        <w:tc>
          <w:tcPr>
            <w:tcW w:w="6363" w:type="dxa"/>
          </w:tcPr>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Ta</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a=…</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a=…</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Tb</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 xml:space="preserve"> 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a=…</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a=…</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tc>
        <w:tc>
          <w:tcPr>
            <w:tcW w:w="3276" w:type="dxa"/>
          </w:tcPr>
          <w:p w:rsidR="00430585" w:rsidRPr="00430585" w:rsidRDefault="00430585" w:rsidP="0043058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There are basically three areas in H.248 commands which could contain information indicating the existence of RTP bearer traffic:</w:t>
            </w:r>
          </w:p>
          <w:p w:rsidR="00430585" w:rsidRPr="00430585" w:rsidRDefault="00430585" w:rsidP="00430585">
            <w:pPr>
              <w:numPr>
                <w:ilvl w:val="0"/>
                <w:numId w:val="22"/>
              </w:num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49" w:hanging="249"/>
              <w:textAlignment w:val="auto"/>
              <w:rPr>
                <w:rFonts w:eastAsiaTheme="minorEastAsia"/>
                <w:sz w:val="22"/>
                <w:szCs w:val="24"/>
                <w:lang w:eastAsia="ja-JP"/>
              </w:rPr>
            </w:pPr>
            <w:r w:rsidRPr="00430585">
              <w:rPr>
                <w:rFonts w:eastAsiaTheme="minorEastAsia"/>
                <w:b/>
                <w:sz w:val="22"/>
                <w:szCs w:val="24"/>
                <w:lang w:eastAsia="ja-JP"/>
              </w:rPr>
              <w:t>SDP media descriptions</w:t>
            </w:r>
            <w:r w:rsidRPr="00430585">
              <w:rPr>
                <w:rFonts w:eastAsiaTheme="minorEastAsia"/>
                <w:sz w:val="22"/>
                <w:szCs w:val="24"/>
                <w:lang w:eastAsia="ja-JP"/>
              </w:rPr>
              <w:t xml:space="preserve"> embedded in </w:t>
            </w:r>
            <w:r w:rsidRPr="00430585">
              <w:rPr>
                <w:rFonts w:eastAsiaTheme="minorEastAsia"/>
                <w:b/>
                <w:sz w:val="22"/>
                <w:szCs w:val="24"/>
                <w:lang w:eastAsia="ja-JP"/>
              </w:rPr>
              <w:t>LD/RD</w:t>
            </w:r>
            <w:r w:rsidRPr="00430585">
              <w:rPr>
                <w:rFonts w:eastAsiaTheme="minorEastAsia"/>
                <w:sz w:val="22"/>
                <w:szCs w:val="24"/>
                <w:lang w:eastAsia="ja-JP"/>
              </w:rPr>
              <w:t xml:space="preserve"> as part of the Stream Descriptor; relevant information would be primarily subject of the “m=” and “a=” lines;</w:t>
            </w:r>
          </w:p>
          <w:p w:rsidR="00430585" w:rsidRPr="00430585" w:rsidRDefault="00430585" w:rsidP="00430585">
            <w:pPr>
              <w:numPr>
                <w:ilvl w:val="0"/>
                <w:numId w:val="22"/>
              </w:num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49" w:hanging="249"/>
              <w:textAlignment w:val="auto"/>
              <w:rPr>
                <w:rFonts w:eastAsiaTheme="minorEastAsia"/>
                <w:sz w:val="22"/>
                <w:szCs w:val="24"/>
                <w:lang w:eastAsia="ja-JP"/>
              </w:rPr>
            </w:pPr>
            <w:r w:rsidRPr="00430585">
              <w:rPr>
                <w:rFonts w:eastAsiaTheme="minorEastAsia"/>
                <w:sz w:val="22"/>
                <w:szCs w:val="24"/>
                <w:lang w:eastAsia="ja-JP"/>
              </w:rPr>
              <w:t xml:space="preserve">H.248 properties in the </w:t>
            </w:r>
            <w:r w:rsidRPr="00430585">
              <w:rPr>
                <w:rFonts w:eastAsiaTheme="minorEastAsia"/>
                <w:b/>
                <w:sz w:val="22"/>
                <w:szCs w:val="24"/>
                <w:lang w:eastAsia="ja-JP"/>
              </w:rPr>
              <w:t>LCD</w:t>
            </w:r>
            <w:r w:rsidRPr="00430585">
              <w:rPr>
                <w:rFonts w:eastAsiaTheme="minorEastAsia"/>
                <w:sz w:val="22"/>
                <w:szCs w:val="24"/>
                <w:lang w:eastAsia="ja-JP"/>
              </w:rPr>
              <w:t xml:space="preserve"> (again embedded in Stream Descriptor);</w:t>
            </w:r>
          </w:p>
          <w:p w:rsidR="00430585" w:rsidRPr="00430585" w:rsidRDefault="00430585" w:rsidP="00430585">
            <w:pPr>
              <w:numPr>
                <w:ilvl w:val="0"/>
                <w:numId w:val="22"/>
              </w:num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49" w:hanging="249"/>
              <w:textAlignment w:val="auto"/>
              <w:rPr>
                <w:rFonts w:eastAsiaTheme="minorEastAsia"/>
                <w:sz w:val="22"/>
                <w:szCs w:val="24"/>
                <w:lang w:eastAsia="ja-JP"/>
              </w:rPr>
            </w:pPr>
            <w:r w:rsidRPr="00430585">
              <w:rPr>
                <w:rFonts w:eastAsiaTheme="minorEastAsia"/>
                <w:sz w:val="22"/>
                <w:szCs w:val="24"/>
                <w:lang w:eastAsia="ja-JP"/>
              </w:rPr>
              <w:t>H.248 properties in other descriptors (e.g., Events Descriptor, Statistics Descriptor).</w:t>
            </w:r>
          </w:p>
        </w:tc>
      </w:tr>
    </w:tbl>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2" w:name="_Toc346625600"/>
      <w:bookmarkStart w:id="13" w:name="_Toc346625654"/>
      <w:r w:rsidRPr="00430585">
        <w:rPr>
          <w:rFonts w:eastAsiaTheme="minorEastAsia"/>
          <w:b/>
          <w:szCs w:val="24"/>
          <w:lang w:eastAsia="ja-JP"/>
        </w:rPr>
        <w:lastRenderedPageBreak/>
        <w:t>I.3</w:t>
      </w:r>
      <w:r w:rsidRPr="00430585">
        <w:rPr>
          <w:rFonts w:eastAsiaTheme="minorEastAsia"/>
          <w:b/>
          <w:szCs w:val="24"/>
          <w:lang w:eastAsia="ja-JP"/>
        </w:rPr>
        <w:tab/>
        <w:t>Examples for implicit signalling</w:t>
      </w:r>
      <w:bookmarkEnd w:id="12"/>
      <w:bookmarkEnd w:id="13"/>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The method of implicit signalling is described in clause 10.6.3.8.1 as option (a).</w:t>
      </w:r>
    </w:p>
    <w:p w:rsidR="00430585" w:rsidRPr="00430585" w:rsidDel="00FE386F" w:rsidRDefault="00430585" w:rsidP="00430585">
      <w:pPr>
        <w:tabs>
          <w:tab w:val="clear" w:pos="794"/>
          <w:tab w:val="clear" w:pos="1191"/>
          <w:tab w:val="clear" w:pos="1588"/>
          <w:tab w:val="clear" w:pos="1985"/>
        </w:tabs>
        <w:overflowPunct/>
        <w:autoSpaceDE/>
        <w:autoSpaceDN/>
        <w:adjustRightInd/>
        <w:textAlignment w:val="auto"/>
        <w:rPr>
          <w:del w:id="14" w:author="ALU" w:date="2013-05-24T09:17:00Z"/>
          <w:rFonts w:eastAsiaTheme="minorEastAsia"/>
          <w:i/>
          <w:iCs/>
          <w:szCs w:val="24"/>
          <w:highlight w:val="yellow"/>
          <w:lang w:eastAsia="ja-JP"/>
        </w:rPr>
      </w:pPr>
      <w:del w:id="15" w:author="ALU" w:date="2013-05-24T09:17:00Z">
        <w:r w:rsidRPr="00430585" w:rsidDel="00FE386F">
          <w:rPr>
            <w:rFonts w:eastAsiaTheme="minorEastAsia"/>
            <w:i/>
            <w:iCs/>
            <w:szCs w:val="24"/>
            <w:highlight w:val="yellow"/>
            <w:lang w:eastAsia="ja-JP"/>
          </w:rPr>
          <w:delText>{Editor's note (</w:delText>
        </w:r>
        <w:r w:rsidRPr="00430585" w:rsidDel="00FE386F">
          <w:rPr>
            <w:rFonts w:eastAsiaTheme="minorEastAsia"/>
            <w:b/>
            <w:i/>
            <w:iCs/>
            <w:szCs w:val="24"/>
            <w:highlight w:val="yellow"/>
            <w:lang w:eastAsia="ja-JP"/>
          </w:rPr>
          <w:delText>2013-01</w:delText>
        </w:r>
        <w:r w:rsidRPr="00430585" w:rsidDel="00FE386F">
          <w:rPr>
            <w:rFonts w:eastAsiaTheme="minorEastAsia"/>
            <w:i/>
            <w:iCs/>
            <w:szCs w:val="24"/>
            <w:highlight w:val="yellow"/>
            <w:lang w:eastAsia="ja-JP"/>
          </w:rPr>
          <w:delText>): it was requested to provide a more detailed section on  “Discussion/conclusions” per use case. Primarily whether an example could be really unambiguously interpreted …</w:delText>
        </w:r>
        <w:r w:rsidRPr="00430585" w:rsidDel="00FE386F">
          <w:rPr>
            <w:rFonts w:eastAsiaTheme="minorEastAsia"/>
            <w:i/>
            <w:iCs/>
            <w:szCs w:val="24"/>
            <w:highlight w:val="yellow"/>
            <w:lang w:eastAsia="ja-JP"/>
          </w:rPr>
          <w:br/>
          <w:delText>Contributions are solicited.}</w:delText>
        </w:r>
      </w:del>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6" w:name="_Toc346625601"/>
      <w:bookmarkStart w:id="17" w:name="_Toc346625655"/>
      <w:r w:rsidRPr="00430585">
        <w:rPr>
          <w:rFonts w:eastAsiaTheme="minorEastAsia"/>
          <w:b/>
          <w:szCs w:val="24"/>
          <w:lang w:eastAsia="ja-JP"/>
        </w:rPr>
        <w:t>I.3.1</w:t>
      </w:r>
      <w:r w:rsidRPr="00430585">
        <w:rPr>
          <w:rFonts w:eastAsiaTheme="minorEastAsia"/>
          <w:b/>
          <w:szCs w:val="24"/>
          <w:lang w:eastAsia="ja-JP"/>
        </w:rPr>
        <w:tab/>
        <w:t>Example 1 “UDP payload transparent forwarding”</w:t>
      </w:r>
      <w:bookmarkEnd w:id="16"/>
      <w:bookmarkEnd w:id="17"/>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Table I.2 illustrates “</w:t>
      </w:r>
      <w:r w:rsidRPr="00430585">
        <w:rPr>
          <w:rFonts w:eastAsiaTheme="minorEastAsia"/>
          <w:i/>
          <w:szCs w:val="24"/>
          <w:lang w:eastAsia="ja-JP"/>
        </w:rPr>
        <w:t>UDP payload transparent forwarding</w:t>
      </w:r>
      <w:r w:rsidRPr="00430585">
        <w:rPr>
          <w:rFonts w:eastAsiaTheme="minorEastAsia"/>
          <w:szCs w:val="24"/>
          <w:lang w:eastAsia="ja-JP"/>
        </w:rPr>
        <w:t>”:</w:t>
      </w:r>
    </w:p>
    <w:p w:rsidR="00430585" w:rsidRPr="00430585" w:rsidRDefault="00430585" w:rsidP="00430585">
      <w:pPr>
        <w:keepNext/>
        <w:keepLines/>
        <w:spacing w:before="360" w:after="120"/>
        <w:jc w:val="center"/>
        <w:rPr>
          <w:rFonts w:eastAsiaTheme="minorEastAsia"/>
          <w:b/>
          <w:lang w:eastAsia="zh-CN"/>
        </w:rPr>
      </w:pPr>
      <w:bookmarkStart w:id="18" w:name="_Toc346430917"/>
      <w:bookmarkStart w:id="19" w:name="_Toc346625669"/>
      <w:r w:rsidRPr="00430585">
        <w:rPr>
          <w:rFonts w:eastAsiaTheme="minorEastAsia"/>
          <w:b/>
          <w:lang w:eastAsia="ja-JP"/>
        </w:rPr>
        <w:t>Table I.2 – Example 1 “UDP payload transparent forwarding”</w:t>
      </w:r>
      <w:bookmarkEnd w:id="18"/>
      <w:bookmarkEnd w:id="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430585" w:rsidRPr="00430585" w:rsidTr="00FE386F">
        <w:trPr>
          <w:jc w:val="center"/>
        </w:trPr>
        <w:tc>
          <w:tcPr>
            <w:tcW w:w="6363"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ITU-T H.248 encoding (shortened command)</w:t>
            </w:r>
          </w:p>
        </w:tc>
        <w:tc>
          <w:tcPr>
            <w:tcW w:w="3276"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Comments</w:t>
            </w:r>
          </w:p>
        </w:tc>
      </w:tr>
      <w:tr w:rsidR="00430585" w:rsidRPr="00430585" w:rsidTr="00FE386F">
        <w:trPr>
          <w:jc w:val="center"/>
        </w:trPr>
        <w:tc>
          <w:tcPr>
            <w:tcW w:w="6363" w:type="dxa"/>
          </w:tcPr>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MGC to MG:</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MEGACO/…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Transaction =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Context = …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Add  = ip/$  ; Termination Ta, SEP 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{Media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    ; NOTE 1</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v=0</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c=IN IP4 &lt;IP_addr&gt;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val="fr-FR" w:eastAsia="ja-JP"/>
              </w:rPr>
              <w:t>m=- &lt;port&gt; udp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v=0</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noProof/>
                <w:sz w:val="20"/>
                <w:szCs w:val="24"/>
                <w:lang w:eastAsia="ja-JP"/>
              </w:rPr>
              <w:t>c=IN IP4 &lt;IP_addr&gt;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&lt;port&gt; udp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Add  = ip/$  ; Termination Tb, SEP 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{Media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v=0</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c=IN IP4 &lt;IP_addr&gt;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val="fr-FR" w:eastAsia="ja-JP"/>
              </w:rPr>
              <w:t>m=- &lt;port&gt; udp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v=0</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noProof/>
                <w:sz w:val="20"/>
                <w:szCs w:val="24"/>
                <w:lang w:eastAsia="ja-JP"/>
              </w:rPr>
              <w:t>c=IN IP4 &lt;IP_addr&gt;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&lt;port&gt; udp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tc>
        <w:tc>
          <w:tcPr>
            <w:tcW w:w="3276" w:type="dxa"/>
          </w:tcPr>
          <w:p w:rsidR="00430585" w:rsidRPr="00430585" w:rsidRDefault="00430585" w:rsidP="0043058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 RTP session shall be configured for transparent forwarding for both traffic directions.</w:t>
            </w:r>
          </w:p>
          <w:p w:rsidR="00430585" w:rsidRPr="00430585" w:rsidRDefault="00430585" w:rsidP="0043058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 xml:space="preserve">Prerequisites: </w:t>
            </w:r>
          </w:p>
          <w:p w:rsidR="00430585" w:rsidRPr="00430585" w:rsidRDefault="00430585" w:rsidP="00430585">
            <w:pPr>
              <w:numPr>
                <w:ilvl w:val="0"/>
                <w:numId w:val="21"/>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All four “m=” lines SHALL be identical.</w:t>
            </w:r>
          </w:p>
          <w:p w:rsidR="00430585" w:rsidRPr="00430585" w:rsidRDefault="00430585" w:rsidP="0043058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Example here:</w:t>
            </w:r>
          </w:p>
          <w:p w:rsidR="00430585" w:rsidRPr="00430585" w:rsidRDefault="00430585" w:rsidP="00430585">
            <w:pPr>
              <w:numPr>
                <w:ilvl w:val="0"/>
                <w:numId w:val="21"/>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Transport ‘UDP’ is indicated, which implies “RTP agnostic” to the MG.</w:t>
            </w:r>
          </w:p>
          <w:p w:rsidR="00430585" w:rsidRPr="00430585" w:rsidRDefault="00430585" w:rsidP="00430585">
            <w:pPr>
              <w:numPr>
                <w:ilvl w:val="0"/>
                <w:numId w:val="21"/>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 MG could be requested for local NAPT, which is a L4-dependent function (thus “UDP” indication).</w:t>
            </w:r>
          </w:p>
          <w:p w:rsidR="00430585" w:rsidRPr="00430585" w:rsidRDefault="00430585" w:rsidP="0043058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Conclusions:</w:t>
            </w:r>
          </w:p>
          <w:p w:rsidR="00430585" w:rsidRPr="00430585" w:rsidRDefault="00430585" w:rsidP="00430585">
            <w:pPr>
              <w:numPr>
                <w:ilvl w:val="0"/>
                <w:numId w:val="21"/>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This setting does not provide “UDP transparent forwarding” (which was also not requested) due to UDP checksum updates.</w:t>
            </w:r>
          </w:p>
          <w:p w:rsidR="00430585" w:rsidRPr="00430585" w:rsidRDefault="00430585" w:rsidP="00430585">
            <w:pPr>
              <w:numPr>
                <w:ilvl w:val="0"/>
                <w:numId w:val="21"/>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It leads rather to “UDP payload transparent forwarding” …</w:t>
            </w:r>
          </w:p>
          <w:p w:rsidR="00430585" w:rsidRPr="00430585" w:rsidRDefault="00430585" w:rsidP="00430585">
            <w:pPr>
              <w:numPr>
                <w:ilvl w:val="0"/>
                <w:numId w:val="21"/>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 which could be “RTP transparent forwarding” in case of RTP-over-UDP bearer traffic</w:t>
            </w:r>
          </w:p>
          <w:p w:rsidR="00430585" w:rsidRPr="00430585" w:rsidRDefault="00430585" w:rsidP="0043058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p>
        </w:tc>
      </w:tr>
    </w:tbl>
    <w:p w:rsidR="00430585" w:rsidRDefault="00686DA5" w:rsidP="00430585">
      <w:pPr>
        <w:tabs>
          <w:tab w:val="clear" w:pos="794"/>
          <w:tab w:val="clear" w:pos="1191"/>
          <w:tab w:val="clear" w:pos="1588"/>
          <w:tab w:val="clear" w:pos="1985"/>
        </w:tabs>
        <w:overflowPunct/>
        <w:autoSpaceDE/>
        <w:autoSpaceDN/>
        <w:adjustRightInd/>
        <w:textAlignment w:val="auto"/>
        <w:rPr>
          <w:ins w:id="20" w:author="ALU" w:date="2013-05-24T09:28:00Z"/>
          <w:rFonts w:eastAsiaTheme="minorEastAsia"/>
          <w:szCs w:val="24"/>
          <w:lang w:eastAsia="ja-JP"/>
        </w:rPr>
      </w:pPr>
      <w:ins w:id="21" w:author="ALU" w:date="2013-05-24T09:29:00Z">
        <w:r>
          <w:rPr>
            <w:rFonts w:eastAsiaTheme="minorEastAsia"/>
            <w:szCs w:val="24"/>
            <w:lang w:eastAsia="ja-JP"/>
          </w:rPr>
          <w:t>Discussion/c</w:t>
        </w:r>
      </w:ins>
      <w:ins w:id="22" w:author="ALU" w:date="2013-05-24T09:28:00Z">
        <w:r>
          <w:rPr>
            <w:rFonts w:eastAsiaTheme="minorEastAsia"/>
            <w:szCs w:val="24"/>
            <w:lang w:eastAsia="ja-JP"/>
          </w:rPr>
          <w:t>onclusions</w:t>
        </w:r>
      </w:ins>
      <w:ins w:id="23" w:author="ALU" w:date="2013-05-24T09:52:00Z">
        <w:r w:rsidR="009D4885">
          <w:rPr>
            <w:rFonts w:eastAsiaTheme="minorEastAsia"/>
            <w:szCs w:val="24"/>
            <w:lang w:eastAsia="ja-JP"/>
          </w:rPr>
          <w:t xml:space="preserve"> of example 1</w:t>
        </w:r>
      </w:ins>
      <w:ins w:id="24" w:author="ALU" w:date="2013-05-24T09:29:00Z">
        <w:r>
          <w:rPr>
            <w:rFonts w:eastAsiaTheme="minorEastAsia"/>
            <w:szCs w:val="24"/>
            <w:lang w:eastAsia="ja-JP"/>
          </w:rPr>
          <w:t>:</w:t>
        </w:r>
      </w:ins>
    </w:p>
    <w:p w:rsidR="00686DA5" w:rsidRDefault="00686DA5" w:rsidP="00686DA5">
      <w:pPr>
        <w:pStyle w:val="ListParagraph"/>
        <w:numPr>
          <w:ilvl w:val="0"/>
          <w:numId w:val="25"/>
        </w:numPr>
        <w:tabs>
          <w:tab w:val="clear" w:pos="794"/>
          <w:tab w:val="clear" w:pos="1191"/>
          <w:tab w:val="clear" w:pos="1588"/>
          <w:tab w:val="clear" w:pos="1985"/>
        </w:tabs>
        <w:overflowPunct/>
        <w:autoSpaceDE/>
        <w:autoSpaceDN/>
        <w:adjustRightInd/>
        <w:textAlignment w:val="auto"/>
        <w:rPr>
          <w:ins w:id="25" w:author="ALU" w:date="2013-05-24T09:30:00Z"/>
          <w:rFonts w:eastAsiaTheme="minorEastAsia"/>
          <w:szCs w:val="24"/>
          <w:lang w:eastAsia="ja-JP"/>
        </w:rPr>
        <w:pPrChange w:id="26" w:author="ALU" w:date="2013-05-24T09:30:00Z">
          <w:pPr>
            <w:tabs>
              <w:tab w:val="clear" w:pos="794"/>
              <w:tab w:val="clear" w:pos="1191"/>
              <w:tab w:val="clear" w:pos="1588"/>
              <w:tab w:val="clear" w:pos="1985"/>
            </w:tabs>
            <w:overflowPunct/>
            <w:autoSpaceDE/>
            <w:autoSpaceDN/>
            <w:adjustRightInd/>
            <w:textAlignment w:val="auto"/>
          </w:pPr>
        </w:pPrChange>
      </w:pPr>
      <w:ins w:id="27" w:author="ALU" w:date="2013-05-24T09:30:00Z">
        <w:r>
          <w:rPr>
            <w:rFonts w:eastAsiaTheme="minorEastAsia"/>
            <w:szCs w:val="24"/>
            <w:lang w:eastAsia="ja-JP"/>
          </w:rPr>
          <w:t>request</w:t>
        </w:r>
      </w:ins>
      <w:ins w:id="28" w:author="ALU" w:date="2013-05-24T09:39:00Z">
        <w:r w:rsidR="00D32558">
          <w:rPr>
            <w:rFonts w:eastAsiaTheme="minorEastAsia"/>
            <w:szCs w:val="24"/>
            <w:lang w:eastAsia="ja-JP"/>
          </w:rPr>
          <w:t>ed</w:t>
        </w:r>
      </w:ins>
      <w:ins w:id="29" w:author="ALU" w:date="2013-05-24T09:30:00Z">
        <w:r>
          <w:rPr>
            <w:rFonts w:eastAsiaTheme="minorEastAsia"/>
            <w:szCs w:val="24"/>
            <w:lang w:eastAsia="ja-JP"/>
          </w:rPr>
          <w:t xml:space="preserve"> and actual forwarding mode </w:t>
        </w:r>
      </w:ins>
      <w:ins w:id="30" w:author="ALU" w:date="2013-05-24T09:31:00Z">
        <w:r>
          <w:rPr>
            <w:rFonts w:eastAsiaTheme="minorEastAsia"/>
            <w:szCs w:val="24"/>
            <w:lang w:eastAsia="ja-JP"/>
          </w:rPr>
          <w:t>(</w:t>
        </w:r>
      </w:ins>
      <w:ins w:id="31" w:author="ALU" w:date="2013-05-24T09:32:00Z">
        <w:r>
          <w:rPr>
            <w:rFonts w:eastAsiaTheme="minorEastAsia"/>
            <w:szCs w:val="24"/>
            <w:lang w:eastAsia="ja-JP"/>
          </w:rPr>
          <w:t>“</w:t>
        </w:r>
        <w:r w:rsidRPr="00686DA5">
          <w:rPr>
            <w:rFonts w:eastAsiaTheme="minorEastAsia"/>
            <w:szCs w:val="24"/>
            <w:lang w:eastAsia="ja-JP"/>
          </w:rPr>
          <w:t>UDP payload transparent forwarding</w:t>
        </w:r>
        <w:r>
          <w:rPr>
            <w:rFonts w:eastAsiaTheme="minorEastAsia"/>
            <w:szCs w:val="24"/>
            <w:lang w:eastAsia="ja-JP"/>
          </w:rPr>
          <w:t>”</w:t>
        </w:r>
      </w:ins>
      <w:ins w:id="32" w:author="ALU" w:date="2013-05-24T09:31:00Z">
        <w:r>
          <w:rPr>
            <w:rFonts w:eastAsiaTheme="minorEastAsia"/>
            <w:szCs w:val="24"/>
            <w:lang w:eastAsia="ja-JP"/>
          </w:rPr>
          <w:t xml:space="preserve">) </w:t>
        </w:r>
      </w:ins>
      <w:ins w:id="33" w:author="ALU" w:date="2013-05-24T09:30:00Z">
        <w:r>
          <w:rPr>
            <w:rFonts w:eastAsiaTheme="minorEastAsia"/>
            <w:szCs w:val="24"/>
            <w:lang w:eastAsia="ja-JP"/>
          </w:rPr>
          <w:t>are identical;</w:t>
        </w:r>
      </w:ins>
    </w:p>
    <w:p w:rsidR="00686DA5" w:rsidRPr="00686DA5" w:rsidRDefault="00686DA5" w:rsidP="00686DA5">
      <w:pPr>
        <w:pStyle w:val="ListParagraph"/>
        <w:numPr>
          <w:ilvl w:val="0"/>
          <w:numId w:val="25"/>
        </w:numPr>
        <w:tabs>
          <w:tab w:val="clear" w:pos="794"/>
          <w:tab w:val="clear" w:pos="1191"/>
          <w:tab w:val="clear" w:pos="1588"/>
          <w:tab w:val="clear" w:pos="1985"/>
        </w:tabs>
        <w:overflowPunct/>
        <w:autoSpaceDE/>
        <w:autoSpaceDN/>
        <w:adjustRightInd/>
        <w:textAlignment w:val="auto"/>
        <w:rPr>
          <w:ins w:id="34" w:author="ALU" w:date="2013-05-24T09:30:00Z"/>
          <w:rFonts w:eastAsiaTheme="minorEastAsia"/>
          <w:szCs w:val="24"/>
          <w:lang w:eastAsia="ja-JP"/>
          <w:rPrChange w:id="35" w:author="ALU" w:date="2013-05-24T09:30:00Z">
            <w:rPr>
              <w:ins w:id="36" w:author="ALU" w:date="2013-05-24T09:30:00Z"/>
              <w:lang w:eastAsia="ja-JP"/>
            </w:rPr>
          </w:rPrChange>
        </w:rPr>
        <w:pPrChange w:id="37" w:author="ALU" w:date="2013-05-24T09:30:00Z">
          <w:pPr>
            <w:tabs>
              <w:tab w:val="clear" w:pos="794"/>
              <w:tab w:val="clear" w:pos="1191"/>
              <w:tab w:val="clear" w:pos="1588"/>
              <w:tab w:val="clear" w:pos="1985"/>
            </w:tabs>
            <w:overflowPunct/>
            <w:autoSpaceDE/>
            <w:autoSpaceDN/>
            <w:adjustRightInd/>
            <w:textAlignment w:val="auto"/>
          </w:pPr>
        </w:pPrChange>
      </w:pPr>
      <w:proofErr w:type="gramStart"/>
      <w:ins w:id="38" w:author="ALU" w:date="2013-05-24T09:30:00Z">
        <w:r>
          <w:rPr>
            <w:rFonts w:eastAsiaTheme="minorEastAsia"/>
            <w:szCs w:val="24"/>
            <w:lang w:eastAsia="ja-JP"/>
          </w:rPr>
          <w:t>implicit</w:t>
        </w:r>
        <w:proofErr w:type="gramEnd"/>
        <w:r>
          <w:rPr>
            <w:rFonts w:eastAsiaTheme="minorEastAsia"/>
            <w:szCs w:val="24"/>
            <w:lang w:eastAsia="ja-JP"/>
          </w:rPr>
          <w:t xml:space="preserve"> signalling is </w:t>
        </w:r>
      </w:ins>
      <w:ins w:id="39" w:author="ALU" w:date="2013-05-24T09:39:00Z">
        <w:r w:rsidR="00D32558">
          <w:rPr>
            <w:rFonts w:eastAsiaTheme="minorEastAsia"/>
            <w:szCs w:val="24"/>
            <w:lang w:eastAsia="ja-JP"/>
          </w:rPr>
          <w:t xml:space="preserve">thus </w:t>
        </w:r>
      </w:ins>
      <w:ins w:id="40" w:author="ALU" w:date="2013-05-24T09:30:00Z">
        <w:r>
          <w:rPr>
            <w:rFonts w:eastAsiaTheme="minorEastAsia"/>
            <w:szCs w:val="24"/>
            <w:lang w:eastAsia="ja-JP"/>
          </w:rPr>
          <w:t>unambiguous</w:t>
        </w:r>
      </w:ins>
      <w:ins w:id="41" w:author="ALU" w:date="2013-05-24T09:31:00Z">
        <w:r>
          <w:rPr>
            <w:rFonts w:eastAsiaTheme="minorEastAsia"/>
            <w:szCs w:val="24"/>
            <w:lang w:eastAsia="ja-JP"/>
          </w:rPr>
          <w:t>.</w:t>
        </w:r>
      </w:ins>
    </w:p>
    <w:p w:rsidR="00686DA5" w:rsidRPr="00430585" w:rsidRDefault="00686DA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42" w:name="_Toc346625602"/>
      <w:bookmarkStart w:id="43" w:name="_Toc346625656"/>
      <w:r w:rsidRPr="00430585">
        <w:rPr>
          <w:rFonts w:eastAsiaTheme="minorEastAsia"/>
          <w:b/>
          <w:szCs w:val="24"/>
          <w:lang w:eastAsia="ja-JP"/>
        </w:rPr>
        <w:t>I.3.2</w:t>
      </w:r>
      <w:r w:rsidRPr="00430585">
        <w:rPr>
          <w:rFonts w:eastAsiaTheme="minorEastAsia"/>
          <w:b/>
          <w:szCs w:val="24"/>
          <w:lang w:eastAsia="ja-JP"/>
        </w:rPr>
        <w:tab/>
        <w:t>Example 2 “fully RTP protocol unaware forwarding”</w:t>
      </w:r>
      <w:bookmarkEnd w:id="42"/>
      <w:bookmarkEnd w:id="43"/>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Signalling according Table I.3 should lead to </w:t>
      </w:r>
      <w:proofErr w:type="gramStart"/>
      <w:r w:rsidRPr="00430585">
        <w:rPr>
          <w:rFonts w:eastAsiaTheme="minorEastAsia"/>
          <w:szCs w:val="24"/>
          <w:lang w:eastAsia="ja-JP"/>
        </w:rPr>
        <w:t>a MG</w:t>
      </w:r>
      <w:proofErr w:type="gramEnd"/>
      <w:r w:rsidRPr="00430585">
        <w:rPr>
          <w:rFonts w:eastAsiaTheme="minorEastAsia"/>
          <w:szCs w:val="24"/>
          <w:lang w:eastAsia="ja-JP"/>
        </w:rPr>
        <w:t xml:space="preserve"> behaviour of “</w:t>
      </w:r>
      <w:r w:rsidRPr="00430585">
        <w:rPr>
          <w:rFonts w:eastAsiaTheme="minorEastAsia"/>
          <w:i/>
          <w:szCs w:val="24"/>
          <w:lang w:eastAsia="ja-JP"/>
        </w:rPr>
        <w:t>fully RTP protocol unaware forwarding</w:t>
      </w:r>
      <w:r w:rsidRPr="00430585">
        <w:rPr>
          <w:rFonts w:eastAsiaTheme="minorEastAsia"/>
          <w:szCs w:val="24"/>
          <w:lang w:eastAsia="ja-JP"/>
        </w:rPr>
        <w:t>”:</w:t>
      </w:r>
    </w:p>
    <w:p w:rsidR="00430585" w:rsidRPr="00430585" w:rsidRDefault="00430585" w:rsidP="00430585">
      <w:pPr>
        <w:keepNext/>
        <w:keepLines/>
        <w:spacing w:before="360" w:after="120"/>
        <w:jc w:val="center"/>
        <w:rPr>
          <w:rFonts w:eastAsiaTheme="minorEastAsia"/>
          <w:b/>
          <w:lang w:eastAsia="zh-CN"/>
        </w:rPr>
      </w:pPr>
      <w:bookmarkStart w:id="44" w:name="_Toc346430918"/>
      <w:bookmarkStart w:id="45" w:name="_Toc346625670"/>
      <w:r w:rsidRPr="00430585">
        <w:rPr>
          <w:rFonts w:eastAsiaTheme="minorEastAsia"/>
          <w:b/>
          <w:lang w:eastAsia="ja-JP"/>
        </w:rPr>
        <w:t>Table I.3 – Example 2</w:t>
      </w:r>
      <w:bookmarkEnd w:id="44"/>
      <w:bookmarkEnd w:id="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430585" w:rsidRPr="00430585" w:rsidTr="00FE386F">
        <w:trPr>
          <w:jc w:val="center"/>
        </w:trPr>
        <w:tc>
          <w:tcPr>
            <w:tcW w:w="6363"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ITU-T H.248 encoding (shortened command)</w:t>
            </w:r>
          </w:p>
        </w:tc>
        <w:tc>
          <w:tcPr>
            <w:tcW w:w="3276"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Comments</w:t>
            </w:r>
          </w:p>
        </w:tc>
      </w:tr>
      <w:tr w:rsidR="00430585" w:rsidRPr="00430585" w:rsidTr="00FE386F">
        <w:trPr>
          <w:jc w:val="center"/>
        </w:trPr>
        <w:tc>
          <w:tcPr>
            <w:tcW w:w="6363" w:type="dxa"/>
          </w:tcPr>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Ta</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Tb</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 xml:space="preserve"> 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 -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tc>
        <w:tc>
          <w:tcPr>
            <w:tcW w:w="3276" w:type="dxa"/>
          </w:tcPr>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 so called BGW mode of operation (in TISPAN BGF, 3GPP IMS-AGW, 3GPP TrGW, MSF SBG) with the characteristic of:</w:t>
            </w:r>
          </w:p>
          <w:p w:rsidR="00430585" w:rsidRPr="00430585" w:rsidRDefault="00430585" w:rsidP="00430585">
            <w:pPr>
              <w:numPr>
                <w:ilvl w:val="0"/>
                <w:numId w:val="23"/>
              </w:num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49" w:hanging="249"/>
              <w:textAlignment w:val="auto"/>
              <w:rPr>
                <w:rFonts w:eastAsiaTheme="minorEastAsia"/>
                <w:sz w:val="22"/>
                <w:szCs w:val="24"/>
                <w:lang w:eastAsia="ja-JP"/>
              </w:rPr>
            </w:pPr>
            <w:r w:rsidRPr="00430585">
              <w:rPr>
                <w:rFonts w:eastAsiaTheme="minorEastAsia"/>
                <w:sz w:val="22"/>
                <w:szCs w:val="24"/>
                <w:lang w:eastAsia="ja-JP"/>
              </w:rPr>
              <w:t>media type agnostic</w:t>
            </w:r>
          </w:p>
          <w:p w:rsidR="00430585" w:rsidRPr="00430585" w:rsidRDefault="00430585" w:rsidP="00430585">
            <w:pPr>
              <w:numPr>
                <w:ilvl w:val="0"/>
                <w:numId w:val="23"/>
              </w:num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49" w:hanging="249"/>
              <w:textAlignment w:val="auto"/>
              <w:rPr>
                <w:rFonts w:eastAsiaTheme="minorEastAsia"/>
                <w:sz w:val="22"/>
                <w:szCs w:val="24"/>
                <w:lang w:eastAsia="ja-JP"/>
              </w:rPr>
            </w:pPr>
            <w:r w:rsidRPr="00430585">
              <w:rPr>
                <w:rFonts w:eastAsiaTheme="minorEastAsia"/>
                <w:sz w:val="22"/>
                <w:szCs w:val="24"/>
                <w:lang w:eastAsia="ja-JP"/>
              </w:rPr>
              <w:t>media format agnostic</w:t>
            </w:r>
          </w:p>
          <w:p w:rsidR="00430585" w:rsidRPr="00430585" w:rsidRDefault="00430585" w:rsidP="00430585">
            <w:pPr>
              <w:numPr>
                <w:ilvl w:val="0"/>
                <w:numId w:val="23"/>
              </w:num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49" w:hanging="249"/>
              <w:textAlignment w:val="auto"/>
              <w:rPr>
                <w:rFonts w:eastAsiaTheme="minorEastAsia"/>
                <w:sz w:val="22"/>
                <w:szCs w:val="24"/>
                <w:lang w:eastAsia="ja-JP"/>
              </w:rPr>
            </w:pPr>
            <w:r w:rsidRPr="00430585">
              <w:rPr>
                <w:rFonts w:eastAsiaTheme="minorEastAsia"/>
                <w:sz w:val="22"/>
                <w:szCs w:val="24"/>
                <w:lang w:eastAsia="ja-JP"/>
              </w:rPr>
              <w:t>transport protocol type agnostic and</w:t>
            </w:r>
          </w:p>
          <w:p w:rsidR="00430585" w:rsidRPr="00430585" w:rsidRDefault="00430585" w:rsidP="00430585">
            <w:pPr>
              <w:numPr>
                <w:ilvl w:val="0"/>
                <w:numId w:val="23"/>
              </w:num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49" w:hanging="249"/>
              <w:textAlignment w:val="auto"/>
              <w:rPr>
                <w:rFonts w:eastAsiaTheme="minorEastAsia"/>
                <w:sz w:val="22"/>
                <w:szCs w:val="24"/>
                <w:lang w:eastAsia="ja-JP"/>
              </w:rPr>
            </w:pPr>
            <w:r w:rsidRPr="00430585">
              <w:rPr>
                <w:rFonts w:eastAsiaTheme="minorEastAsia"/>
                <w:sz w:val="22"/>
                <w:szCs w:val="24"/>
                <w:lang w:eastAsia="ja-JP"/>
              </w:rPr>
              <w:t>L4 port agnostic.</w:t>
            </w:r>
          </w:p>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 “-</w:t>
            </w:r>
            <w:proofErr w:type="gramStart"/>
            <w:r w:rsidRPr="00430585">
              <w:rPr>
                <w:rFonts w:eastAsiaTheme="minorEastAsia"/>
                <w:sz w:val="22"/>
                <w:szCs w:val="24"/>
                <w:lang w:eastAsia="ja-JP"/>
              </w:rPr>
              <w:t>“ notation</w:t>
            </w:r>
            <w:proofErr w:type="gramEnd"/>
            <w:r w:rsidRPr="00430585">
              <w:rPr>
                <w:rFonts w:eastAsiaTheme="minorEastAsia"/>
                <w:sz w:val="22"/>
                <w:szCs w:val="24"/>
                <w:lang w:eastAsia="ja-JP"/>
              </w:rPr>
              <w:t xml:space="preserve"> was introduced by TISPAN in border gateway profiles.</w:t>
            </w:r>
          </w:p>
        </w:tc>
      </w:tr>
    </w:tbl>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Discussion/conclusions of example 2:</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The MG would implicitly provide “</w:t>
      </w:r>
      <w:r w:rsidRPr="00430585">
        <w:rPr>
          <w:rFonts w:eastAsiaTheme="minorEastAsia"/>
          <w:i/>
          <w:szCs w:val="24"/>
          <w:lang w:eastAsia="ja-JP"/>
        </w:rPr>
        <w:t>fully RTP protocol unaware forwarding</w:t>
      </w:r>
      <w:r w:rsidRPr="00430585">
        <w:rPr>
          <w:rFonts w:eastAsiaTheme="minorEastAsia"/>
          <w:szCs w:val="24"/>
          <w:lang w:eastAsia="ja-JP"/>
        </w:rPr>
        <w:t>” if there would be not any other signalling elements related to RTP</w:t>
      </w:r>
      <w:ins w:id="46" w:author="ALU" w:date="2013-05-24T09:43:00Z">
        <w:r w:rsidR="00D32558">
          <w:rPr>
            <w:rFonts w:eastAsiaTheme="minorEastAsia"/>
            <w:szCs w:val="24"/>
            <w:lang w:eastAsia="ja-JP"/>
          </w:rPr>
          <w:t>.</w:t>
        </w:r>
      </w:ins>
    </w:p>
    <w:p w:rsidR="00D32558" w:rsidRPr="00686DA5" w:rsidRDefault="00D32558" w:rsidP="00D32558">
      <w:pPr>
        <w:pStyle w:val="ListParagraph"/>
        <w:numPr>
          <w:ilvl w:val="0"/>
          <w:numId w:val="24"/>
        </w:numPr>
        <w:tabs>
          <w:tab w:val="clear" w:pos="794"/>
          <w:tab w:val="clear" w:pos="1191"/>
          <w:tab w:val="clear" w:pos="1588"/>
          <w:tab w:val="clear" w:pos="1985"/>
        </w:tabs>
        <w:overflowPunct/>
        <w:autoSpaceDE/>
        <w:autoSpaceDN/>
        <w:adjustRightInd/>
        <w:textAlignment w:val="auto"/>
        <w:rPr>
          <w:ins w:id="47" w:author="ALU" w:date="2013-05-24T09:42:00Z"/>
          <w:rFonts w:eastAsiaTheme="minorEastAsia"/>
          <w:szCs w:val="24"/>
          <w:lang w:eastAsia="ja-JP"/>
        </w:rPr>
      </w:pPr>
      <w:ins w:id="48" w:author="ALU" w:date="2013-05-24T09:43:00Z">
        <w:r>
          <w:rPr>
            <w:rFonts w:eastAsiaTheme="minorEastAsia"/>
            <w:szCs w:val="24"/>
            <w:lang w:eastAsia="ja-JP"/>
          </w:rPr>
          <w:t xml:space="preserve">The MGC knows whether the </w:t>
        </w:r>
      </w:ins>
      <w:ins w:id="49" w:author="ALU" w:date="2013-05-24T09:42:00Z">
        <w:r>
          <w:rPr>
            <w:rFonts w:eastAsiaTheme="minorEastAsia"/>
            <w:szCs w:val="24"/>
            <w:lang w:eastAsia="ja-JP"/>
          </w:rPr>
          <w:t xml:space="preserve">implicit signalling </w:t>
        </w:r>
      </w:ins>
      <w:ins w:id="50" w:author="ALU" w:date="2013-05-24T09:44:00Z">
        <w:r>
          <w:rPr>
            <w:rFonts w:eastAsiaTheme="minorEastAsia"/>
            <w:szCs w:val="24"/>
            <w:lang w:eastAsia="ja-JP"/>
          </w:rPr>
          <w:t>would be</w:t>
        </w:r>
      </w:ins>
      <w:ins w:id="51" w:author="ALU" w:date="2013-05-24T09:42:00Z">
        <w:r>
          <w:rPr>
            <w:rFonts w:eastAsiaTheme="minorEastAsia"/>
            <w:szCs w:val="24"/>
            <w:lang w:eastAsia="ja-JP"/>
          </w:rPr>
          <w:t xml:space="preserve"> unambiguous</w:t>
        </w:r>
      </w:ins>
      <w:ins w:id="52" w:author="ALU" w:date="2013-05-24T09:44:00Z">
        <w:r>
          <w:rPr>
            <w:rFonts w:eastAsiaTheme="minorEastAsia"/>
            <w:szCs w:val="24"/>
            <w:lang w:eastAsia="ja-JP"/>
          </w:rPr>
          <w:t xml:space="preserve"> or not (due to the indicated condition)</w:t>
        </w:r>
      </w:ins>
      <w:ins w:id="53" w:author="ALU" w:date="2013-05-24T09:42:00Z">
        <w:r>
          <w:rPr>
            <w:rFonts w:eastAsiaTheme="minorEastAsia"/>
            <w:szCs w:val="24"/>
            <w:lang w:eastAsia="ja-JP"/>
          </w:rPr>
          <w:t>.</w:t>
        </w:r>
      </w:ins>
      <w:ins w:id="54" w:author="ALU" w:date="2013-05-24T09:45:00Z">
        <w:r>
          <w:rPr>
            <w:rFonts w:eastAsiaTheme="minorEastAsia"/>
            <w:szCs w:val="24"/>
            <w:lang w:eastAsia="ja-JP"/>
          </w:rPr>
          <w:t xml:space="preserve"> </w:t>
        </w:r>
      </w:ins>
      <w:ins w:id="55" w:author="ALU" w:date="2013-05-24T09:46:00Z">
        <w:r>
          <w:rPr>
            <w:rFonts w:eastAsiaTheme="minorEastAsia"/>
            <w:szCs w:val="24"/>
            <w:lang w:eastAsia="ja-JP"/>
          </w:rPr>
          <w:t>The MGC may therefore provide an additional explicit indication in case of</w:t>
        </w:r>
      </w:ins>
      <w:ins w:id="56" w:author="ALU" w:date="2013-05-24T09:45:00Z">
        <w:r>
          <w:rPr>
            <w:rFonts w:eastAsiaTheme="minorEastAsia"/>
            <w:szCs w:val="24"/>
            <w:lang w:eastAsia="ja-JP"/>
          </w:rPr>
          <w:t xml:space="preserve"> guaranteed transparent forwarding service</w:t>
        </w:r>
      </w:ins>
      <w:ins w:id="57" w:author="ALU" w:date="2013-05-24T09:47:00Z">
        <w:r>
          <w:rPr>
            <w:rFonts w:eastAsiaTheme="minorEastAsia"/>
            <w:szCs w:val="24"/>
            <w:lang w:eastAsia="ja-JP"/>
          </w:rPr>
          <w:t xml:space="preserve"> requirements.</w:t>
        </w:r>
      </w:ins>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58" w:name="_Toc346625603"/>
      <w:bookmarkStart w:id="59" w:name="_Toc346625657"/>
      <w:r w:rsidRPr="00430585">
        <w:rPr>
          <w:rFonts w:eastAsiaTheme="minorEastAsia"/>
          <w:b/>
          <w:szCs w:val="24"/>
          <w:lang w:eastAsia="ja-JP"/>
        </w:rPr>
        <w:t>I.3.3</w:t>
      </w:r>
      <w:r w:rsidRPr="00430585">
        <w:rPr>
          <w:rFonts w:eastAsiaTheme="minorEastAsia"/>
          <w:b/>
          <w:szCs w:val="24"/>
          <w:lang w:eastAsia="ja-JP"/>
        </w:rPr>
        <w:tab/>
        <w:t>Example 3 “additional RTCP awareness”</w:t>
      </w:r>
      <w:bookmarkEnd w:id="58"/>
      <w:bookmarkEnd w:id="59"/>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Example 3: same as example 2, but with additional property “</w:t>
      </w:r>
      <w:r w:rsidRPr="00430585">
        <w:rPr>
          <w:rFonts w:eastAsiaTheme="minorEastAsia"/>
          <w:i/>
          <w:szCs w:val="24"/>
          <w:lang w:eastAsia="ja-JP"/>
        </w:rPr>
        <w:t>rtcph/rsb = ON</w:t>
      </w:r>
      <w:r w:rsidRPr="00430585">
        <w:rPr>
          <w:rFonts w:eastAsiaTheme="minorEastAsia"/>
          <w:szCs w:val="24"/>
          <w:lang w:eastAsia="ja-JP"/>
        </w:rPr>
        <w:t>” (see [ITU-T H.248.57]) in the LocalControl Descriptor (LCD)</w:t>
      </w:r>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Discussion/conclusions of example 3:</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That’s an explicit indication of RTP bearer traffic, the MG becomes RTP aware.</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However, there are basically three meaningful RTP translator options (PP, TR and TF) with different impact on RTP packets, thus pure implicit signalling would be </w:t>
      </w:r>
      <w:r w:rsidRPr="00430585">
        <w:rPr>
          <w:rFonts w:eastAsiaTheme="minorEastAsia"/>
          <w:color w:val="FF0000"/>
          <w:szCs w:val="24"/>
          <w:lang w:eastAsia="ja-JP"/>
        </w:rPr>
        <w:t>controversial</w:t>
      </w:r>
      <w:r w:rsidRPr="00430585">
        <w:rPr>
          <w:rFonts w:eastAsiaTheme="minorEastAsia"/>
          <w:szCs w:val="24"/>
          <w:lang w:eastAsia="ja-JP"/>
        </w:rPr>
        <w:t>.</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Unambiguous behaviour might be achieved by explicit assignment of PP or TR topology (with different RTCP handling, but common SSRC/CSRC modifications) in case of </w:t>
      </w:r>
      <w:r w:rsidRPr="00430585">
        <w:rPr>
          <w:rFonts w:eastAsiaTheme="minorEastAsia"/>
          <w:i/>
          <w:szCs w:val="24"/>
          <w:lang w:eastAsia="ja-JP"/>
        </w:rPr>
        <w:t>non-transparent forwarding</w:t>
      </w:r>
      <w:r w:rsidRPr="00430585">
        <w:rPr>
          <w:rFonts w:eastAsiaTheme="minorEastAsia"/>
          <w:szCs w:val="24"/>
          <w:lang w:eastAsia="ja-JP"/>
        </w:rPr>
        <w:t>.</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lastRenderedPageBreak/>
        <w:t>Transparent forwarding however could not be achieved via implicit signalling, requires rather the explicit assignment of the TF topology.</w:t>
      </w:r>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60" w:name="_Toc346625604"/>
      <w:bookmarkStart w:id="61" w:name="_Toc346625658"/>
      <w:r w:rsidRPr="00430585">
        <w:rPr>
          <w:rFonts w:eastAsiaTheme="minorEastAsia"/>
          <w:b/>
          <w:szCs w:val="24"/>
          <w:lang w:eastAsia="ja-JP"/>
        </w:rPr>
        <w:t>I.3.4</w:t>
      </w:r>
      <w:r w:rsidRPr="00430585">
        <w:rPr>
          <w:rFonts w:eastAsiaTheme="minorEastAsia"/>
          <w:b/>
          <w:szCs w:val="24"/>
          <w:lang w:eastAsia="ja-JP"/>
        </w:rPr>
        <w:tab/>
        <w:t>Example 4 “fully specified SDP media description”</w:t>
      </w:r>
      <w:bookmarkEnd w:id="60"/>
      <w:bookmarkEnd w:id="61"/>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Example 4: same semantic aimed as with example 2, but fully specified SDP media description, rather than the “-“ option, see Table I.4:</w:t>
      </w:r>
    </w:p>
    <w:p w:rsidR="00430585" w:rsidRPr="00430585" w:rsidRDefault="00430585" w:rsidP="00430585">
      <w:pPr>
        <w:keepNext/>
        <w:keepLines/>
        <w:spacing w:before="360" w:after="120"/>
        <w:jc w:val="center"/>
        <w:rPr>
          <w:rFonts w:eastAsiaTheme="minorEastAsia"/>
          <w:b/>
          <w:lang w:eastAsia="zh-CN"/>
        </w:rPr>
      </w:pPr>
      <w:bookmarkStart w:id="62" w:name="_Toc346430919"/>
      <w:bookmarkStart w:id="63" w:name="_Toc346625671"/>
      <w:r w:rsidRPr="00430585">
        <w:rPr>
          <w:rFonts w:eastAsiaTheme="minorEastAsia"/>
          <w:b/>
          <w:lang w:eastAsia="ja-JP"/>
        </w:rPr>
        <w:t>Table I.4 – Example 4</w:t>
      </w:r>
      <w:bookmarkEnd w:id="62"/>
      <w:bookmarkEnd w:id="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430585" w:rsidRPr="00430585" w:rsidTr="00FE386F">
        <w:trPr>
          <w:jc w:val="center"/>
        </w:trPr>
        <w:tc>
          <w:tcPr>
            <w:tcW w:w="6363"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ITU-T H.248 encoding (shortened command)</w:t>
            </w:r>
          </w:p>
        </w:tc>
        <w:tc>
          <w:tcPr>
            <w:tcW w:w="3276"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Comments</w:t>
            </w:r>
          </w:p>
        </w:tc>
      </w:tr>
      <w:tr w:rsidR="00430585" w:rsidRPr="00430585" w:rsidTr="00FE386F">
        <w:trPr>
          <w:jc w:val="center"/>
        </w:trPr>
        <w:tc>
          <w:tcPr>
            <w:tcW w:w="6363" w:type="dxa"/>
          </w:tcPr>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Ta</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noProof/>
                <w:sz w:val="20"/>
                <w:szCs w:val="24"/>
                <w:lang w:val="fr-FR" w:eastAsia="ja-JP"/>
              </w:rPr>
              <w:t>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b/>
                <w:noProof/>
                <w:sz w:val="20"/>
                <w:szCs w:val="24"/>
                <w:lang w:val="fr-FR" w:eastAsia="ja-JP"/>
              </w:rPr>
              <w:t>m=audio &lt;port&gt; rtp/avp x1 x2</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val="fr-FR" w:eastAsia="ja-JP"/>
              </w:rPr>
              <w:t xml:space="preserve">     </w:t>
            </w:r>
            <w:r w:rsidRPr="00430585">
              <w:rPr>
                <w:rFonts w:ascii="Courier New" w:eastAsiaTheme="minorEastAsia" w:hAnsi="Courier New"/>
                <w:b/>
                <w:noProof/>
                <w:sz w:val="20"/>
                <w:szCs w:val="24"/>
                <w:lang w:eastAsia="ja-JP"/>
              </w:rPr>
              <w:t>a=rtpmap:x1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eastAsia="ja-JP"/>
              </w:rPr>
              <w:t xml:space="preserve">     a=ptime: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m=audio &lt;port&gt; rtp/avp x1 x2</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eastAsia="ja-JP"/>
              </w:rPr>
              <w:t xml:space="preserve">     a=rtpmap:x1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eastAsia="ja-JP"/>
              </w:rPr>
              <w:t xml:space="preserve">     a=ptime: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Tb</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 xml:space="preserve"> 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noProof/>
                <w:sz w:val="20"/>
                <w:szCs w:val="24"/>
                <w:lang w:val="fr-FR" w:eastAsia="ja-JP"/>
              </w:rPr>
              <w:t>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b/>
                <w:noProof/>
                <w:sz w:val="20"/>
                <w:szCs w:val="24"/>
                <w:lang w:val="fr-FR" w:eastAsia="ja-JP"/>
              </w:rPr>
              <w:t>m=audio &lt;port&gt; rtp/avp x1 x2</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val="fr-FR" w:eastAsia="ja-JP"/>
              </w:rPr>
              <w:t xml:space="preserve">     </w:t>
            </w:r>
            <w:r w:rsidRPr="00430585">
              <w:rPr>
                <w:rFonts w:ascii="Courier New" w:eastAsiaTheme="minorEastAsia" w:hAnsi="Courier New"/>
                <w:b/>
                <w:noProof/>
                <w:sz w:val="20"/>
                <w:szCs w:val="24"/>
                <w:lang w:eastAsia="ja-JP"/>
              </w:rPr>
              <w:t>a=rtpmap:x1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eastAsia="ja-JP"/>
              </w:rPr>
              <w:t xml:space="preserve">     a=ptime: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m=audio &lt;port&gt; rtp/avp x1 x2</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eastAsia="ja-JP"/>
              </w:rPr>
              <w:t xml:space="preserve">     a=rtpmap:x1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b/>
                <w:noProof/>
                <w:sz w:val="20"/>
                <w:szCs w:val="24"/>
                <w:lang w:eastAsia="ja-JP"/>
              </w:rPr>
              <w:t xml:space="preserve">     a=ptime: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tc>
        <w:tc>
          <w:tcPr>
            <w:tcW w:w="3276" w:type="dxa"/>
          </w:tcPr>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 xml:space="preserve">This option was added by 3GPP profiles (in comparison to TISPAN BGF). </w:t>
            </w:r>
          </w:p>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 MG has to compare all four SDP media descriptions, and if fully identical then to conclude a correspondent RTP topology behaviour. But which one exactly?</w:t>
            </w:r>
          </w:p>
        </w:tc>
      </w:tr>
    </w:tbl>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Discussion/conclusions of example 4:</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This example should be functionally identical as example 2, i.e. leading to the same MG behaviour, but there are subtle difference between examples 2 and 4 when considering the dynamics of H.248 signalling.</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Problem: the final establishment of the H.248 stream might be subject of multiple signalling cycles (ADD, </w:t>
      </w:r>
      <w:proofErr w:type="gramStart"/>
      <w:r w:rsidRPr="00430585">
        <w:rPr>
          <w:rFonts w:eastAsiaTheme="minorEastAsia"/>
          <w:szCs w:val="24"/>
          <w:lang w:eastAsia="ja-JP"/>
        </w:rPr>
        <w:t>MOD, …)</w:t>
      </w:r>
      <w:proofErr w:type="gramEnd"/>
      <w:r w:rsidRPr="00430585">
        <w:rPr>
          <w:rFonts w:eastAsiaTheme="minorEastAsia"/>
          <w:szCs w:val="24"/>
          <w:lang w:eastAsia="ja-JP"/>
        </w:rPr>
        <w:t>. The MG becomes normally already RTP aware (even media aware) with the very first H.248 command request. But which topology? B2BRE, media translator, transport translator, transparent forwarding?</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The MG could of course wait till the stream is finally established, but that would be an unsatisfying situation for performance optimized implementations, which may want to achieve e.g. the minimization of call and bearer establishment delays.</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lastRenderedPageBreak/>
        <w:t>The explicit indication of the aimed RTP topology (MG, PP, TR or TF) in the first command request could solve the ambiguity.</w:t>
      </w:r>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64" w:name="_Toc346625605"/>
      <w:bookmarkStart w:id="65" w:name="_Toc346625659"/>
      <w:r w:rsidRPr="00430585">
        <w:rPr>
          <w:rFonts w:eastAsiaTheme="minorEastAsia"/>
          <w:b/>
          <w:szCs w:val="24"/>
          <w:lang w:eastAsia="ja-JP"/>
        </w:rPr>
        <w:t>I.3.5</w:t>
      </w:r>
      <w:r w:rsidRPr="00430585">
        <w:rPr>
          <w:rFonts w:eastAsiaTheme="minorEastAsia"/>
          <w:b/>
          <w:szCs w:val="24"/>
          <w:lang w:eastAsia="ja-JP"/>
        </w:rPr>
        <w:tab/>
        <w:t>Example 5 “transport protocol translation for RTP bearer traffic”</w:t>
      </w:r>
      <w:bookmarkEnd w:id="64"/>
      <w:bookmarkEnd w:id="65"/>
    </w:p>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Table I.5 illustrates the example RTP-over-UDP to RTP-over-TCP interworking (but could be also RTP-over-UDP to RTP-over-DCCP, etc.).</w:t>
      </w:r>
    </w:p>
    <w:p w:rsidR="00430585" w:rsidRPr="00430585" w:rsidRDefault="00430585" w:rsidP="00430585">
      <w:pPr>
        <w:keepNext/>
        <w:keepLines/>
        <w:spacing w:before="360" w:after="120"/>
        <w:jc w:val="center"/>
        <w:rPr>
          <w:rFonts w:eastAsiaTheme="minorEastAsia"/>
          <w:b/>
          <w:lang w:eastAsia="zh-CN"/>
        </w:rPr>
      </w:pPr>
      <w:bookmarkStart w:id="66" w:name="_Toc346430920"/>
      <w:bookmarkStart w:id="67" w:name="_Toc346625672"/>
      <w:r w:rsidRPr="00430585">
        <w:rPr>
          <w:rFonts w:eastAsiaTheme="minorEastAsia"/>
          <w:b/>
          <w:lang w:eastAsia="ja-JP"/>
        </w:rPr>
        <w:t>Table I.5 – Example 5</w:t>
      </w:r>
      <w:bookmarkEnd w:id="66"/>
      <w:bookmarkEnd w:id="6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430585" w:rsidRPr="00430585" w:rsidTr="00FE386F">
        <w:trPr>
          <w:jc w:val="center"/>
        </w:trPr>
        <w:tc>
          <w:tcPr>
            <w:tcW w:w="6363"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ITU-T H.248 encoding (shortened command)</w:t>
            </w:r>
          </w:p>
        </w:tc>
        <w:tc>
          <w:tcPr>
            <w:tcW w:w="3276"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Comments</w:t>
            </w:r>
          </w:p>
        </w:tc>
      </w:tr>
      <w:tr w:rsidR="00430585" w:rsidRPr="00430585" w:rsidTr="00FE386F">
        <w:trPr>
          <w:jc w:val="center"/>
        </w:trPr>
        <w:tc>
          <w:tcPr>
            <w:tcW w:w="6363" w:type="dxa"/>
          </w:tcPr>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Ta</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&lt;port&gt; UDP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&lt;port&gt; UDP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Tb</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 xml:space="preserve"> 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&lt;port&gt; TCP/RTP/AVP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b/>
                <w:noProof/>
                <w:sz w:val="20"/>
                <w:szCs w:val="24"/>
                <w:lang w:eastAsia="ja-JP"/>
              </w:rPr>
              <w:t>m=- &lt;port&gt; TCP/RTP/AVP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tc>
        <w:tc>
          <w:tcPr>
            <w:tcW w:w="3276" w:type="dxa"/>
          </w:tcPr>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Stream endpoint SEP Ta/S1 is L4+ agnostic, the MG would be RTP unaware.</w:t>
            </w:r>
          </w:p>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However, SEP Tb/S1 indicates RTP as L4+ protocol.</w:t>
            </w:r>
          </w:p>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 complete settings lead to the conclusion of transport protocol translation for RTP bearer traffic.</w:t>
            </w:r>
          </w:p>
        </w:tc>
      </w:tr>
    </w:tbl>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Discussion/conclusions of example 5:</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That is a different signalling variant, but similar concerning conclusions as example 3.</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The MG would exclude the PP topology (because PP would be based on value “RTP/AVP” instead of “UDP” at Ta/S1 side.</w:t>
      </w:r>
    </w:p>
    <w:p w:rsid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ins w:id="68" w:author="ALU" w:date="2013-05-24T10:19:00Z"/>
          <w:rFonts w:eastAsiaTheme="minorEastAsia"/>
          <w:szCs w:val="24"/>
          <w:lang w:eastAsia="ja-JP"/>
        </w:rPr>
      </w:pPr>
      <w:r w:rsidRPr="00430585">
        <w:rPr>
          <w:rFonts w:eastAsiaTheme="minorEastAsia"/>
          <w:szCs w:val="24"/>
          <w:lang w:eastAsia="ja-JP"/>
        </w:rPr>
        <w:t>However, there are still two meaningful RTP translator options (TR and TF), thus, not unambiguous.</w:t>
      </w:r>
    </w:p>
    <w:p w:rsidR="001B64D9" w:rsidRPr="00430585" w:rsidRDefault="001B64D9"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69" w:author="ALU" w:date="2013-05-24T10:19:00Z">
        <w:r>
          <w:rPr>
            <w:rFonts w:eastAsiaTheme="minorEastAsia"/>
            <w:szCs w:val="24"/>
            <w:lang w:eastAsia="ja-JP"/>
          </w:rPr>
          <w:t>Thus, guaranteed t</w:t>
        </w:r>
        <w:r w:rsidRPr="00430585">
          <w:rPr>
            <w:rFonts w:eastAsiaTheme="minorEastAsia"/>
            <w:szCs w:val="24"/>
            <w:lang w:eastAsia="ja-JP"/>
          </w:rPr>
          <w:t>ransparent forwarding</w:t>
        </w:r>
      </w:ins>
      <w:ins w:id="70" w:author="ALU" w:date="2013-05-24T10:20:00Z">
        <w:r>
          <w:rPr>
            <w:rFonts w:eastAsiaTheme="minorEastAsia"/>
            <w:szCs w:val="24"/>
            <w:lang w:eastAsia="ja-JP"/>
          </w:rPr>
          <w:t xml:space="preserve"> would</w:t>
        </w:r>
      </w:ins>
      <w:ins w:id="71" w:author="ALU" w:date="2013-05-24T10:19:00Z">
        <w:r w:rsidRPr="00430585">
          <w:rPr>
            <w:rFonts w:eastAsiaTheme="minorEastAsia"/>
            <w:szCs w:val="24"/>
            <w:lang w:eastAsia="ja-JP"/>
          </w:rPr>
          <w:t xml:space="preserve"> require rather the explicit assignment of the TF topology</w:t>
        </w:r>
      </w:ins>
      <w:ins w:id="72" w:author="ALU" w:date="2013-05-24T10:20:00Z">
        <w:r>
          <w:rPr>
            <w:rFonts w:eastAsiaTheme="minorEastAsia"/>
            <w:szCs w:val="24"/>
            <w:lang w:eastAsia="ja-JP"/>
          </w:rPr>
          <w:t>-</w:t>
        </w:r>
      </w:ins>
    </w:p>
    <w:p w:rsidR="00430585" w:rsidRPr="00430585" w:rsidRDefault="00430585" w:rsidP="00430585">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73" w:name="_Toc346625606"/>
      <w:bookmarkStart w:id="74" w:name="_Toc346625660"/>
      <w:r w:rsidRPr="00430585">
        <w:rPr>
          <w:rFonts w:eastAsiaTheme="minorEastAsia"/>
          <w:b/>
          <w:szCs w:val="24"/>
          <w:lang w:eastAsia="ja-JP"/>
        </w:rPr>
        <w:t>I.3.6</w:t>
      </w:r>
      <w:r w:rsidRPr="00430585">
        <w:rPr>
          <w:rFonts w:eastAsiaTheme="minorEastAsia"/>
          <w:b/>
          <w:szCs w:val="24"/>
          <w:lang w:eastAsia="ja-JP"/>
        </w:rPr>
        <w:tab/>
        <w:t>Example 6 “transparent forwarding of encrypted RTP traffic”</w:t>
      </w:r>
      <w:bookmarkEnd w:id="73"/>
      <w:bookmarkEnd w:id="74"/>
    </w:p>
    <w:p w:rsidR="00430585" w:rsidRPr="00430585" w:rsidRDefault="007C19E4"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75" w:author="ALU" w:date="2013-05-24T10:23:00Z">
        <w:r>
          <w:rPr>
            <w:rFonts w:eastAsiaTheme="minorEastAsia"/>
            <w:szCs w:val="24"/>
            <w:lang w:eastAsia="ja-JP"/>
          </w:rPr>
          <w:t xml:space="preserve">This use case relates e.g. to so-called end-to-end media security scenarios where an </w:t>
        </w:r>
      </w:ins>
      <w:ins w:id="76" w:author="ALU" w:date="2013-05-24T10:24:00Z">
        <w:r>
          <w:rPr>
            <w:rFonts w:eastAsiaTheme="minorEastAsia"/>
            <w:szCs w:val="24"/>
            <w:lang w:eastAsia="ja-JP"/>
          </w:rPr>
          <w:t xml:space="preserve">IP-IP MG is located in the middle of the end-to-end SRTP-enabled RTP session. </w:t>
        </w:r>
      </w:ins>
      <w:ins w:id="77" w:author="ALU" w:date="2013-05-24T10:25:00Z">
        <w:r>
          <w:rPr>
            <w:rFonts w:eastAsiaTheme="minorEastAsia"/>
            <w:szCs w:val="24"/>
            <w:lang w:eastAsia="ja-JP"/>
          </w:rPr>
          <w:t xml:space="preserve">There are H.248 profiles which use the </w:t>
        </w:r>
        <w:r>
          <w:rPr>
            <w:rFonts w:eastAsiaTheme="minorEastAsia"/>
            <w:szCs w:val="24"/>
            <w:lang w:eastAsia="ja-JP"/>
          </w:rPr>
          <w:t>“</w:t>
        </w:r>
        <w:r>
          <w:rPr>
            <w:rFonts w:eastAsiaTheme="minorEastAsia"/>
            <w:szCs w:val="24"/>
            <w:lang w:eastAsia="ja-JP"/>
          </w:rPr>
          <w:t>m=</w:t>
        </w:r>
        <w:r>
          <w:rPr>
            <w:rFonts w:eastAsiaTheme="minorEastAsia"/>
            <w:szCs w:val="24"/>
            <w:lang w:eastAsia="ja-JP"/>
          </w:rPr>
          <w:t>”</w:t>
        </w:r>
        <w:r>
          <w:rPr>
            <w:rFonts w:eastAsiaTheme="minorEastAsia"/>
            <w:szCs w:val="24"/>
            <w:lang w:eastAsia="ja-JP"/>
          </w:rPr>
          <w:t xml:space="preserve"> line transport codepoint </w:t>
        </w:r>
        <w:r>
          <w:rPr>
            <w:rFonts w:eastAsiaTheme="minorEastAsia"/>
            <w:szCs w:val="24"/>
            <w:lang w:eastAsia="ja-JP"/>
          </w:rPr>
          <w:t>“</w:t>
        </w:r>
        <w:r>
          <w:rPr>
            <w:rFonts w:eastAsiaTheme="minorEastAsia"/>
            <w:szCs w:val="24"/>
            <w:lang w:eastAsia="ja-JP"/>
          </w:rPr>
          <w:t>RTP/SAVP</w:t>
        </w:r>
        <w:r>
          <w:rPr>
            <w:rFonts w:eastAsiaTheme="minorEastAsia"/>
            <w:szCs w:val="24"/>
            <w:lang w:eastAsia="ja-JP"/>
          </w:rPr>
          <w:t>”</w:t>
        </w:r>
        <w:r>
          <w:rPr>
            <w:rFonts w:eastAsiaTheme="minorEastAsia"/>
            <w:szCs w:val="24"/>
            <w:lang w:eastAsia="ja-JP"/>
          </w:rPr>
          <w:t xml:space="preserve"> for the indicatio</w:t>
        </w:r>
      </w:ins>
      <w:ins w:id="78" w:author="ALU" w:date="2013-05-24T10:26:00Z">
        <w:r>
          <w:rPr>
            <w:rFonts w:eastAsiaTheme="minorEastAsia"/>
            <w:szCs w:val="24"/>
            <w:lang w:eastAsia="ja-JP"/>
          </w:rPr>
          <w:t>n of SRTP traffic to the MG, s</w:t>
        </w:r>
      </w:ins>
      <w:del w:id="79" w:author="ALU" w:date="2013-05-24T10:26:00Z">
        <w:r w:rsidR="00430585" w:rsidRPr="00430585" w:rsidDel="007C19E4">
          <w:rPr>
            <w:rFonts w:eastAsiaTheme="minorEastAsia"/>
            <w:szCs w:val="24"/>
            <w:lang w:eastAsia="ja-JP"/>
          </w:rPr>
          <w:delText>S</w:delText>
        </w:r>
      </w:del>
      <w:r w:rsidR="00430585" w:rsidRPr="00430585">
        <w:rPr>
          <w:rFonts w:eastAsiaTheme="minorEastAsia"/>
          <w:szCs w:val="24"/>
          <w:lang w:eastAsia="ja-JP"/>
        </w:rPr>
        <w:t>ee Table I.6:</w:t>
      </w:r>
    </w:p>
    <w:p w:rsidR="00430585" w:rsidRPr="00430585" w:rsidRDefault="00430585" w:rsidP="00430585">
      <w:pPr>
        <w:keepNext/>
        <w:keepLines/>
        <w:spacing w:before="360" w:after="120"/>
        <w:jc w:val="center"/>
        <w:rPr>
          <w:rFonts w:eastAsiaTheme="minorEastAsia"/>
          <w:b/>
          <w:lang w:eastAsia="zh-CN"/>
        </w:rPr>
      </w:pPr>
      <w:bookmarkStart w:id="80" w:name="_Toc346430921"/>
      <w:bookmarkStart w:id="81" w:name="_Toc346625673"/>
      <w:r w:rsidRPr="00430585">
        <w:rPr>
          <w:rFonts w:eastAsiaTheme="minorEastAsia"/>
          <w:b/>
          <w:lang w:eastAsia="ja-JP"/>
        </w:rPr>
        <w:lastRenderedPageBreak/>
        <w:t>Table I.6 – Example 6</w:t>
      </w:r>
      <w:bookmarkEnd w:id="80"/>
      <w:bookmarkEnd w:id="8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430585" w:rsidRPr="00430585" w:rsidTr="00FE386F">
        <w:trPr>
          <w:jc w:val="center"/>
        </w:trPr>
        <w:tc>
          <w:tcPr>
            <w:tcW w:w="6363"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ITU-T H.248 encoding (shortened command)</w:t>
            </w:r>
          </w:p>
        </w:tc>
        <w:tc>
          <w:tcPr>
            <w:tcW w:w="3276" w:type="dxa"/>
            <w:vAlign w:val="center"/>
          </w:tcPr>
          <w:p w:rsidR="00430585" w:rsidRPr="00430585" w:rsidRDefault="00430585" w:rsidP="0043058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Theme="minorEastAsia"/>
                <w:b/>
                <w:sz w:val="22"/>
                <w:szCs w:val="24"/>
                <w:lang w:eastAsia="ja-JP"/>
              </w:rPr>
            </w:pPr>
            <w:r w:rsidRPr="00430585">
              <w:rPr>
                <w:rFonts w:eastAsiaTheme="minorEastAsia"/>
                <w:b/>
                <w:sz w:val="22"/>
                <w:szCs w:val="24"/>
                <w:lang w:eastAsia="ja-JP"/>
              </w:rPr>
              <w:t>Comments</w:t>
            </w:r>
          </w:p>
        </w:tc>
      </w:tr>
      <w:tr w:rsidR="00430585" w:rsidRPr="00430585" w:rsidTr="00FE386F">
        <w:trPr>
          <w:jc w:val="center"/>
        </w:trPr>
        <w:tc>
          <w:tcPr>
            <w:tcW w:w="6363" w:type="dxa"/>
          </w:tcPr>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Ta</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noProof/>
                <w:sz w:val="20"/>
                <w:szCs w:val="24"/>
                <w:lang w:val="fr-FR" w:eastAsia="ja-JP"/>
              </w:rPr>
              <w:t>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b/>
                <w:noProof/>
                <w:sz w:val="20"/>
                <w:szCs w:val="24"/>
                <w:lang w:val="fr-FR" w:eastAsia="ja-JP"/>
              </w:rPr>
              <w:t>m=- &lt;port&gt; RTP/SAVP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b/>
                <w:noProof/>
                <w:sz w:val="20"/>
                <w:szCs w:val="24"/>
                <w:lang w:val="fr-FR" w:eastAsia="ja-JP"/>
              </w:rPr>
              <w:t>m=- &lt;port&gt; RTP/SAVP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noProof/>
                <w:sz w:val="20"/>
                <w:szCs w:val="24"/>
                <w:lang w:eastAsia="ja-JP"/>
              </w:rPr>
              <w:t>}</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Add  = ip/$  ; Termination </w:t>
            </w:r>
            <w:r w:rsidRPr="00430585">
              <w:rPr>
                <w:rFonts w:ascii="Courier New" w:eastAsiaTheme="minorEastAsia" w:hAnsi="Courier New"/>
                <w:b/>
                <w:noProof/>
                <w:sz w:val="20"/>
                <w:szCs w:val="24"/>
                <w:lang w:eastAsia="ja-JP"/>
              </w:rPr>
              <w:t>Tb</w:t>
            </w:r>
            <w:r w:rsidRPr="00430585">
              <w:rPr>
                <w:rFonts w:ascii="Courier New" w:eastAsiaTheme="minorEastAsia" w:hAnsi="Courier New"/>
                <w:noProof/>
                <w:sz w:val="20"/>
                <w:szCs w:val="24"/>
                <w:lang w:eastAsia="ja-JP"/>
              </w:rPr>
              <w:t xml:space="preserve">, SEP </w:t>
            </w:r>
            <w:r w:rsidRPr="00430585">
              <w:rPr>
                <w:rFonts w:ascii="Courier New" w:eastAsiaTheme="minorEastAsia" w:hAnsi="Courier New"/>
                <w:b/>
                <w:noProof/>
                <w:sz w:val="20"/>
                <w:szCs w:val="24"/>
                <w:lang w:eastAsia="ja-JP"/>
              </w:rPr>
              <w:t>S1</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 xml:space="preserve">… Stream = 1 { </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LocalControl {&lt;”</w:t>
            </w:r>
            <w:r w:rsidRPr="00430585">
              <w:rPr>
                <w:rFonts w:ascii="Courier New" w:eastAsia="Times New Roman" w:hAnsi="Courier New"/>
                <w:i/>
                <w:sz w:val="20"/>
                <w:szCs w:val="24"/>
                <w:lang w:eastAsia="ja-JP"/>
              </w:rPr>
              <w:t xml:space="preserve"> 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eastAsia="ja-JP"/>
              </w:rPr>
              <w:t xml:space="preserve">   </w:t>
            </w:r>
            <w:r w:rsidRPr="00430585">
              <w:rPr>
                <w:rFonts w:ascii="Courier New" w:eastAsiaTheme="minorEastAsia" w:hAnsi="Courier New"/>
                <w:noProof/>
                <w:sz w:val="20"/>
                <w:szCs w:val="24"/>
                <w:lang w:val="fr-FR" w:eastAsia="ja-JP"/>
              </w:rPr>
              <w:t>Local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b/>
                <w:noProof/>
                <w:sz w:val="20"/>
                <w:szCs w:val="24"/>
                <w:lang w:val="fr-FR" w:eastAsia="ja-JP"/>
              </w:rPr>
              <w:t>m=- &lt;port&gt; RTP/SAVP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val="fr-FR" w:eastAsia="ja-JP"/>
              </w:rPr>
            </w:pPr>
            <w:r w:rsidRPr="00430585">
              <w:rPr>
                <w:rFonts w:ascii="Courier New" w:eastAsiaTheme="minorEastAsia" w:hAnsi="Courier New"/>
                <w:noProof/>
                <w:sz w:val="20"/>
                <w:szCs w:val="24"/>
                <w:lang w:val="fr-FR" w:eastAsia="ja-JP"/>
              </w:rPr>
              <w:t xml:space="preserve">   Remote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b/>
                <w:noProof/>
                <w:sz w:val="20"/>
                <w:szCs w:val="24"/>
                <w:lang w:val="fr-FR"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b/>
                <w:noProof/>
                <w:sz w:val="20"/>
                <w:szCs w:val="24"/>
                <w:lang w:val="fr-FR" w:eastAsia="ja-JP"/>
              </w:rPr>
              <w:t>m=- &lt;port&gt; RTP/SAVP -</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val="fr-FR" w:eastAsia="ja-JP"/>
              </w:rPr>
              <w:t xml:space="preserve">   </w:t>
            </w:r>
            <w:r w:rsidRPr="00430585">
              <w:rPr>
                <w:rFonts w:ascii="Courier New" w:eastAsiaTheme="minorEastAsia" w:hAnsi="Courier New"/>
                <w:noProof/>
                <w:sz w:val="20"/>
                <w:szCs w:val="24"/>
                <w:lang w:eastAsia="ja-JP"/>
              </w:rPr>
              <w:t>}</w:t>
            </w:r>
          </w:p>
          <w:p w:rsidR="00430585" w:rsidRPr="00430585" w:rsidRDefault="00430585" w:rsidP="00430585">
            <w:pPr>
              <w:keepLines/>
              <w:tabs>
                <w:tab w:val="clear" w:pos="794"/>
                <w:tab w:val="clear" w:pos="1191"/>
                <w:tab w:val="clear" w:pos="1588"/>
                <w:tab w:val="clear" w:pos="1985"/>
              </w:tabs>
              <w:overflowPunct/>
              <w:autoSpaceDE/>
              <w:autoSpaceDN/>
              <w:adjustRightInd/>
              <w:spacing w:before="0" w:line="260" w:lineRule="atLeast"/>
              <w:jc w:val="both"/>
              <w:textAlignment w:val="auto"/>
              <w:rPr>
                <w:rFonts w:ascii="Courier New" w:eastAsia="Times New Roman" w:hAnsi="Courier New"/>
                <w:sz w:val="20"/>
                <w:szCs w:val="24"/>
                <w:lang w:eastAsia="ja-JP"/>
              </w:rPr>
            </w:pPr>
            <w:r w:rsidRPr="00430585">
              <w:rPr>
                <w:rFonts w:ascii="Courier New" w:eastAsia="Times New Roman" w:hAnsi="Courier New"/>
                <w:sz w:val="20"/>
                <w:szCs w:val="24"/>
                <w:lang w:eastAsia="ja-JP"/>
              </w:rPr>
              <w:t xml:space="preserve"> </w:t>
            </w:r>
            <w:proofErr w:type="gramStart"/>
            <w:r w:rsidRPr="00430585">
              <w:rPr>
                <w:rFonts w:ascii="Courier New" w:eastAsia="Times New Roman" w:hAnsi="Courier New"/>
                <w:i/>
                <w:sz w:val="20"/>
                <w:szCs w:val="24"/>
                <w:lang w:eastAsia="ja-JP"/>
              </w:rPr>
              <w:t>other</w:t>
            </w:r>
            <w:proofErr w:type="gramEnd"/>
            <w:r w:rsidRPr="00430585">
              <w:rPr>
                <w:rFonts w:ascii="Courier New" w:eastAsia="Times New Roman" w:hAnsi="Courier New"/>
                <w:i/>
                <w:sz w:val="20"/>
                <w:szCs w:val="24"/>
                <w:lang w:eastAsia="ja-JP"/>
              </w:rPr>
              <w:t xml:space="preserve"> Descriptors</w:t>
            </w:r>
            <w:r w:rsidRPr="00430585">
              <w:rPr>
                <w:rFonts w:ascii="Courier New" w:eastAsia="Times New Roman" w:hAnsi="Courier New"/>
                <w:sz w:val="20"/>
                <w:szCs w:val="24"/>
                <w:lang w:eastAsia="ja-JP"/>
              </w:rPr>
              <w:t>{&lt;”</w:t>
            </w:r>
            <w:r w:rsidRPr="00430585">
              <w:rPr>
                <w:rFonts w:ascii="Courier New" w:eastAsia="Times New Roman" w:hAnsi="Courier New"/>
                <w:i/>
                <w:sz w:val="20"/>
                <w:szCs w:val="24"/>
                <w:lang w:eastAsia="ja-JP"/>
              </w:rPr>
              <w:t>RTP impacting elements Y/N?</w:t>
            </w:r>
            <w:r w:rsidRPr="00430585">
              <w:rPr>
                <w:rFonts w:ascii="Courier New" w:eastAsia="Times New Roman" w:hAnsi="Courier New"/>
                <w:sz w:val="20"/>
                <w:szCs w:val="24"/>
                <w:lang w:eastAsia="ja-JP"/>
              </w:rPr>
              <w:t>”&gt;}</w:t>
            </w:r>
          </w:p>
          <w:p w:rsidR="00430585" w:rsidRPr="00430585" w:rsidRDefault="00430585" w:rsidP="0043058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rPr>
                <w:rFonts w:ascii="Courier New" w:eastAsiaTheme="minorEastAsia" w:hAnsi="Courier New"/>
                <w:noProof/>
                <w:sz w:val="20"/>
                <w:szCs w:val="24"/>
                <w:lang w:eastAsia="ja-JP"/>
              </w:rPr>
            </w:pPr>
            <w:r w:rsidRPr="00430585">
              <w:rPr>
                <w:rFonts w:ascii="Courier New" w:eastAsiaTheme="minorEastAsia" w:hAnsi="Courier New"/>
                <w:noProof/>
                <w:sz w:val="20"/>
                <w:szCs w:val="24"/>
                <w:lang w:eastAsia="ja-JP"/>
              </w:rPr>
              <w:t>…}</w:t>
            </w:r>
          </w:p>
        </w:tc>
        <w:tc>
          <w:tcPr>
            <w:tcW w:w="3276" w:type="dxa"/>
          </w:tcPr>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SRTP traffic is indicated by the “m=” line, in a media agnostic manner.</w:t>
            </w:r>
          </w:p>
          <w:p w:rsidR="00430585" w:rsidRPr="00430585" w:rsidRDefault="00430585" w:rsidP="00430585">
            <w:pPr>
              <w:tabs>
                <w:tab w:val="clear" w:pos="794"/>
                <w:tab w:val="clear" w:pos="1191"/>
                <w:tab w:val="clear" w:pos="1588"/>
                <w:tab w:val="clear" w:pos="1985"/>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eastAsiaTheme="minorEastAsia"/>
                <w:sz w:val="22"/>
                <w:szCs w:val="24"/>
                <w:lang w:eastAsia="ja-JP"/>
              </w:rPr>
            </w:pPr>
            <w:r w:rsidRPr="00430585">
              <w:rPr>
                <w:rFonts w:eastAsiaTheme="minorEastAsia"/>
                <w:sz w:val="22"/>
                <w:szCs w:val="24"/>
                <w:lang w:eastAsia="ja-JP"/>
              </w:rPr>
              <w:t>The complete settings lead to the conclusion of transparent forwarding of SRTP bearer traffic.</w:t>
            </w:r>
          </w:p>
        </w:tc>
      </w:tr>
    </w:tbl>
    <w:p w:rsidR="00430585" w:rsidRPr="00430585" w:rsidRDefault="00430585" w:rsidP="00430585">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Discussion/conclusions of example 6:</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There could be an ambiguous situation without explicit RTP topology indication (e.g. MG could conclude B2BRE (= PP)), which would be </w:t>
      </w:r>
      <w:r w:rsidRPr="00430585">
        <w:rPr>
          <w:rFonts w:eastAsiaTheme="minorEastAsia"/>
          <w:color w:val="FF0000"/>
          <w:szCs w:val="24"/>
          <w:lang w:eastAsia="ja-JP"/>
        </w:rPr>
        <w:t>controversial</w:t>
      </w:r>
      <w:r w:rsidRPr="00430585">
        <w:rPr>
          <w:rFonts w:eastAsiaTheme="minorEastAsia"/>
          <w:szCs w:val="24"/>
          <w:lang w:eastAsia="ja-JP"/>
        </w:rPr>
        <w:t>.</w:t>
      </w:r>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Required would be a transparent forwarding behaviour, which would be satisfied by RTPTT and TF topologies. </w:t>
      </w:r>
      <w:commentRangeStart w:id="82"/>
      <w:del w:id="83" w:author="ALU" w:date="2013-05-24T10:28:00Z">
        <w:r w:rsidRPr="00430585" w:rsidDel="007C19E4">
          <w:rPr>
            <w:rFonts w:eastAsiaTheme="minorEastAsia"/>
            <w:strike/>
            <w:szCs w:val="24"/>
            <w:lang w:eastAsia="ja-JP"/>
          </w:rPr>
          <w:delText xml:space="preserve">RTPMT might be ambiguous because there shall not be any type of media translation function. However, property value </w:delText>
        </w:r>
        <w:r w:rsidRPr="00430585" w:rsidDel="007C19E4">
          <w:rPr>
            <w:rFonts w:eastAsiaTheme="minorEastAsia"/>
            <w:i/>
            <w:strike/>
            <w:szCs w:val="24"/>
            <w:lang w:eastAsia="ja-JP"/>
          </w:rPr>
          <w:delText>rtpt/rtptopo = TR</w:delText>
        </w:r>
        <w:r w:rsidRPr="00430585" w:rsidDel="007C19E4">
          <w:rPr>
            <w:rFonts w:eastAsiaTheme="minorEastAsia"/>
            <w:strike/>
            <w:szCs w:val="24"/>
            <w:lang w:eastAsia="ja-JP"/>
          </w:rPr>
          <w:delText xml:space="preserve"> covers both, RTPTT and RTPMT.</w:delText>
        </w:r>
        <w:commentRangeEnd w:id="82"/>
        <w:r w:rsidRPr="00430585" w:rsidDel="007C19E4">
          <w:rPr>
            <w:rFonts w:eastAsiaTheme="minorEastAsia"/>
            <w:sz w:val="21"/>
            <w:szCs w:val="24"/>
            <w:lang w:eastAsia="ja-JP"/>
          </w:rPr>
          <w:commentReference w:id="82"/>
        </w:r>
      </w:del>
    </w:p>
    <w:p w:rsidR="00430585" w:rsidRPr="00430585" w:rsidRDefault="00430585" w:rsidP="00430585">
      <w:pPr>
        <w:numPr>
          <w:ilvl w:val="0"/>
          <w:numId w:val="24"/>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30585">
        <w:rPr>
          <w:rFonts w:eastAsiaTheme="minorEastAsia"/>
          <w:szCs w:val="24"/>
          <w:lang w:eastAsia="ja-JP"/>
        </w:rPr>
        <w:t xml:space="preserve">Solution: unambiguous semantic by explicit indication of </w:t>
      </w:r>
      <w:r w:rsidRPr="00430585">
        <w:rPr>
          <w:rFonts w:eastAsiaTheme="minorEastAsia"/>
          <w:i/>
          <w:szCs w:val="24"/>
          <w:lang w:eastAsia="ja-JP"/>
        </w:rPr>
        <w:t>rtpt/rtptopo = TF.</w:t>
      </w:r>
    </w:p>
    <w:p w:rsidR="00284A0E" w:rsidRDefault="001514BE" w:rsidP="00284A0E">
      <w:pPr>
        <w:pStyle w:val="Correctionend"/>
        <w:rPr>
          <w:lang w:val="en-GB"/>
        </w:rPr>
      </w:pPr>
      <w:r>
        <w:rPr>
          <w:lang w:val="en-GB"/>
        </w:rPr>
        <w:t xml:space="preserve"> </w:t>
      </w:r>
      <w:r w:rsidR="00284A0E">
        <w:rPr>
          <w:lang w:val="en-GB"/>
        </w:rPr>
        <w:t>[End Proposed Correction]</w:t>
      </w:r>
    </w:p>
    <w:p w:rsidR="00C049A9" w:rsidRDefault="00C049A9" w:rsidP="00C049A9">
      <w:pPr>
        <w:jc w:val="center"/>
      </w:pPr>
      <w:r>
        <w:t>____________________</w:t>
      </w:r>
    </w:p>
    <w:sectPr w:rsidR="00C049A9"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2" w:author="Editor" w:date="2013-05-16T16:21:00Z" w:initials="ABS">
    <w:p w:rsidR="009D4885" w:rsidRDefault="009D4885" w:rsidP="00430585">
      <w:pPr>
        <w:pStyle w:val="CommentText"/>
      </w:pPr>
      <w:r>
        <w:rPr>
          <w:rStyle w:val="CommentReference"/>
        </w:rPr>
        <w:annotationRef/>
      </w:r>
      <w:r>
        <w:t>RTPMT would relate to another example, with "meda aware" "m=" lines. I.d., the values of media type and media format would be fully specified, and must be identical in all four descriptors.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885" w:rsidRDefault="009D4885">
      <w:r>
        <w:separator/>
      </w:r>
    </w:p>
  </w:endnote>
  <w:endnote w:type="continuationSeparator" w:id="0">
    <w:p w:rsidR="009D4885" w:rsidRDefault="009D48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9D4885" w:rsidRPr="007D5DAA" w:rsidTr="00A23348">
      <w:trPr>
        <w:cantSplit/>
        <w:trHeight w:val="204"/>
      </w:trPr>
      <w:tc>
        <w:tcPr>
          <w:tcW w:w="1617" w:type="dxa"/>
          <w:tcBorders>
            <w:top w:val="single" w:sz="12" w:space="0" w:color="auto"/>
          </w:tcBorders>
        </w:tcPr>
        <w:p w:rsidR="009D4885" w:rsidRPr="007D5DAA" w:rsidRDefault="009D4885" w:rsidP="00A23348">
          <w:pPr>
            <w:rPr>
              <w:b/>
              <w:bCs/>
              <w:sz w:val="20"/>
              <w:lang w:val="de-DE"/>
            </w:rPr>
          </w:pPr>
          <w:r w:rsidRPr="007D5DAA">
            <w:rPr>
              <w:b/>
              <w:bCs/>
              <w:sz w:val="20"/>
              <w:lang w:val="de-DE"/>
            </w:rPr>
            <w:t>Contact:</w:t>
          </w:r>
        </w:p>
      </w:tc>
      <w:tc>
        <w:tcPr>
          <w:tcW w:w="4394" w:type="dxa"/>
          <w:tcBorders>
            <w:top w:val="single" w:sz="12" w:space="0" w:color="auto"/>
          </w:tcBorders>
        </w:tcPr>
        <w:p w:rsidR="009D4885" w:rsidRPr="007D5DAA" w:rsidRDefault="009D4885" w:rsidP="00A23348">
          <w:pPr>
            <w:pStyle w:val="Headingb"/>
            <w:spacing w:before="120"/>
            <w:rPr>
              <w:bCs/>
              <w:smallCaps/>
              <w:sz w:val="20"/>
              <w:lang w:val="de-DE"/>
            </w:rPr>
          </w:pPr>
          <w:r w:rsidRPr="007D5DAA">
            <w:rPr>
              <w:bCs/>
              <w:smallCaps/>
              <w:sz w:val="20"/>
              <w:lang w:val="de-DE"/>
            </w:rPr>
            <w:t>Albrecht Schwarz</w:t>
          </w:r>
        </w:p>
        <w:p w:rsidR="009D4885" w:rsidRPr="007D5DAA" w:rsidRDefault="009D4885" w:rsidP="00A23348">
          <w:pPr>
            <w:spacing w:before="0"/>
            <w:rPr>
              <w:sz w:val="20"/>
              <w:lang w:val="de-DE"/>
            </w:rPr>
          </w:pPr>
          <w:r w:rsidRPr="007D5DAA">
            <w:rPr>
              <w:sz w:val="20"/>
              <w:lang w:val="de-DE"/>
            </w:rPr>
            <w:t>ALCATEL-LUCENT</w:t>
          </w:r>
        </w:p>
        <w:p w:rsidR="009D4885" w:rsidRPr="007D5DAA" w:rsidRDefault="009D4885" w:rsidP="00A23348">
          <w:pPr>
            <w:spacing w:before="0"/>
            <w:rPr>
              <w:sz w:val="20"/>
              <w:lang w:val="de-DE"/>
            </w:rPr>
          </w:pPr>
          <w:r w:rsidRPr="007D5DAA">
            <w:rPr>
              <w:sz w:val="20"/>
              <w:lang w:val="de-DE"/>
            </w:rPr>
            <w:t>Germany</w:t>
          </w:r>
        </w:p>
      </w:tc>
      <w:tc>
        <w:tcPr>
          <w:tcW w:w="3912" w:type="dxa"/>
          <w:tcBorders>
            <w:top w:val="single" w:sz="12" w:space="0" w:color="auto"/>
          </w:tcBorders>
        </w:tcPr>
        <w:p w:rsidR="009D4885" w:rsidRPr="007D5DAA" w:rsidRDefault="009D4885" w:rsidP="00A23348">
          <w:pPr>
            <w:rPr>
              <w:sz w:val="20"/>
              <w:lang w:val="fr-FR"/>
            </w:rPr>
          </w:pPr>
          <w:r w:rsidRPr="007D5DAA">
            <w:rPr>
              <w:sz w:val="20"/>
              <w:lang w:val="fr-FR"/>
            </w:rPr>
            <w:t xml:space="preserve">Tel: </w:t>
          </w:r>
          <w:r w:rsidRPr="007D5DAA">
            <w:rPr>
              <w:sz w:val="20"/>
              <w:lang w:val="fr-FR"/>
            </w:rPr>
            <w:tab/>
            <w:t>+49-711-821-41425</w:t>
          </w:r>
        </w:p>
        <w:p w:rsidR="009D4885" w:rsidRPr="007D5DAA" w:rsidRDefault="009D4885" w:rsidP="00A23348">
          <w:pPr>
            <w:spacing w:before="0"/>
            <w:rPr>
              <w:sz w:val="20"/>
              <w:lang w:val="fr-FR"/>
            </w:rPr>
          </w:pPr>
          <w:r w:rsidRPr="007D5DAA">
            <w:rPr>
              <w:sz w:val="20"/>
              <w:lang w:val="fr-FR"/>
            </w:rPr>
            <w:t xml:space="preserve">Fax: </w:t>
          </w:r>
          <w:r w:rsidRPr="007D5DAA">
            <w:rPr>
              <w:sz w:val="20"/>
              <w:lang w:val="fr-FR"/>
            </w:rPr>
            <w:tab/>
            <w:t>+49-711-821-40017</w:t>
          </w:r>
        </w:p>
        <w:p w:rsidR="009D4885" w:rsidRPr="007D5DAA" w:rsidRDefault="009D488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9D4885" w:rsidRPr="007D5DAA" w:rsidTr="00A23348">
      <w:trPr>
        <w:cantSplit/>
        <w:trHeight w:val="204"/>
      </w:trPr>
      <w:tc>
        <w:tcPr>
          <w:tcW w:w="1617" w:type="dxa"/>
          <w:tcBorders>
            <w:top w:val="single" w:sz="12" w:space="0" w:color="auto"/>
          </w:tcBorders>
        </w:tcPr>
        <w:p w:rsidR="009D4885" w:rsidRPr="007D5DAA" w:rsidRDefault="009D4885" w:rsidP="00A23348">
          <w:pPr>
            <w:rPr>
              <w:b/>
              <w:bCs/>
              <w:sz w:val="20"/>
              <w:lang w:val="fr-FR"/>
            </w:rPr>
          </w:pPr>
          <w:r w:rsidRPr="007D5DAA">
            <w:rPr>
              <w:b/>
              <w:bCs/>
              <w:sz w:val="20"/>
              <w:lang w:val="fr-FR"/>
            </w:rPr>
            <w:t>Contact:</w:t>
          </w:r>
        </w:p>
      </w:tc>
      <w:tc>
        <w:tcPr>
          <w:tcW w:w="4394" w:type="dxa"/>
          <w:tcBorders>
            <w:top w:val="single" w:sz="12" w:space="0" w:color="auto"/>
          </w:tcBorders>
        </w:tcPr>
        <w:p w:rsidR="009D4885" w:rsidRPr="0091683D" w:rsidRDefault="009D4885" w:rsidP="00A23348">
          <w:pPr>
            <w:pStyle w:val="Headingb"/>
            <w:spacing w:before="120"/>
            <w:rPr>
              <w:bCs/>
              <w:smallCaps/>
              <w:sz w:val="20"/>
              <w:lang w:val="de-DE"/>
            </w:rPr>
          </w:pPr>
          <w:r w:rsidRPr="0091683D">
            <w:rPr>
              <w:bCs/>
              <w:smallCaps/>
              <w:sz w:val="20"/>
              <w:lang w:val="de-DE"/>
            </w:rPr>
            <w:t>Juergen Stoetzer-Bradler</w:t>
          </w:r>
        </w:p>
        <w:p w:rsidR="009D4885" w:rsidRPr="0091683D" w:rsidRDefault="009D4885" w:rsidP="00A23348">
          <w:pPr>
            <w:spacing w:before="0"/>
            <w:rPr>
              <w:sz w:val="20"/>
              <w:lang w:val="de-DE"/>
            </w:rPr>
          </w:pPr>
          <w:r w:rsidRPr="0091683D">
            <w:rPr>
              <w:sz w:val="20"/>
              <w:lang w:val="de-DE"/>
            </w:rPr>
            <w:t>ALCATEL-LUCENT</w:t>
          </w:r>
        </w:p>
        <w:p w:rsidR="009D4885" w:rsidRPr="0091683D" w:rsidRDefault="009D4885" w:rsidP="00A23348">
          <w:pPr>
            <w:spacing w:before="0"/>
            <w:rPr>
              <w:sz w:val="20"/>
              <w:lang w:val="de-DE"/>
            </w:rPr>
          </w:pPr>
          <w:r w:rsidRPr="0091683D">
            <w:rPr>
              <w:sz w:val="20"/>
              <w:lang w:val="de-DE"/>
            </w:rPr>
            <w:t>Germany</w:t>
          </w:r>
        </w:p>
      </w:tc>
      <w:tc>
        <w:tcPr>
          <w:tcW w:w="3912" w:type="dxa"/>
          <w:tcBorders>
            <w:top w:val="single" w:sz="12" w:space="0" w:color="auto"/>
          </w:tcBorders>
        </w:tcPr>
        <w:p w:rsidR="009D4885" w:rsidRPr="007D5DAA" w:rsidRDefault="009D4885" w:rsidP="00A23348">
          <w:pPr>
            <w:rPr>
              <w:sz w:val="20"/>
              <w:lang w:val="fr-FR"/>
            </w:rPr>
          </w:pPr>
          <w:r w:rsidRPr="007D5DAA">
            <w:rPr>
              <w:sz w:val="20"/>
              <w:lang w:val="fr-FR"/>
            </w:rPr>
            <w:t xml:space="preserve">Tel: </w:t>
          </w:r>
          <w:r w:rsidRPr="007D5DAA">
            <w:rPr>
              <w:sz w:val="20"/>
              <w:lang w:val="fr-FR"/>
            </w:rPr>
            <w:tab/>
            <w:t>+49-711-821-45398</w:t>
          </w:r>
        </w:p>
        <w:p w:rsidR="009D4885" w:rsidRPr="007D5DAA" w:rsidRDefault="009D4885" w:rsidP="00A23348">
          <w:pPr>
            <w:spacing w:before="0"/>
            <w:rPr>
              <w:sz w:val="20"/>
              <w:lang w:val="fr-FR"/>
            </w:rPr>
          </w:pPr>
          <w:r w:rsidRPr="007D5DAA">
            <w:rPr>
              <w:sz w:val="20"/>
              <w:lang w:val="fr-FR"/>
            </w:rPr>
            <w:t xml:space="preserve">Fax: </w:t>
          </w:r>
          <w:r w:rsidRPr="007D5DAA">
            <w:rPr>
              <w:sz w:val="20"/>
              <w:lang w:val="fr-FR"/>
            </w:rPr>
            <w:tab/>
            <w:t>+49-711-821-40247</w:t>
          </w:r>
        </w:p>
        <w:p w:rsidR="009D4885" w:rsidRPr="007D5DAA" w:rsidRDefault="009D488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9D4885" w:rsidRPr="007D5DAA" w:rsidTr="00A23348">
      <w:trPr>
        <w:cantSplit/>
        <w:trHeight w:val="204"/>
      </w:trPr>
      <w:tc>
        <w:tcPr>
          <w:tcW w:w="1617" w:type="dxa"/>
          <w:tcBorders>
            <w:top w:val="single" w:sz="12" w:space="0" w:color="auto"/>
          </w:tcBorders>
        </w:tcPr>
        <w:p w:rsidR="009D4885" w:rsidRPr="007D5DAA" w:rsidRDefault="009D4885" w:rsidP="00A23348">
          <w:pPr>
            <w:rPr>
              <w:b/>
              <w:bCs/>
              <w:sz w:val="20"/>
              <w:lang w:val="en-US"/>
            </w:rPr>
          </w:pPr>
          <w:r w:rsidRPr="007D5DAA">
            <w:rPr>
              <w:b/>
              <w:bCs/>
              <w:sz w:val="20"/>
              <w:lang w:val="en-US"/>
            </w:rPr>
            <w:t>Contact:</w:t>
          </w:r>
        </w:p>
      </w:tc>
      <w:tc>
        <w:tcPr>
          <w:tcW w:w="4394" w:type="dxa"/>
          <w:tcBorders>
            <w:top w:val="single" w:sz="12" w:space="0" w:color="auto"/>
          </w:tcBorders>
        </w:tcPr>
        <w:p w:rsidR="009D4885" w:rsidRPr="007D5DAA" w:rsidRDefault="009D4885" w:rsidP="00A23348">
          <w:pPr>
            <w:pStyle w:val="Headingb"/>
            <w:spacing w:before="120"/>
            <w:rPr>
              <w:bCs/>
              <w:smallCaps/>
              <w:sz w:val="20"/>
              <w:lang w:val="de-DE"/>
            </w:rPr>
          </w:pPr>
          <w:r w:rsidRPr="007D5DAA">
            <w:rPr>
              <w:bCs/>
              <w:smallCaps/>
              <w:sz w:val="20"/>
              <w:lang w:val="de-DE"/>
            </w:rPr>
            <w:t>Carsten Waitzmann</w:t>
          </w:r>
        </w:p>
        <w:p w:rsidR="009D4885" w:rsidRPr="007D5DAA" w:rsidRDefault="009D4885" w:rsidP="00A23348">
          <w:pPr>
            <w:spacing w:before="0"/>
            <w:rPr>
              <w:sz w:val="20"/>
              <w:lang w:val="de-DE"/>
            </w:rPr>
          </w:pPr>
          <w:r w:rsidRPr="007D5DAA">
            <w:rPr>
              <w:sz w:val="20"/>
              <w:lang w:val="de-DE"/>
            </w:rPr>
            <w:t>ALCATEL-LUCENT</w:t>
          </w:r>
        </w:p>
        <w:p w:rsidR="009D4885" w:rsidRPr="007D5DAA" w:rsidRDefault="009D4885" w:rsidP="00A23348">
          <w:pPr>
            <w:spacing w:before="0"/>
            <w:rPr>
              <w:sz w:val="20"/>
              <w:lang w:val="de-DE"/>
            </w:rPr>
          </w:pPr>
          <w:r w:rsidRPr="007D5DAA">
            <w:rPr>
              <w:sz w:val="20"/>
              <w:lang w:val="de-DE"/>
            </w:rPr>
            <w:t>Germany</w:t>
          </w:r>
        </w:p>
      </w:tc>
      <w:tc>
        <w:tcPr>
          <w:tcW w:w="3912" w:type="dxa"/>
          <w:tcBorders>
            <w:top w:val="single" w:sz="12" w:space="0" w:color="auto"/>
          </w:tcBorders>
        </w:tcPr>
        <w:p w:rsidR="009D4885" w:rsidRPr="007D5DAA" w:rsidRDefault="009D4885" w:rsidP="00A23348">
          <w:pPr>
            <w:rPr>
              <w:sz w:val="20"/>
              <w:lang w:val="fr-FR"/>
            </w:rPr>
          </w:pPr>
          <w:r w:rsidRPr="007D5DAA">
            <w:rPr>
              <w:sz w:val="20"/>
              <w:lang w:val="fr-FR"/>
            </w:rPr>
            <w:t xml:space="preserve">Tel: </w:t>
          </w:r>
          <w:r w:rsidRPr="007D5DAA">
            <w:rPr>
              <w:sz w:val="20"/>
              <w:lang w:val="fr-FR"/>
            </w:rPr>
            <w:tab/>
            <w:t>+49-711-821-40406</w:t>
          </w:r>
        </w:p>
        <w:p w:rsidR="009D4885" w:rsidRPr="007D5DAA" w:rsidRDefault="009D4885" w:rsidP="00A23348">
          <w:pPr>
            <w:spacing w:before="0"/>
            <w:rPr>
              <w:sz w:val="20"/>
              <w:lang w:val="fr-FR"/>
            </w:rPr>
          </w:pPr>
          <w:r w:rsidRPr="007D5DAA">
            <w:rPr>
              <w:sz w:val="20"/>
              <w:lang w:val="fr-FR"/>
            </w:rPr>
            <w:t xml:space="preserve">Fax: </w:t>
          </w:r>
          <w:r w:rsidRPr="007D5DAA">
            <w:rPr>
              <w:sz w:val="20"/>
              <w:lang w:val="fr-FR"/>
            </w:rPr>
            <w:tab/>
            <w:t>+49-711-821-40247</w:t>
          </w:r>
        </w:p>
        <w:p w:rsidR="009D4885" w:rsidRPr="007D5DAA" w:rsidRDefault="009D488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9D4885" w:rsidRPr="007D5DAA" w:rsidTr="00A23348">
      <w:trPr>
        <w:cantSplit/>
        <w:trHeight w:val="204"/>
      </w:trPr>
      <w:tc>
        <w:tcPr>
          <w:tcW w:w="1617" w:type="dxa"/>
          <w:tcBorders>
            <w:top w:val="single" w:sz="12" w:space="0" w:color="auto"/>
          </w:tcBorders>
        </w:tcPr>
        <w:p w:rsidR="009D4885" w:rsidRPr="007D5DAA" w:rsidRDefault="009D4885" w:rsidP="00A23348">
          <w:pPr>
            <w:rPr>
              <w:b/>
              <w:bCs/>
              <w:sz w:val="20"/>
              <w:lang w:val="en-US"/>
            </w:rPr>
          </w:pPr>
          <w:r w:rsidRPr="007D5DAA">
            <w:rPr>
              <w:b/>
              <w:bCs/>
              <w:sz w:val="20"/>
              <w:lang w:val="en-US"/>
            </w:rPr>
            <w:t>Contact:</w:t>
          </w:r>
        </w:p>
      </w:tc>
      <w:tc>
        <w:tcPr>
          <w:tcW w:w="4394" w:type="dxa"/>
          <w:tcBorders>
            <w:top w:val="single" w:sz="12" w:space="0" w:color="auto"/>
          </w:tcBorders>
        </w:tcPr>
        <w:p w:rsidR="009D4885" w:rsidRPr="007D5DAA" w:rsidRDefault="009D4885" w:rsidP="00A23348">
          <w:pPr>
            <w:pStyle w:val="Headingb"/>
            <w:spacing w:before="120"/>
            <w:rPr>
              <w:bCs/>
              <w:smallCaps/>
              <w:sz w:val="20"/>
              <w:lang w:val="en-US"/>
            </w:rPr>
          </w:pPr>
          <w:r w:rsidRPr="007D5DAA">
            <w:rPr>
              <w:bCs/>
              <w:smallCaps/>
              <w:sz w:val="20"/>
              <w:lang w:val="en-US"/>
            </w:rPr>
            <w:t>He Bing</w:t>
          </w:r>
        </w:p>
        <w:p w:rsidR="009D4885" w:rsidRPr="007D5DAA" w:rsidRDefault="009D4885" w:rsidP="00A23348">
          <w:pPr>
            <w:spacing w:before="0"/>
            <w:rPr>
              <w:sz w:val="20"/>
              <w:lang w:val="en-US"/>
            </w:rPr>
          </w:pPr>
          <w:r w:rsidRPr="007D5DAA">
            <w:rPr>
              <w:sz w:val="20"/>
              <w:lang w:val="en-US"/>
            </w:rPr>
            <w:t>ALCATEL</w:t>
          </w:r>
          <w:r>
            <w:rPr>
              <w:sz w:val="20"/>
              <w:lang w:val="en-US"/>
            </w:rPr>
            <w:t>-</w:t>
          </w:r>
          <w:r w:rsidRPr="0091683D">
            <w:rPr>
              <w:sz w:val="20"/>
              <w:lang w:val="en-US"/>
            </w:rPr>
            <w:t>LUCENT</w:t>
          </w:r>
          <w:r w:rsidRPr="007D5DAA">
            <w:rPr>
              <w:sz w:val="20"/>
              <w:lang w:val="en-US"/>
            </w:rPr>
            <w:t xml:space="preserve"> SHANGHAI BELL</w:t>
          </w:r>
        </w:p>
        <w:p w:rsidR="009D4885" w:rsidRPr="007D5DAA" w:rsidRDefault="009D4885" w:rsidP="00A23348">
          <w:pPr>
            <w:spacing w:before="0"/>
            <w:rPr>
              <w:sz w:val="20"/>
            </w:rPr>
          </w:pPr>
          <w:r w:rsidRPr="007D5DAA">
            <w:rPr>
              <w:sz w:val="20"/>
            </w:rPr>
            <w:t>China</w:t>
          </w:r>
        </w:p>
      </w:tc>
      <w:tc>
        <w:tcPr>
          <w:tcW w:w="3912" w:type="dxa"/>
          <w:tcBorders>
            <w:top w:val="single" w:sz="12" w:space="0" w:color="auto"/>
          </w:tcBorders>
        </w:tcPr>
        <w:p w:rsidR="009D4885" w:rsidRPr="007D5DAA" w:rsidRDefault="009D4885" w:rsidP="00A23348">
          <w:pPr>
            <w:rPr>
              <w:sz w:val="20"/>
              <w:lang w:val="fr-FR"/>
            </w:rPr>
          </w:pPr>
          <w:r w:rsidRPr="007D5DAA">
            <w:rPr>
              <w:sz w:val="20"/>
              <w:lang w:val="fr-FR"/>
            </w:rPr>
            <w:t xml:space="preserve">Tel: </w:t>
          </w:r>
          <w:r w:rsidRPr="007D5DAA">
            <w:rPr>
              <w:sz w:val="20"/>
              <w:lang w:val="fr-FR"/>
            </w:rPr>
            <w:tab/>
            <w:t>+86 21 50554550 3619</w:t>
          </w:r>
        </w:p>
        <w:p w:rsidR="009D4885" w:rsidRPr="007D5DAA" w:rsidRDefault="009D4885" w:rsidP="00A23348">
          <w:pPr>
            <w:spacing w:before="0"/>
            <w:rPr>
              <w:sz w:val="20"/>
              <w:lang w:val="fr-FR"/>
            </w:rPr>
          </w:pPr>
          <w:r w:rsidRPr="007D5DAA">
            <w:rPr>
              <w:sz w:val="20"/>
              <w:lang w:val="fr-FR"/>
            </w:rPr>
            <w:t xml:space="preserve">Fax: </w:t>
          </w:r>
          <w:r w:rsidRPr="007D5DAA">
            <w:rPr>
              <w:sz w:val="20"/>
              <w:lang w:val="fr-FR"/>
            </w:rPr>
            <w:tab/>
            <w:t>+86 21 58541240 7193</w:t>
          </w:r>
        </w:p>
        <w:p w:rsidR="009D4885" w:rsidRPr="00C94986" w:rsidRDefault="009D488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9D4885" w:rsidRPr="007D5DAA" w:rsidTr="00A23348">
      <w:trPr>
        <w:cantSplit/>
        <w:trHeight w:val="204"/>
      </w:trPr>
      <w:tc>
        <w:tcPr>
          <w:tcW w:w="1617" w:type="dxa"/>
          <w:tcBorders>
            <w:top w:val="single" w:sz="12" w:space="0" w:color="auto"/>
          </w:tcBorders>
        </w:tcPr>
        <w:p w:rsidR="009D4885" w:rsidRPr="007D5DAA" w:rsidRDefault="009D4885" w:rsidP="00A23348">
          <w:pPr>
            <w:rPr>
              <w:b/>
              <w:bCs/>
              <w:sz w:val="20"/>
              <w:lang w:val="en-US"/>
            </w:rPr>
          </w:pPr>
          <w:r w:rsidRPr="007D5DAA">
            <w:rPr>
              <w:b/>
              <w:bCs/>
              <w:sz w:val="20"/>
              <w:lang w:val="en-US"/>
            </w:rPr>
            <w:t>Contact:</w:t>
          </w:r>
        </w:p>
      </w:tc>
      <w:tc>
        <w:tcPr>
          <w:tcW w:w="4394" w:type="dxa"/>
          <w:tcBorders>
            <w:top w:val="single" w:sz="12" w:space="0" w:color="auto"/>
          </w:tcBorders>
        </w:tcPr>
        <w:p w:rsidR="009D4885" w:rsidRPr="007D5DAA" w:rsidRDefault="009D488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9D4885" w:rsidRPr="007D5DAA" w:rsidRDefault="009D488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9D4885" w:rsidRPr="007D5DAA" w:rsidRDefault="009D4885" w:rsidP="00A23348">
          <w:pPr>
            <w:spacing w:before="0"/>
            <w:rPr>
              <w:sz w:val="20"/>
              <w:lang w:val="it-IT"/>
            </w:rPr>
          </w:pPr>
          <w:r w:rsidRPr="007D5DAA">
            <w:rPr>
              <w:sz w:val="20"/>
              <w:lang w:val="it-IT"/>
            </w:rPr>
            <w:t>China</w:t>
          </w:r>
        </w:p>
      </w:tc>
      <w:tc>
        <w:tcPr>
          <w:tcW w:w="3912" w:type="dxa"/>
          <w:tcBorders>
            <w:top w:val="single" w:sz="12" w:space="0" w:color="auto"/>
          </w:tcBorders>
        </w:tcPr>
        <w:p w:rsidR="009D4885" w:rsidRPr="007D5DAA" w:rsidRDefault="009D488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9D4885" w:rsidRPr="007D5DAA" w:rsidRDefault="009D4885" w:rsidP="00A23348">
          <w:pPr>
            <w:spacing w:before="0"/>
            <w:rPr>
              <w:sz w:val="20"/>
              <w:lang w:val="fr-FR"/>
            </w:rPr>
          </w:pPr>
          <w:r w:rsidRPr="007D5DAA">
            <w:rPr>
              <w:sz w:val="20"/>
              <w:lang w:val="fr-FR"/>
            </w:rPr>
            <w:t xml:space="preserve">Fax: </w:t>
          </w:r>
          <w:r w:rsidRPr="007D5DAA">
            <w:rPr>
              <w:sz w:val="20"/>
              <w:lang w:val="fr-FR"/>
            </w:rPr>
            <w:tab/>
            <w:t>+86 21 58541240 8474</w:t>
          </w:r>
        </w:p>
        <w:p w:rsidR="009D4885" w:rsidRPr="00C94986" w:rsidRDefault="009D488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9D4885" w:rsidRPr="00981DCE" w:rsidRDefault="009D488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885" w:rsidRDefault="009D4885">
      <w:r>
        <w:separator/>
      </w:r>
    </w:p>
  </w:footnote>
  <w:footnote w:type="continuationSeparator" w:id="0">
    <w:p w:rsidR="009D4885" w:rsidRDefault="009D4885">
      <w:r>
        <w:continuationSeparator/>
      </w:r>
    </w:p>
  </w:footnote>
  <w:footnote w:id="1">
    <w:p w:rsidR="00D80EAC" w:rsidRPr="00D80EAC" w:rsidRDefault="00D80EAC">
      <w:pPr>
        <w:pStyle w:val="FootnoteText"/>
        <w:rPr>
          <w:sz w:val="20"/>
          <w:lang w:val="en-US"/>
        </w:rPr>
      </w:pPr>
      <w:r>
        <w:rPr>
          <w:rStyle w:val="FootnoteReference"/>
        </w:rPr>
        <w:footnoteRef/>
      </w:r>
      <w:r>
        <w:t xml:space="preserve"> </w:t>
      </w:r>
      <w:r w:rsidRPr="00D80EAC">
        <w:rPr>
          <w:lang w:val="en-US"/>
        </w:rPr>
        <w:tab/>
      </w:r>
      <w:r w:rsidRPr="00D80EAC">
        <w:rPr>
          <w:rFonts w:eastAsiaTheme="minorEastAsia"/>
          <w:i/>
          <w:iCs/>
          <w:sz w:val="20"/>
          <w:highlight w:val="yellow"/>
          <w:lang w:eastAsia="ja-JP"/>
        </w:rPr>
        <w:t>{Editor's note (</w:t>
      </w:r>
      <w:r w:rsidRPr="00D80EAC">
        <w:rPr>
          <w:rFonts w:eastAsiaTheme="minorEastAsia"/>
          <w:b/>
          <w:i/>
          <w:iCs/>
          <w:sz w:val="20"/>
          <w:highlight w:val="yellow"/>
          <w:lang w:eastAsia="ja-JP"/>
        </w:rPr>
        <w:t>2013-01</w:t>
      </w:r>
      <w:r w:rsidRPr="00D80EAC">
        <w:rPr>
          <w:rFonts w:eastAsiaTheme="minorEastAsia"/>
          <w:i/>
          <w:iCs/>
          <w:sz w:val="20"/>
          <w:highlight w:val="yellow"/>
          <w:lang w:eastAsia="ja-JP"/>
        </w:rPr>
        <w:t xml:space="preserve">): it was requested to provide a more detailed section </w:t>
      </w:r>
      <w:proofErr w:type="gramStart"/>
      <w:r w:rsidRPr="00D80EAC">
        <w:rPr>
          <w:rFonts w:eastAsiaTheme="minorEastAsia"/>
          <w:i/>
          <w:iCs/>
          <w:sz w:val="20"/>
          <w:highlight w:val="yellow"/>
          <w:lang w:eastAsia="ja-JP"/>
        </w:rPr>
        <w:t>on  “</w:t>
      </w:r>
      <w:proofErr w:type="gramEnd"/>
      <w:r w:rsidRPr="00D80EAC">
        <w:rPr>
          <w:rFonts w:eastAsiaTheme="minorEastAsia"/>
          <w:i/>
          <w:iCs/>
          <w:sz w:val="20"/>
          <w:highlight w:val="yellow"/>
          <w:lang w:eastAsia="ja-JP"/>
        </w:rPr>
        <w:t>Discussion/conclusions” per use case. Primarily whether an example could be really unambiguously interpreted …Contributions are solicited.}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885" w:rsidRPr="00981DCE" w:rsidRDefault="009D4885" w:rsidP="006C499C">
    <w:pPr>
      <w:pStyle w:val="Header"/>
    </w:pPr>
    <w:r w:rsidRPr="00981DCE">
      <w:t xml:space="preserve">- </w:t>
    </w:r>
    <w:fldSimple w:instr=" PAGE  \* MERGEFORMAT ">
      <w:r w:rsidR="00D80EAC">
        <w:rPr>
          <w:noProof/>
        </w:rPr>
        <w:t>2</w:t>
      </w:r>
    </w:fldSimple>
    <w:r w:rsidRPr="00981DCE">
      <w:t xml:space="preserve"> -</w:t>
    </w:r>
  </w:p>
  <w:p w:rsidR="009D4885" w:rsidRPr="00711FE1" w:rsidRDefault="009D4885" w:rsidP="006C499C">
    <w:pPr>
      <w:pStyle w:val="Header"/>
    </w:pPr>
    <w:r>
      <w:fldChar w:fldCharType="begin"/>
    </w:r>
    <w:r>
      <w:instrText xml:space="preserve"> REF docnumber \h  \* MERGEFORMAT </w:instrText>
    </w:r>
    <w:r>
      <w:fldChar w:fldCharType="separate"/>
    </w:r>
    <w:r w:rsidRPr="00EE6E56">
      <w:rPr>
        <w:highlight w:val="yellow"/>
      </w:rPr>
      <w:t>AVD-4414</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8763EB5"/>
    <w:multiLevelType w:val="hybridMultilevel"/>
    <w:tmpl w:val="DF8A4E1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2CC6202"/>
    <w:multiLevelType w:val="hybridMultilevel"/>
    <w:tmpl w:val="7F0C7D14"/>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9A17560"/>
    <w:multiLevelType w:val="hybridMultilevel"/>
    <w:tmpl w:val="5EB002E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7003E78"/>
    <w:multiLevelType w:val="hybridMultilevel"/>
    <w:tmpl w:val="9CA6229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8304EA7"/>
    <w:multiLevelType w:val="hybridMultilevel"/>
    <w:tmpl w:val="68C612BC"/>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AD71848"/>
    <w:multiLevelType w:val="hybridMultilevel"/>
    <w:tmpl w:val="6ECE5F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477F23DA"/>
    <w:multiLevelType w:val="hybridMultilevel"/>
    <w:tmpl w:val="9F7CCBD6"/>
    <w:lvl w:ilvl="0" w:tplc="A4DE552C">
      <w:start w:val="1"/>
      <w:numFmt w:val="decimal"/>
      <w:lvlText w:val="%1."/>
      <w:lvlJc w:val="left"/>
      <w:pPr>
        <w:tabs>
          <w:tab w:val="num" w:pos="930"/>
        </w:tabs>
        <w:ind w:left="930" w:hanging="570"/>
      </w:pPr>
      <w:rPr>
        <w:rFonts w:ascii="timesnewroman" w:hAnsi="timesnewroman" w:cs="timesnewroman" w:hint="default"/>
      </w:rPr>
    </w:lvl>
    <w:lvl w:ilvl="1" w:tplc="F17CB7D6">
      <w:numFmt w:val="none"/>
      <w:lvlText w:val=""/>
      <w:lvlJc w:val="left"/>
      <w:pPr>
        <w:tabs>
          <w:tab w:val="num" w:pos="360"/>
        </w:tabs>
      </w:pPr>
    </w:lvl>
    <w:lvl w:ilvl="2" w:tplc="1750C592">
      <w:numFmt w:val="none"/>
      <w:lvlText w:val=""/>
      <w:lvlJc w:val="left"/>
      <w:pPr>
        <w:tabs>
          <w:tab w:val="num" w:pos="360"/>
        </w:tabs>
      </w:pPr>
    </w:lvl>
    <w:lvl w:ilvl="3" w:tplc="13EEF214">
      <w:numFmt w:val="none"/>
      <w:lvlText w:val=""/>
      <w:lvlJc w:val="left"/>
      <w:pPr>
        <w:tabs>
          <w:tab w:val="num" w:pos="360"/>
        </w:tabs>
      </w:pPr>
    </w:lvl>
    <w:lvl w:ilvl="4" w:tplc="86DAF282">
      <w:numFmt w:val="none"/>
      <w:lvlText w:val=""/>
      <w:lvlJc w:val="left"/>
      <w:pPr>
        <w:tabs>
          <w:tab w:val="num" w:pos="360"/>
        </w:tabs>
      </w:pPr>
    </w:lvl>
    <w:lvl w:ilvl="5" w:tplc="290C0E9C">
      <w:numFmt w:val="none"/>
      <w:lvlText w:val=""/>
      <w:lvlJc w:val="left"/>
      <w:pPr>
        <w:tabs>
          <w:tab w:val="num" w:pos="360"/>
        </w:tabs>
      </w:pPr>
    </w:lvl>
    <w:lvl w:ilvl="6" w:tplc="C3FE73E8">
      <w:numFmt w:val="none"/>
      <w:lvlText w:val=""/>
      <w:lvlJc w:val="left"/>
      <w:pPr>
        <w:tabs>
          <w:tab w:val="num" w:pos="360"/>
        </w:tabs>
      </w:pPr>
    </w:lvl>
    <w:lvl w:ilvl="7" w:tplc="F1F4ABA8">
      <w:numFmt w:val="none"/>
      <w:lvlText w:val=""/>
      <w:lvlJc w:val="left"/>
      <w:pPr>
        <w:tabs>
          <w:tab w:val="num" w:pos="360"/>
        </w:tabs>
      </w:pPr>
    </w:lvl>
    <w:lvl w:ilvl="8" w:tplc="F4FC2FBA">
      <w:numFmt w:val="none"/>
      <w:lvlText w:val=""/>
      <w:lvlJc w:val="left"/>
      <w:pPr>
        <w:tabs>
          <w:tab w:val="num" w:pos="360"/>
        </w:tabs>
      </w:p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66FF0E65"/>
    <w:multiLevelType w:val="hybridMultilevel"/>
    <w:tmpl w:val="C4A2FC3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6AAB6658"/>
    <w:multiLevelType w:val="hybridMultilevel"/>
    <w:tmpl w:val="2B7C7E7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70EB41D0"/>
    <w:multiLevelType w:val="hybridMultilevel"/>
    <w:tmpl w:val="30BAD548"/>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nsid w:val="7A235896"/>
    <w:multiLevelType w:val="hybridMultilevel"/>
    <w:tmpl w:val="96326D9A"/>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11"/>
  </w:num>
  <w:num w:numId="9">
    <w:abstractNumId w:val="12"/>
  </w:num>
  <w:num w:numId="10">
    <w:abstractNumId w:val="19"/>
  </w:num>
  <w:num w:numId="11">
    <w:abstractNumId w:val="2"/>
  </w:num>
  <w:num w:numId="12">
    <w:abstractNumId w:val="14"/>
  </w:num>
  <w:num w:numId="13">
    <w:abstractNumId w:val="20"/>
  </w:num>
  <w:num w:numId="14">
    <w:abstractNumId w:val="4"/>
  </w:num>
  <w:num w:numId="15">
    <w:abstractNumId w:val="7"/>
  </w:num>
  <w:num w:numId="16">
    <w:abstractNumId w:val="17"/>
  </w:num>
  <w:num w:numId="17">
    <w:abstractNumId w:val="3"/>
  </w:num>
  <w:num w:numId="18">
    <w:abstractNumId w:val="8"/>
  </w:num>
  <w:num w:numId="19">
    <w:abstractNumId w:val="16"/>
  </w:num>
  <w:num w:numId="20">
    <w:abstractNumId w:val="9"/>
  </w:num>
  <w:num w:numId="21">
    <w:abstractNumId w:val="10"/>
  </w:num>
  <w:num w:numId="22">
    <w:abstractNumId w:val="18"/>
  </w:num>
  <w:num w:numId="23">
    <w:abstractNumId w:val="5"/>
  </w:num>
  <w:num w:numId="24">
    <w:abstractNumId w:val="15"/>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3553"/>
  </w:hdrShapeDefaults>
  <w:footnotePr>
    <w:footnote w:id="-1"/>
    <w:footnote w:id="0"/>
  </w:footnotePr>
  <w:endnotePr>
    <w:endnote w:id="-1"/>
    <w:endnote w:id="0"/>
  </w:endnotePr>
  <w:compat>
    <w:useFELayout/>
  </w:compat>
  <w:rsids>
    <w:rsidRoot w:val="00762E0E"/>
    <w:rsid w:val="00056DAD"/>
    <w:rsid w:val="000628A1"/>
    <w:rsid w:val="000939EC"/>
    <w:rsid w:val="000B4F47"/>
    <w:rsid w:val="000B77CF"/>
    <w:rsid w:val="000D1A3C"/>
    <w:rsid w:val="000E33BC"/>
    <w:rsid w:val="000F4172"/>
    <w:rsid w:val="00121B82"/>
    <w:rsid w:val="001514BE"/>
    <w:rsid w:val="001B64D9"/>
    <w:rsid w:val="001C72EC"/>
    <w:rsid w:val="001D4861"/>
    <w:rsid w:val="001E3845"/>
    <w:rsid w:val="001E3E74"/>
    <w:rsid w:val="00211EA2"/>
    <w:rsid w:val="002222BE"/>
    <w:rsid w:val="00223267"/>
    <w:rsid w:val="00226C7B"/>
    <w:rsid w:val="002512AF"/>
    <w:rsid w:val="00276AE7"/>
    <w:rsid w:val="00284A0E"/>
    <w:rsid w:val="002A02D1"/>
    <w:rsid w:val="002B27C4"/>
    <w:rsid w:val="0030108C"/>
    <w:rsid w:val="00301D02"/>
    <w:rsid w:val="003041AB"/>
    <w:rsid w:val="00310E28"/>
    <w:rsid w:val="00314ED9"/>
    <w:rsid w:val="00317580"/>
    <w:rsid w:val="00342FDD"/>
    <w:rsid w:val="00345D8B"/>
    <w:rsid w:val="00375A9D"/>
    <w:rsid w:val="00381CDF"/>
    <w:rsid w:val="00384A30"/>
    <w:rsid w:val="003A113F"/>
    <w:rsid w:val="003C681B"/>
    <w:rsid w:val="003F3C15"/>
    <w:rsid w:val="00406BC2"/>
    <w:rsid w:val="00412480"/>
    <w:rsid w:val="004209C0"/>
    <w:rsid w:val="00430585"/>
    <w:rsid w:val="00435574"/>
    <w:rsid w:val="00445C37"/>
    <w:rsid w:val="00455D90"/>
    <w:rsid w:val="00481990"/>
    <w:rsid w:val="0049269B"/>
    <w:rsid w:val="004E300A"/>
    <w:rsid w:val="004F3600"/>
    <w:rsid w:val="005066C3"/>
    <w:rsid w:val="00510C0D"/>
    <w:rsid w:val="00546304"/>
    <w:rsid w:val="0057475A"/>
    <w:rsid w:val="005B1896"/>
    <w:rsid w:val="005D7BD6"/>
    <w:rsid w:val="005E52A7"/>
    <w:rsid w:val="005E596E"/>
    <w:rsid w:val="00610C71"/>
    <w:rsid w:val="00627E88"/>
    <w:rsid w:val="00633E9F"/>
    <w:rsid w:val="00634E9C"/>
    <w:rsid w:val="00652FC6"/>
    <w:rsid w:val="00657EDF"/>
    <w:rsid w:val="0066567C"/>
    <w:rsid w:val="00686DA5"/>
    <w:rsid w:val="006B0F27"/>
    <w:rsid w:val="006C2928"/>
    <w:rsid w:val="006C499C"/>
    <w:rsid w:val="006D3194"/>
    <w:rsid w:val="006F5CBB"/>
    <w:rsid w:val="00721873"/>
    <w:rsid w:val="007530B8"/>
    <w:rsid w:val="00762E0E"/>
    <w:rsid w:val="00767787"/>
    <w:rsid w:val="00792B1E"/>
    <w:rsid w:val="007C19E4"/>
    <w:rsid w:val="007C6D6B"/>
    <w:rsid w:val="007D5DAA"/>
    <w:rsid w:val="00817B9C"/>
    <w:rsid w:val="0086014B"/>
    <w:rsid w:val="008C257A"/>
    <w:rsid w:val="008C454D"/>
    <w:rsid w:val="008D6723"/>
    <w:rsid w:val="0091683D"/>
    <w:rsid w:val="009245CB"/>
    <w:rsid w:val="00990883"/>
    <w:rsid w:val="009A4CA9"/>
    <w:rsid w:val="009C2A71"/>
    <w:rsid w:val="009D4885"/>
    <w:rsid w:val="009F5199"/>
    <w:rsid w:val="00A23348"/>
    <w:rsid w:val="00A55B3D"/>
    <w:rsid w:val="00A67AF2"/>
    <w:rsid w:val="00A76123"/>
    <w:rsid w:val="00AB00A6"/>
    <w:rsid w:val="00AD412C"/>
    <w:rsid w:val="00AF346D"/>
    <w:rsid w:val="00B8388A"/>
    <w:rsid w:val="00C049A9"/>
    <w:rsid w:val="00C54997"/>
    <w:rsid w:val="00C552EC"/>
    <w:rsid w:val="00C7005C"/>
    <w:rsid w:val="00C82327"/>
    <w:rsid w:val="00C94986"/>
    <w:rsid w:val="00CD10AB"/>
    <w:rsid w:val="00D16A55"/>
    <w:rsid w:val="00D32558"/>
    <w:rsid w:val="00D43625"/>
    <w:rsid w:val="00D80EAC"/>
    <w:rsid w:val="00D81498"/>
    <w:rsid w:val="00D9469C"/>
    <w:rsid w:val="00DE2128"/>
    <w:rsid w:val="00DE3CB3"/>
    <w:rsid w:val="00DF27EC"/>
    <w:rsid w:val="00E17EF9"/>
    <w:rsid w:val="00E6522C"/>
    <w:rsid w:val="00EB6B91"/>
    <w:rsid w:val="00EE6E56"/>
    <w:rsid w:val="00F17DCA"/>
    <w:rsid w:val="00F2250F"/>
    <w:rsid w:val="00F24A5B"/>
    <w:rsid w:val="00F40BA8"/>
    <w:rsid w:val="00F432D8"/>
    <w:rsid w:val="00F43BF4"/>
    <w:rsid w:val="00F75416"/>
    <w:rsid w:val="00F831F5"/>
    <w:rsid w:val="00F85FD0"/>
    <w:rsid w:val="00F948D7"/>
    <w:rsid w:val="00F9595B"/>
    <w:rsid w:val="00FC66F6"/>
    <w:rsid w:val="00FD0239"/>
    <w:rsid w:val="00FD7CC7"/>
    <w:rsid w:val="00FE036E"/>
    <w:rsid w:val="00FE1DA9"/>
    <w:rsid w:val="00FE386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4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412480"/>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412480"/>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412480"/>
    <w:pPr>
      <w:spacing w:before="160"/>
      <w:outlineLvl w:val="2"/>
    </w:pPr>
  </w:style>
  <w:style w:type="paragraph" w:styleId="Heading4">
    <w:name w:val="heading 4"/>
    <w:aliases w:val="h4,heading 4,l4,4,4heading,Heading4,H4-Heading 4,a.,H4,Head 4,Dead4,Heading 4 (H4),l4+toc4,I4,H1"/>
    <w:basedOn w:val="Heading3"/>
    <w:next w:val="Normal"/>
    <w:qFormat/>
    <w:rsid w:val="00412480"/>
    <w:pPr>
      <w:tabs>
        <w:tab w:val="clear" w:pos="794"/>
        <w:tab w:val="left" w:pos="1021"/>
      </w:tabs>
      <w:ind w:left="1021" w:hanging="1021"/>
      <w:outlineLvl w:val="3"/>
    </w:pPr>
  </w:style>
  <w:style w:type="paragraph" w:styleId="Heading5">
    <w:name w:val="heading 5"/>
    <w:basedOn w:val="Heading4"/>
    <w:next w:val="Normal"/>
    <w:qFormat/>
    <w:rsid w:val="00412480"/>
    <w:pPr>
      <w:outlineLvl w:val="4"/>
    </w:pPr>
  </w:style>
  <w:style w:type="paragraph" w:styleId="Heading6">
    <w:name w:val="heading 6"/>
    <w:basedOn w:val="Heading4"/>
    <w:next w:val="Normal"/>
    <w:qFormat/>
    <w:rsid w:val="00412480"/>
    <w:pPr>
      <w:tabs>
        <w:tab w:val="clear" w:pos="1021"/>
        <w:tab w:val="clear" w:pos="1191"/>
      </w:tabs>
      <w:ind w:left="1588" w:hanging="1588"/>
      <w:outlineLvl w:val="5"/>
    </w:pPr>
  </w:style>
  <w:style w:type="paragraph" w:styleId="Heading7">
    <w:name w:val="heading 7"/>
    <w:basedOn w:val="Heading6"/>
    <w:next w:val="Normal"/>
    <w:qFormat/>
    <w:rsid w:val="00412480"/>
    <w:pPr>
      <w:outlineLvl w:val="6"/>
    </w:pPr>
  </w:style>
  <w:style w:type="paragraph" w:styleId="Heading8">
    <w:name w:val="heading 8"/>
    <w:basedOn w:val="Heading6"/>
    <w:next w:val="Normal"/>
    <w:qFormat/>
    <w:rsid w:val="00412480"/>
    <w:pPr>
      <w:outlineLvl w:val="7"/>
    </w:pPr>
  </w:style>
  <w:style w:type="paragraph" w:styleId="Heading9">
    <w:name w:val="heading 9"/>
    <w:basedOn w:val="Heading6"/>
    <w:next w:val="Normal"/>
    <w:qFormat/>
    <w:rsid w:val="0041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2480"/>
    <w:pPr>
      <w:keepNext/>
      <w:keepLines/>
      <w:spacing w:before="480"/>
      <w:jc w:val="center"/>
    </w:pPr>
    <w:rPr>
      <w:b/>
      <w:sz w:val="28"/>
    </w:rPr>
  </w:style>
  <w:style w:type="paragraph" w:customStyle="1" w:styleId="AppendixNotitle">
    <w:name w:val="Appendix_No &amp; title"/>
    <w:basedOn w:val="AnnexNotitle"/>
    <w:next w:val="Normal"/>
    <w:link w:val="AppendixNotitleChar"/>
    <w:rsid w:val="00412480"/>
  </w:style>
  <w:style w:type="paragraph" w:customStyle="1" w:styleId="ASN1">
    <w:name w:val="ASN.1"/>
    <w:basedOn w:val="Normal"/>
    <w:rsid w:val="004124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12480"/>
    <w:pPr>
      <w:spacing w:before="80"/>
      <w:ind w:left="794" w:hanging="794"/>
    </w:pPr>
  </w:style>
  <w:style w:type="paragraph" w:customStyle="1" w:styleId="enumlev2">
    <w:name w:val="enumlev2"/>
    <w:basedOn w:val="enumlev1"/>
    <w:rsid w:val="00412480"/>
    <w:pPr>
      <w:ind w:left="1191" w:hanging="397"/>
    </w:pPr>
  </w:style>
  <w:style w:type="paragraph" w:customStyle="1" w:styleId="enumlev3">
    <w:name w:val="enumlev3"/>
    <w:basedOn w:val="enumlev2"/>
    <w:rsid w:val="00412480"/>
    <w:pPr>
      <w:ind w:left="1588"/>
    </w:pPr>
  </w:style>
  <w:style w:type="paragraph" w:customStyle="1" w:styleId="FigureNotitle">
    <w:name w:val="Figure_No &amp; title"/>
    <w:basedOn w:val="Normal"/>
    <w:next w:val="Normal"/>
    <w:rsid w:val="00412480"/>
    <w:pPr>
      <w:keepLines/>
      <w:spacing w:before="240" w:after="120"/>
      <w:jc w:val="center"/>
    </w:pPr>
    <w:rPr>
      <w:b/>
    </w:rPr>
  </w:style>
  <w:style w:type="paragraph" w:styleId="Footer">
    <w:name w:val="footer"/>
    <w:basedOn w:val="Normal"/>
    <w:rsid w:val="00412480"/>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12480"/>
    <w:rPr>
      <w:position w:val="6"/>
      <w:sz w:val="18"/>
    </w:rPr>
  </w:style>
  <w:style w:type="paragraph" w:customStyle="1" w:styleId="Note">
    <w:name w:val="Note"/>
    <w:basedOn w:val="Normal"/>
    <w:rsid w:val="00412480"/>
    <w:pPr>
      <w:spacing w:before="80"/>
    </w:pPr>
  </w:style>
  <w:style w:type="paragraph" w:styleId="FootnoteText">
    <w:name w:val="footnote text"/>
    <w:basedOn w:val="Note"/>
    <w:semiHidden/>
    <w:rsid w:val="00412480"/>
    <w:pPr>
      <w:keepLines/>
      <w:tabs>
        <w:tab w:val="left" w:pos="255"/>
      </w:tabs>
      <w:ind w:left="255" w:hanging="255"/>
    </w:pPr>
  </w:style>
  <w:style w:type="paragraph" w:customStyle="1" w:styleId="Formal">
    <w:name w:val="Formal"/>
    <w:basedOn w:val="ASN1"/>
    <w:rsid w:val="00412480"/>
    <w:rPr>
      <w:b w:val="0"/>
    </w:rPr>
  </w:style>
  <w:style w:type="paragraph" w:styleId="Header">
    <w:name w:val="header"/>
    <w:basedOn w:val="Normal"/>
    <w:rsid w:val="0041248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2480"/>
    <w:pPr>
      <w:keepNext/>
      <w:spacing w:before="160"/>
    </w:pPr>
    <w:rPr>
      <w:b/>
    </w:rPr>
  </w:style>
  <w:style w:type="paragraph" w:customStyle="1" w:styleId="Headingi">
    <w:name w:val="Heading_i"/>
    <w:basedOn w:val="Normal"/>
    <w:next w:val="Normal"/>
    <w:rsid w:val="00412480"/>
    <w:pPr>
      <w:keepNext/>
      <w:spacing w:before="160"/>
    </w:pPr>
    <w:rPr>
      <w:i/>
    </w:rPr>
  </w:style>
  <w:style w:type="paragraph" w:customStyle="1" w:styleId="Normalaftertitle">
    <w:name w:val="Normal_after_title"/>
    <w:basedOn w:val="Normal"/>
    <w:next w:val="Normal"/>
    <w:rsid w:val="00412480"/>
    <w:pPr>
      <w:spacing w:before="360"/>
    </w:pPr>
  </w:style>
  <w:style w:type="character" w:styleId="PageNumber">
    <w:name w:val="page number"/>
    <w:basedOn w:val="DefaultParagraphFont"/>
    <w:rsid w:val="0041248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12480"/>
    <w:pPr>
      <w:ind w:left="794" w:hanging="794"/>
    </w:pPr>
  </w:style>
  <w:style w:type="paragraph" w:customStyle="1" w:styleId="Reftitle">
    <w:name w:val="Ref_title"/>
    <w:basedOn w:val="Normal"/>
    <w:next w:val="Reftext"/>
    <w:rsid w:val="00412480"/>
    <w:pPr>
      <w:spacing w:before="480"/>
      <w:jc w:val="center"/>
    </w:pPr>
    <w:rPr>
      <w:b/>
    </w:rPr>
  </w:style>
  <w:style w:type="paragraph" w:customStyle="1" w:styleId="Source">
    <w:name w:val="Source"/>
    <w:basedOn w:val="Normal"/>
    <w:next w:val="Normalaftertitle"/>
    <w:rsid w:val="00412480"/>
    <w:pPr>
      <w:spacing w:before="840" w:after="200"/>
      <w:jc w:val="center"/>
    </w:pPr>
    <w:rPr>
      <w:b/>
      <w:sz w:val="28"/>
    </w:rPr>
  </w:style>
  <w:style w:type="paragraph" w:customStyle="1" w:styleId="SpecialFooter">
    <w:name w:val="Special Footer"/>
    <w:basedOn w:val="Footer"/>
    <w:rsid w:val="0041248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1248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12480"/>
    <w:pPr>
      <w:keepNext/>
      <w:keepLines/>
      <w:spacing w:before="360" w:after="120"/>
      <w:jc w:val="center"/>
    </w:pPr>
    <w:rPr>
      <w:b/>
    </w:rPr>
  </w:style>
  <w:style w:type="paragraph" w:customStyle="1" w:styleId="Tabletext">
    <w:name w:val="Table_text"/>
    <w:basedOn w:val="Normal"/>
    <w:rsid w:val="004124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24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2480"/>
  </w:style>
  <w:style w:type="paragraph" w:customStyle="1" w:styleId="Title3">
    <w:name w:val="Title 3"/>
    <w:basedOn w:val="Title2"/>
    <w:next w:val="Normal"/>
    <w:rsid w:val="00412480"/>
    <w:rPr>
      <w:caps w:val="0"/>
    </w:rPr>
  </w:style>
  <w:style w:type="paragraph" w:customStyle="1" w:styleId="Title4">
    <w:name w:val="Title 4"/>
    <w:basedOn w:val="Title3"/>
    <w:next w:val="Heading1"/>
    <w:rsid w:val="00412480"/>
    <w:rPr>
      <w:b/>
    </w:rPr>
  </w:style>
  <w:style w:type="paragraph" w:styleId="TOC1">
    <w:name w:val="toc 1"/>
    <w:basedOn w:val="Normal"/>
    <w:semiHidden/>
    <w:rsid w:val="0041248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2480"/>
    <w:pPr>
      <w:spacing w:before="80"/>
      <w:ind w:left="1531" w:hanging="851"/>
    </w:pPr>
  </w:style>
  <w:style w:type="paragraph" w:styleId="TOC3">
    <w:name w:val="toc 3"/>
    <w:basedOn w:val="TOC2"/>
    <w:semiHidden/>
    <w:rsid w:val="00412480"/>
  </w:style>
  <w:style w:type="paragraph" w:styleId="TOC4">
    <w:name w:val="toc 4"/>
    <w:basedOn w:val="TOC3"/>
    <w:semiHidden/>
    <w:rsid w:val="00412480"/>
  </w:style>
  <w:style w:type="paragraph" w:styleId="TOC5">
    <w:name w:val="toc 5"/>
    <w:basedOn w:val="TOC4"/>
    <w:semiHidden/>
    <w:rsid w:val="00412480"/>
  </w:style>
  <w:style w:type="paragraph" w:styleId="TOC6">
    <w:name w:val="toc 6"/>
    <w:basedOn w:val="TOC4"/>
    <w:semiHidden/>
    <w:rsid w:val="00412480"/>
  </w:style>
  <w:style w:type="paragraph" w:styleId="TOC7">
    <w:name w:val="toc 7"/>
    <w:basedOn w:val="TOC4"/>
    <w:semiHidden/>
    <w:rsid w:val="00412480"/>
  </w:style>
  <w:style w:type="paragraph" w:styleId="TOC8">
    <w:name w:val="toc 8"/>
    <w:basedOn w:val="TOC4"/>
    <w:semiHidden/>
    <w:rsid w:val="00412480"/>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F831F5"/>
    <w:pPr>
      <w:ind w:left="720"/>
      <w:contextualSpacing/>
    </w:pPr>
  </w:style>
  <w:style w:type="paragraph" w:styleId="Revision">
    <w:name w:val="Revision"/>
    <w:hidden/>
    <w:uiPriority w:val="99"/>
    <w:semiHidden/>
    <w:rsid w:val="001B64D9"/>
    <w:rPr>
      <w:sz w:val="24"/>
      <w:lang w:val="en-GB"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17336180">
      <w:bodyDiv w:val="1"/>
      <w:marLeft w:val="0"/>
      <w:marRight w:val="0"/>
      <w:marTop w:val="0"/>
      <w:marBottom w:val="0"/>
      <w:divBdr>
        <w:top w:val="none" w:sz="0" w:space="0" w:color="auto"/>
        <w:left w:val="none" w:sz="0" w:space="0" w:color="auto"/>
        <w:bottom w:val="none" w:sz="0" w:space="0" w:color="auto"/>
        <w:right w:val="none" w:sz="0" w:space="0" w:color="auto"/>
      </w:divBdr>
    </w:div>
    <w:div w:id="152722455">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58099059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29973773">
      <w:bodyDiv w:val="1"/>
      <w:marLeft w:val="0"/>
      <w:marRight w:val="0"/>
      <w:marTop w:val="0"/>
      <w:marBottom w:val="0"/>
      <w:divBdr>
        <w:top w:val="none" w:sz="0" w:space="0" w:color="auto"/>
        <w:left w:val="none" w:sz="0" w:space="0" w:color="auto"/>
        <w:bottom w:val="none" w:sz="0" w:space="0" w:color="auto"/>
        <w:right w:val="none" w:sz="0" w:space="0" w:color="auto"/>
      </w:divBdr>
    </w:div>
    <w:div w:id="1563366844">
      <w:bodyDiv w:val="1"/>
      <w:marLeft w:val="0"/>
      <w:marRight w:val="0"/>
      <w:marTop w:val="0"/>
      <w:marBottom w:val="0"/>
      <w:divBdr>
        <w:top w:val="none" w:sz="0" w:space="0" w:color="auto"/>
        <w:left w:val="none" w:sz="0" w:space="0" w:color="auto"/>
        <w:bottom w:val="none" w:sz="0" w:space="0" w:color="auto"/>
        <w:right w:val="none" w:sz="0" w:space="0" w:color="auto"/>
      </w:divBdr>
    </w:div>
    <w:div w:id="1830711138">
      <w:bodyDiv w:val="1"/>
      <w:marLeft w:val="0"/>
      <w:marRight w:val="0"/>
      <w:marTop w:val="0"/>
      <w:marBottom w:val="0"/>
      <w:divBdr>
        <w:top w:val="none" w:sz="0" w:space="0" w:color="auto"/>
        <w:left w:val="none" w:sz="0" w:space="0" w:color="auto"/>
        <w:bottom w:val="none" w:sz="0" w:space="0" w:color="auto"/>
        <w:right w:val="none" w:sz="0" w:space="0" w:color="auto"/>
      </w:divBdr>
    </w:div>
    <w:div w:id="1915386130">
      <w:bodyDiv w:val="1"/>
      <w:marLeft w:val="0"/>
      <w:marRight w:val="0"/>
      <w:marTop w:val="0"/>
      <w:marBottom w:val="0"/>
      <w:divBdr>
        <w:top w:val="none" w:sz="0" w:space="0" w:color="auto"/>
        <w:left w:val="none" w:sz="0" w:space="0" w:color="auto"/>
        <w:bottom w:val="none" w:sz="0" w:space="0" w:color="auto"/>
        <w:right w:val="none" w:sz="0" w:space="0" w:color="auto"/>
      </w:divBdr>
    </w:div>
    <w:div w:id="1924944888">
      <w:bodyDiv w:val="1"/>
      <w:marLeft w:val="0"/>
      <w:marRight w:val="0"/>
      <w:marTop w:val="0"/>
      <w:marBottom w:val="0"/>
      <w:divBdr>
        <w:top w:val="none" w:sz="0" w:space="0" w:color="auto"/>
        <w:left w:val="none" w:sz="0" w:space="0" w:color="auto"/>
        <w:bottom w:val="none" w:sz="0" w:space="0" w:color="auto"/>
        <w:right w:val="none" w:sz="0" w:space="0" w:color="auto"/>
      </w:divBdr>
    </w:div>
    <w:div w:id="2025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8FA0B2E-039F-436B-8CF5-91D3FF60C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7</Pages>
  <Words>1747</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12165</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10</cp:revision>
  <cp:lastPrinted>2002-08-01T07:30:00Z</cp:lastPrinted>
  <dcterms:created xsi:type="dcterms:W3CDTF">2013-05-16T14:16:00Z</dcterms:created>
  <dcterms:modified xsi:type="dcterms:W3CDTF">2013-05-24T08:32:00Z</dcterms:modified>
</cp:coreProperties>
</file>