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09F6" w:rsidRPr="00997CB2" w:rsidRDefault="00952F94">
      <w:pPr>
        <w:jc w:val="center"/>
        <w:rPr>
          <w:b/>
          <w:lang w:val="fr-CH"/>
        </w:rPr>
      </w:pPr>
      <w:r w:rsidRPr="00997CB2">
        <w:rPr>
          <w:b/>
          <w:lang w:val="fr-CH"/>
        </w:rPr>
        <w:t>INTERNATIONAL ORGANISATION FOR STANDARDISATION</w:t>
      </w:r>
    </w:p>
    <w:p w:rsidR="005D09F6" w:rsidRPr="00997CB2" w:rsidRDefault="00952F94">
      <w:pPr>
        <w:jc w:val="center"/>
        <w:rPr>
          <w:b/>
          <w:lang w:val="fr-CH"/>
        </w:rPr>
      </w:pPr>
      <w:r w:rsidRPr="00997CB2">
        <w:rPr>
          <w:b/>
          <w:lang w:val="fr-CH"/>
        </w:rPr>
        <w:t>ORGANISATION INTERNATIONALE DE NORMALISATION</w:t>
      </w:r>
    </w:p>
    <w:p w:rsidR="005D09F6" w:rsidRPr="00997CB2" w:rsidRDefault="00952F94">
      <w:pPr>
        <w:jc w:val="center"/>
        <w:rPr>
          <w:b/>
        </w:rPr>
      </w:pPr>
      <w:r w:rsidRPr="00997CB2">
        <w:rPr>
          <w:b/>
        </w:rPr>
        <w:t>ISO/IEC JTC1/SC29/WG11</w:t>
      </w:r>
    </w:p>
    <w:p w:rsidR="005D09F6" w:rsidRPr="00997CB2" w:rsidRDefault="00952F94">
      <w:pPr>
        <w:jc w:val="center"/>
        <w:rPr>
          <w:b/>
        </w:rPr>
      </w:pPr>
      <w:r w:rsidRPr="00997CB2">
        <w:rPr>
          <w:b/>
        </w:rPr>
        <w:t>CODING OF MOVING PICTURES AND AUDIO</w:t>
      </w:r>
    </w:p>
    <w:p w:rsidR="005D09F6" w:rsidRPr="00997CB2" w:rsidRDefault="005D09F6">
      <w:pPr>
        <w:tabs>
          <w:tab w:val="left" w:pos="5387"/>
        </w:tabs>
        <w:spacing w:line="240" w:lineRule="exact"/>
        <w:jc w:val="center"/>
        <w:rPr>
          <w:b/>
        </w:rPr>
      </w:pPr>
    </w:p>
    <w:p w:rsidR="005D09F6" w:rsidRPr="00997CB2" w:rsidRDefault="00952F94">
      <w:pPr>
        <w:jc w:val="right"/>
        <w:rPr>
          <w:b/>
        </w:rPr>
      </w:pPr>
      <w:r w:rsidRPr="00997CB2">
        <w:rPr>
          <w:b/>
        </w:rPr>
        <w:t>ISO/IEC JTC1/SC29/WG11 MPEG20</w:t>
      </w:r>
      <w:r w:rsidRPr="00997CB2">
        <w:rPr>
          <w:b/>
          <w:lang w:eastAsia="ja-JP"/>
        </w:rPr>
        <w:t>15</w:t>
      </w:r>
      <w:r w:rsidRPr="00997CB2">
        <w:rPr>
          <w:b/>
        </w:rPr>
        <w:t>/</w:t>
      </w:r>
      <w:r w:rsidR="00A27A7A">
        <w:rPr>
          <w:b/>
        </w:rPr>
        <w:t>N15797</w:t>
      </w:r>
    </w:p>
    <w:p w:rsidR="005D09F6" w:rsidRPr="00997CB2" w:rsidRDefault="00952F94">
      <w:pPr>
        <w:jc w:val="right"/>
        <w:rPr>
          <w:rFonts w:eastAsia="Malgun Gothic"/>
          <w:b/>
        </w:rPr>
      </w:pPr>
      <w:r w:rsidRPr="00997CB2">
        <w:rPr>
          <w:b/>
          <w:lang w:eastAsia="ja-JP"/>
        </w:rPr>
        <w:t>October</w:t>
      </w:r>
      <w:r w:rsidRPr="00997CB2">
        <w:rPr>
          <w:rFonts w:eastAsia="Malgun Gothic"/>
          <w:b/>
        </w:rPr>
        <w:t xml:space="preserve"> 201</w:t>
      </w:r>
      <w:r w:rsidRPr="00997CB2">
        <w:rPr>
          <w:b/>
          <w:lang w:eastAsia="ja-JP"/>
        </w:rPr>
        <w:t>5</w:t>
      </w:r>
      <w:r w:rsidRPr="00997CB2">
        <w:rPr>
          <w:rFonts w:eastAsia="Malgun Gothic"/>
          <w:b/>
        </w:rPr>
        <w:t xml:space="preserve">, </w:t>
      </w:r>
      <w:r w:rsidRPr="00997CB2">
        <w:rPr>
          <w:b/>
          <w:lang w:eastAsia="ja-JP"/>
        </w:rPr>
        <w:t>Geneva</w:t>
      </w:r>
      <w:r w:rsidRPr="00997CB2">
        <w:rPr>
          <w:rFonts w:eastAsia="Malgun Gothic"/>
          <w:b/>
        </w:rPr>
        <w:t xml:space="preserve">, </w:t>
      </w:r>
      <w:r w:rsidRPr="00997CB2">
        <w:rPr>
          <w:b/>
          <w:lang w:eastAsia="ja-JP"/>
        </w:rPr>
        <w:t>Switzerland</w:t>
      </w:r>
    </w:p>
    <w:p w:rsidR="005D09F6" w:rsidRPr="00997CB2" w:rsidRDefault="005D09F6">
      <w:pPr>
        <w:jc w:val="right"/>
        <w:rPr>
          <w:b/>
          <w:lang w:eastAsia="ja-JP"/>
        </w:rPr>
      </w:pPr>
    </w:p>
    <w:p w:rsidR="005D09F6" w:rsidRPr="00997CB2" w:rsidRDefault="005D09F6">
      <w:pPr>
        <w:jc w:val="right"/>
        <w:rPr>
          <w:b/>
          <w:lang w:eastAsia="ja-JP"/>
        </w:rPr>
      </w:pPr>
    </w:p>
    <w:p w:rsidR="005D09F6" w:rsidRPr="00997CB2" w:rsidRDefault="005D09F6">
      <w:pPr>
        <w:spacing w:line="240" w:lineRule="exact"/>
        <w:rPr>
          <w:lang w:val="fr-FR"/>
        </w:rPr>
      </w:pPr>
    </w:p>
    <w:tbl>
      <w:tblPr>
        <w:tblW w:w="0" w:type="auto"/>
        <w:tblLook w:val="01E0" w:firstRow="1" w:lastRow="1" w:firstColumn="1" w:lastColumn="1" w:noHBand="0" w:noVBand="0"/>
      </w:tblPr>
      <w:tblGrid>
        <w:gridCol w:w="1076"/>
        <w:gridCol w:w="8279"/>
      </w:tblGrid>
      <w:tr w:rsidR="005D09F6" w:rsidRPr="00997CB2">
        <w:tc>
          <w:tcPr>
            <w:tcW w:w="1080" w:type="dxa"/>
          </w:tcPr>
          <w:p w:rsidR="005D09F6" w:rsidRPr="00997CB2" w:rsidRDefault="00952F94">
            <w:pPr>
              <w:suppressAutoHyphens/>
              <w:rPr>
                <w:b/>
              </w:rPr>
            </w:pPr>
            <w:r w:rsidRPr="00997CB2">
              <w:rPr>
                <w:b/>
              </w:rPr>
              <w:t>Source</w:t>
            </w:r>
          </w:p>
        </w:tc>
        <w:tc>
          <w:tcPr>
            <w:tcW w:w="8491" w:type="dxa"/>
          </w:tcPr>
          <w:p w:rsidR="005D09F6" w:rsidRPr="00997CB2" w:rsidRDefault="008B4F96">
            <w:pPr>
              <w:suppressAutoHyphens/>
              <w:rPr>
                <w:b/>
              </w:rPr>
            </w:pPr>
            <w:r>
              <w:rPr>
                <w:b/>
              </w:rPr>
              <w:t>Video</w:t>
            </w:r>
          </w:p>
        </w:tc>
      </w:tr>
      <w:tr w:rsidR="005D09F6" w:rsidRPr="00997CB2">
        <w:tc>
          <w:tcPr>
            <w:tcW w:w="1080" w:type="dxa"/>
          </w:tcPr>
          <w:p w:rsidR="005D09F6" w:rsidRPr="00997CB2" w:rsidRDefault="00952F94">
            <w:pPr>
              <w:suppressAutoHyphens/>
              <w:rPr>
                <w:b/>
              </w:rPr>
            </w:pPr>
            <w:r w:rsidRPr="00997CB2">
              <w:rPr>
                <w:b/>
              </w:rPr>
              <w:t>Status</w:t>
            </w:r>
          </w:p>
        </w:tc>
        <w:tc>
          <w:tcPr>
            <w:tcW w:w="8491" w:type="dxa"/>
          </w:tcPr>
          <w:p w:rsidR="005D09F6" w:rsidRPr="00997CB2" w:rsidRDefault="00A27A7A">
            <w:pPr>
              <w:suppressAutoHyphens/>
              <w:rPr>
                <w:b/>
              </w:rPr>
            </w:pPr>
            <w:r>
              <w:rPr>
                <w:b/>
              </w:rPr>
              <w:t>Approved</w:t>
            </w:r>
          </w:p>
        </w:tc>
      </w:tr>
      <w:tr w:rsidR="005D09F6" w:rsidRPr="00997CB2">
        <w:tc>
          <w:tcPr>
            <w:tcW w:w="1080" w:type="dxa"/>
          </w:tcPr>
          <w:p w:rsidR="005D09F6" w:rsidRPr="00997CB2" w:rsidRDefault="00952F94">
            <w:pPr>
              <w:suppressAutoHyphens/>
              <w:rPr>
                <w:b/>
              </w:rPr>
            </w:pPr>
            <w:r w:rsidRPr="00997CB2">
              <w:rPr>
                <w:b/>
              </w:rPr>
              <w:t>Title</w:t>
            </w:r>
          </w:p>
        </w:tc>
        <w:tc>
          <w:tcPr>
            <w:tcW w:w="8491" w:type="dxa"/>
          </w:tcPr>
          <w:p w:rsidR="005D09F6" w:rsidRPr="00997CB2" w:rsidRDefault="00A95DEB" w:rsidP="00FD67FE">
            <w:pPr>
              <w:suppressAutoHyphens/>
              <w:rPr>
                <w:b/>
              </w:rPr>
            </w:pPr>
            <w:r w:rsidRPr="00997CB2">
              <w:rPr>
                <w:b/>
              </w:rPr>
              <w:t>Core Experiment</w:t>
            </w:r>
            <w:r w:rsidR="00EF2CE7" w:rsidRPr="00997CB2">
              <w:rPr>
                <w:b/>
              </w:rPr>
              <w:t xml:space="preserve"> </w:t>
            </w:r>
            <w:r w:rsidR="00FD67FE" w:rsidRPr="00997CB2">
              <w:rPr>
                <w:b/>
              </w:rPr>
              <w:t>4 Consumer Monitor Testing</w:t>
            </w:r>
          </w:p>
        </w:tc>
      </w:tr>
      <w:tr w:rsidR="005D09F6" w:rsidRPr="00997CB2">
        <w:tc>
          <w:tcPr>
            <w:tcW w:w="1080" w:type="dxa"/>
          </w:tcPr>
          <w:p w:rsidR="005D09F6" w:rsidRPr="00997CB2" w:rsidRDefault="00952F94">
            <w:pPr>
              <w:rPr>
                <w:b/>
              </w:rPr>
            </w:pPr>
            <w:r w:rsidRPr="00997CB2">
              <w:rPr>
                <w:b/>
              </w:rPr>
              <w:t>Author</w:t>
            </w:r>
          </w:p>
        </w:tc>
        <w:tc>
          <w:tcPr>
            <w:tcW w:w="8491" w:type="dxa"/>
          </w:tcPr>
          <w:p w:rsidR="003034D7" w:rsidRPr="00997CB2" w:rsidRDefault="003034D7" w:rsidP="003034D7">
            <w:r w:rsidRPr="00997CB2">
              <w:t xml:space="preserve">CE Chairs: P. Topiwala (FastVDO), </w:t>
            </w:r>
            <w:r w:rsidR="00FD67FE" w:rsidRPr="00997CB2">
              <w:t>E. Alshina (Samsung)</w:t>
            </w:r>
            <w:r w:rsidR="00842112" w:rsidRPr="00997CB2">
              <w:t xml:space="preserve">, </w:t>
            </w:r>
            <w:r w:rsidR="008E7CA0" w:rsidRPr="00997CB2">
              <w:t xml:space="preserve">J. </w:t>
            </w:r>
            <w:r w:rsidR="00842112" w:rsidRPr="00997CB2">
              <w:t>A. Smolic (Disney)</w:t>
            </w:r>
            <w:r w:rsidR="00FD67FE" w:rsidRPr="00997CB2">
              <w:t>, S. Lee (Q</w:t>
            </w:r>
            <w:bookmarkStart w:id="0" w:name="_GoBack"/>
            <w:bookmarkEnd w:id="0"/>
            <w:r w:rsidR="00FD67FE" w:rsidRPr="00997CB2">
              <w:t>ualcomm).</w:t>
            </w:r>
          </w:p>
          <w:p w:rsidR="005D09F6" w:rsidRPr="00997CB2" w:rsidRDefault="005D09F6">
            <w:pPr>
              <w:rPr>
                <w:lang w:eastAsia="ja-JP"/>
              </w:rPr>
            </w:pPr>
          </w:p>
        </w:tc>
      </w:tr>
    </w:tbl>
    <w:p w:rsidR="000015E5" w:rsidRPr="00997CB2" w:rsidRDefault="00A95DEB" w:rsidP="00A95DEB">
      <w:pPr>
        <w:pStyle w:val="Heading1"/>
        <w:numPr>
          <w:ilvl w:val="0"/>
          <w:numId w:val="0"/>
        </w:numPr>
        <w:ind w:left="432"/>
        <w:rPr>
          <w:rFonts w:ascii="Times New Roman" w:hAnsi="Times New Roman"/>
          <w:sz w:val="24"/>
          <w:szCs w:val="24"/>
          <w:lang w:val="de-AT"/>
        </w:rPr>
      </w:pPr>
      <w:r w:rsidRPr="00997CB2">
        <w:rPr>
          <w:rFonts w:ascii="Times New Roman" w:hAnsi="Times New Roman"/>
          <w:sz w:val="24"/>
          <w:szCs w:val="24"/>
          <w:lang w:val="de-AT"/>
        </w:rPr>
        <w:t>Abstract</w:t>
      </w:r>
    </w:p>
    <w:p w:rsidR="003034D7" w:rsidRPr="00997CB2" w:rsidRDefault="00684346" w:rsidP="00A95DEB">
      <w:r w:rsidRPr="00997CB2">
        <w:t>The aim of</w:t>
      </w:r>
      <w:r w:rsidR="00B47F56" w:rsidRPr="00997CB2">
        <w:t xml:space="preserve"> CE</w:t>
      </w:r>
      <w:r w:rsidR="00FD67FE" w:rsidRPr="00997CB2">
        <w:t>4</w:t>
      </w:r>
      <w:r w:rsidR="00B47F56" w:rsidRPr="00997CB2">
        <w:t xml:space="preserve"> </w:t>
      </w:r>
      <w:r w:rsidRPr="00997CB2">
        <w:t xml:space="preserve">is to investigate the </w:t>
      </w:r>
      <w:r w:rsidR="00FD67FE" w:rsidRPr="00997CB2">
        <w:t>visual performance of anchors and test reshaper technologies on consumer monitors, and compare against the performance on professional HDR monitors.</w:t>
      </w:r>
    </w:p>
    <w:p w:rsidR="00A95DEB" w:rsidRPr="00997CB2" w:rsidRDefault="00A95DEB" w:rsidP="00A95DEB">
      <w:pPr>
        <w:pStyle w:val="Heading1"/>
        <w:rPr>
          <w:rFonts w:ascii="Times New Roman" w:hAnsi="Times New Roman"/>
          <w:sz w:val="24"/>
          <w:szCs w:val="24"/>
          <w:lang w:val="de-AT"/>
        </w:rPr>
      </w:pPr>
      <w:r w:rsidRPr="00997CB2">
        <w:rPr>
          <w:rFonts w:ascii="Times New Roman" w:hAnsi="Times New Roman"/>
          <w:sz w:val="24"/>
          <w:szCs w:val="24"/>
          <w:lang w:val="de-AT"/>
        </w:rPr>
        <w:t>Introduction</w:t>
      </w:r>
    </w:p>
    <w:p w:rsidR="003034D7" w:rsidRPr="00997CB2" w:rsidRDefault="003034D7" w:rsidP="003034D7">
      <w:pPr>
        <w:rPr>
          <w:lang w:val="de-AT"/>
        </w:rPr>
      </w:pPr>
    </w:p>
    <w:p w:rsidR="00FD67FE" w:rsidRPr="00997CB2" w:rsidRDefault="00FD67FE" w:rsidP="00FD67FE">
      <w:r w:rsidRPr="00997CB2">
        <w:t>HDR is a growing area of interest in broadcast TV, blu-ray, and OTT services. By High-Dynamic Range (HDR), we refer to video content that is substantially higher in brightness (measured in nits), as well as having wider color gamut (WCG), than receivers of today. Legacy receivers have been in the range of 100 nits, and supporting 8-bit video with the BT.709 color space. HDR can be viewed as video in the 1000+ nits range, supporting 10+ bits/sample, and potentially supporting the BT.2020 color space. Currently, the work in the ISO/MPEG AhG on HDR/WCG has been exclusively using two monitors for all subjective assessments: (1) the Dolby Pulsar monitor, which is a private model internal to Dolby and unavailable; and (2) the Sim2, which at approximately $40K dollars is a reference monitor that is unlikely to reach consumers soon. Nevertheless, the work of the AhG aims to provide a coding technology for consumer services to the home. The only way to assess the value of any design for suitability for consumer services is therefore to actually test on devices that may be deployed in the home. We include in this category OLED reference monitors for test purposes.</w:t>
      </w:r>
    </w:p>
    <w:p w:rsidR="003034D7" w:rsidRPr="00997CB2" w:rsidRDefault="003034D7" w:rsidP="00222447">
      <w:pPr>
        <w:ind w:left="720"/>
      </w:pPr>
    </w:p>
    <w:p w:rsidR="00FD67FE" w:rsidRPr="00997CB2" w:rsidRDefault="00FD67FE" w:rsidP="00FD67FE">
      <w:r w:rsidRPr="00997CB2">
        <w:t>Proposed CE4 Mandates</w:t>
      </w:r>
    </w:p>
    <w:p w:rsidR="00FD67FE" w:rsidRPr="00997CB2" w:rsidRDefault="00FD67FE" w:rsidP="00FD67FE">
      <w:pPr>
        <w:pStyle w:val="ListParagraph"/>
        <w:numPr>
          <w:ilvl w:val="0"/>
          <w:numId w:val="2"/>
        </w:numPr>
        <w:jc w:val="both"/>
        <w:rPr>
          <w:rFonts w:ascii="Times New Roman" w:hAnsi="Times New Roman" w:cs="Times New Roman"/>
          <w:sz w:val="24"/>
          <w:szCs w:val="24"/>
        </w:rPr>
      </w:pPr>
      <w:r w:rsidRPr="00997CB2">
        <w:rPr>
          <w:rFonts w:ascii="Times New Roman" w:hAnsi="Times New Roman" w:cs="Times New Roman"/>
          <w:sz w:val="24"/>
          <w:szCs w:val="24"/>
        </w:rPr>
        <w:t>Review the available TVs/monitors in the market.</w:t>
      </w:r>
    </w:p>
    <w:p w:rsidR="00FD67FE" w:rsidRPr="00997CB2" w:rsidRDefault="00FD67FE" w:rsidP="00FD67FE">
      <w:pPr>
        <w:pStyle w:val="ListParagraph"/>
        <w:numPr>
          <w:ilvl w:val="0"/>
          <w:numId w:val="2"/>
        </w:numPr>
        <w:jc w:val="both"/>
        <w:rPr>
          <w:rFonts w:ascii="Times New Roman" w:hAnsi="Times New Roman" w:cs="Times New Roman"/>
          <w:sz w:val="24"/>
          <w:szCs w:val="24"/>
        </w:rPr>
      </w:pPr>
      <w:r w:rsidRPr="00997CB2">
        <w:rPr>
          <w:rFonts w:ascii="Times New Roman" w:hAnsi="Times New Roman" w:cs="Times New Roman"/>
          <w:sz w:val="24"/>
          <w:szCs w:val="24"/>
        </w:rPr>
        <w:t>Investigate their characteristics in detail (peak luminosity, primaries, linearity, uniformity).</w:t>
      </w:r>
    </w:p>
    <w:p w:rsidR="00FD67FE" w:rsidRPr="00997CB2" w:rsidRDefault="00FD67FE" w:rsidP="00FD67FE">
      <w:pPr>
        <w:pStyle w:val="ListParagraph"/>
        <w:numPr>
          <w:ilvl w:val="0"/>
          <w:numId w:val="2"/>
        </w:numPr>
        <w:jc w:val="both"/>
        <w:rPr>
          <w:rFonts w:ascii="Times New Roman" w:hAnsi="Times New Roman" w:cs="Times New Roman"/>
          <w:sz w:val="24"/>
          <w:szCs w:val="24"/>
        </w:rPr>
      </w:pPr>
      <w:r w:rsidRPr="00997CB2">
        <w:rPr>
          <w:rFonts w:ascii="Times New Roman" w:hAnsi="Times New Roman" w:cs="Times New Roman"/>
          <w:sz w:val="24"/>
          <w:szCs w:val="24"/>
        </w:rPr>
        <w:t xml:space="preserve">Develop methods to compare professional HDR monitors and consumer devices, including converting 4K content to 1K (manually, or by tone-map). </w:t>
      </w:r>
    </w:p>
    <w:p w:rsidR="00FD67FE" w:rsidRPr="00997CB2" w:rsidRDefault="00FD67FE" w:rsidP="00FD67FE">
      <w:pPr>
        <w:pStyle w:val="ListParagraph"/>
        <w:numPr>
          <w:ilvl w:val="0"/>
          <w:numId w:val="2"/>
        </w:numPr>
        <w:jc w:val="both"/>
        <w:rPr>
          <w:rFonts w:ascii="Times New Roman" w:hAnsi="Times New Roman" w:cs="Times New Roman"/>
          <w:sz w:val="24"/>
          <w:szCs w:val="24"/>
        </w:rPr>
      </w:pPr>
      <w:r w:rsidRPr="00997CB2">
        <w:rPr>
          <w:rFonts w:ascii="Times New Roman" w:hAnsi="Times New Roman" w:cs="Times New Roman"/>
          <w:sz w:val="24"/>
          <w:szCs w:val="24"/>
        </w:rPr>
        <w:t>Seek data contributions at both 4K and 1K.</w:t>
      </w:r>
    </w:p>
    <w:p w:rsidR="00FD67FE" w:rsidRPr="00997CB2" w:rsidRDefault="00FD67FE" w:rsidP="00FD67FE">
      <w:pPr>
        <w:pStyle w:val="ListParagraph"/>
        <w:numPr>
          <w:ilvl w:val="0"/>
          <w:numId w:val="2"/>
        </w:numPr>
        <w:jc w:val="both"/>
        <w:rPr>
          <w:rFonts w:ascii="Times New Roman" w:hAnsi="Times New Roman" w:cs="Times New Roman"/>
          <w:sz w:val="24"/>
          <w:szCs w:val="24"/>
        </w:rPr>
      </w:pPr>
      <w:r w:rsidRPr="00997CB2">
        <w:rPr>
          <w:rFonts w:ascii="Times New Roman" w:hAnsi="Times New Roman" w:cs="Times New Roman"/>
          <w:sz w:val="24"/>
          <w:szCs w:val="24"/>
        </w:rPr>
        <w:t>Seek volunteers to provide both professional and consumer devices at meetings.</w:t>
      </w:r>
    </w:p>
    <w:p w:rsidR="00FD67FE" w:rsidRPr="00997CB2" w:rsidRDefault="00FD67FE" w:rsidP="00FD67FE">
      <w:pPr>
        <w:pStyle w:val="ListParagraph"/>
        <w:numPr>
          <w:ilvl w:val="0"/>
          <w:numId w:val="2"/>
        </w:numPr>
        <w:jc w:val="both"/>
        <w:rPr>
          <w:rFonts w:ascii="Times New Roman" w:hAnsi="Times New Roman" w:cs="Times New Roman"/>
          <w:sz w:val="24"/>
          <w:szCs w:val="24"/>
        </w:rPr>
      </w:pPr>
      <w:r w:rsidRPr="00997CB2">
        <w:rPr>
          <w:rFonts w:ascii="Times New Roman" w:hAnsi="Times New Roman" w:cs="Times New Roman"/>
          <w:sz w:val="24"/>
          <w:szCs w:val="24"/>
        </w:rPr>
        <w:t>Define proper test setup for the two types of monitors. Conduct visual tests of original, anchors and reshaper-enabled coded content, on both types of monitors. Report to the committee.</w:t>
      </w:r>
    </w:p>
    <w:p w:rsidR="00997CB2" w:rsidRPr="00997CB2" w:rsidRDefault="00997CB2" w:rsidP="00997CB2">
      <w:pPr>
        <w:pStyle w:val="Heading1"/>
        <w:rPr>
          <w:rFonts w:ascii="Times New Roman" w:hAnsi="Times New Roman"/>
          <w:sz w:val="24"/>
          <w:szCs w:val="24"/>
          <w:u w:val="single"/>
        </w:rPr>
      </w:pPr>
      <w:r w:rsidRPr="00997CB2">
        <w:rPr>
          <w:rFonts w:ascii="Times New Roman" w:hAnsi="Times New Roman"/>
          <w:sz w:val="24"/>
          <w:szCs w:val="24"/>
          <w:lang w:val="de-AT"/>
        </w:rPr>
        <w:t>Test Plan</w:t>
      </w:r>
    </w:p>
    <w:p w:rsidR="00997CB2" w:rsidRPr="00997CB2" w:rsidRDefault="00997CB2" w:rsidP="00997CB2">
      <w:r w:rsidRPr="00997CB2">
        <w:t>1. Seek data contributions at 4K and 1K nits. This can be done by</w:t>
      </w:r>
      <w:r w:rsidR="007A35C1">
        <w:t xml:space="preserve"> two ways</w:t>
      </w:r>
      <w:r w:rsidRPr="00997CB2">
        <w:t>:</w:t>
      </w:r>
    </w:p>
    <w:p w:rsidR="00997CB2" w:rsidRPr="00997CB2" w:rsidRDefault="00997CB2" w:rsidP="00997CB2"/>
    <w:p w:rsidR="00997CB2" w:rsidRPr="00997CB2" w:rsidRDefault="00997CB2" w:rsidP="00997CB2">
      <w:pPr>
        <w:pStyle w:val="ListParagraph"/>
        <w:numPr>
          <w:ilvl w:val="0"/>
          <w:numId w:val="6"/>
        </w:numPr>
        <w:rPr>
          <w:rFonts w:ascii="Times New Roman" w:hAnsi="Times New Roman" w:cs="Times New Roman"/>
          <w:sz w:val="24"/>
          <w:szCs w:val="24"/>
        </w:rPr>
      </w:pPr>
      <w:r w:rsidRPr="00997CB2">
        <w:rPr>
          <w:rFonts w:ascii="Times New Roman" w:hAnsi="Times New Roman" w:cs="Times New Roman"/>
          <w:sz w:val="24"/>
          <w:szCs w:val="24"/>
        </w:rPr>
        <w:t>manual regrading by volunteers.</w:t>
      </w:r>
    </w:p>
    <w:p w:rsidR="00997CB2" w:rsidRPr="00997CB2" w:rsidRDefault="00997CB2" w:rsidP="00997CB2">
      <w:pPr>
        <w:pStyle w:val="ListParagraph"/>
        <w:numPr>
          <w:ilvl w:val="0"/>
          <w:numId w:val="6"/>
        </w:numPr>
        <w:rPr>
          <w:rFonts w:ascii="Times New Roman" w:hAnsi="Times New Roman" w:cs="Times New Roman"/>
          <w:sz w:val="24"/>
          <w:szCs w:val="24"/>
        </w:rPr>
      </w:pPr>
      <w:r w:rsidRPr="00997CB2">
        <w:rPr>
          <w:rFonts w:ascii="Times New Roman" w:hAnsi="Times New Roman" w:cs="Times New Roman"/>
          <w:sz w:val="24"/>
          <w:szCs w:val="24"/>
        </w:rPr>
        <w:t>using a fixed tone mapper (review of tone mappers done outside this CE, choice to be agreed upon). Disney, FUB are among parties that may have tone mappers to contribute.</w:t>
      </w:r>
    </w:p>
    <w:p w:rsidR="00997CB2" w:rsidRPr="00997CB2" w:rsidRDefault="00997CB2" w:rsidP="00997CB2"/>
    <w:p w:rsidR="00997CB2" w:rsidRPr="00997CB2" w:rsidRDefault="00997CB2" w:rsidP="00997CB2">
      <w:r w:rsidRPr="00997CB2">
        <w:t xml:space="preserve">2. Seek volunteers to bring a selection of monitors to </w:t>
      </w:r>
      <w:r w:rsidR="007A35C1">
        <w:t xml:space="preserve">both the Interim Meeting, and the </w:t>
      </w:r>
      <w:r w:rsidRPr="00997CB2">
        <w:t xml:space="preserve">San Diego </w:t>
      </w:r>
      <w:r w:rsidR="007A35C1">
        <w:t>WG11/JCT-VC M</w:t>
      </w:r>
      <w:r w:rsidRPr="00997CB2">
        <w:t>eeting: Sim2, OLED, and one or two consumer monitors The following companies may be able to provide such: Qcom, Samsung, Sony, MovieLabs, FUB</w:t>
      </w:r>
      <w:r w:rsidR="007A35C1">
        <w:t>, and Univ. of British Columbia</w:t>
      </w:r>
      <w:r w:rsidRPr="00997CB2">
        <w:t>. Additional volunteers are encouraged.</w:t>
      </w:r>
    </w:p>
    <w:p w:rsidR="00997CB2" w:rsidRPr="00997CB2" w:rsidRDefault="00997CB2" w:rsidP="00997CB2"/>
    <w:p w:rsidR="00997CB2" w:rsidRPr="00997CB2" w:rsidRDefault="00997CB2" w:rsidP="00997CB2">
      <w:r w:rsidRPr="00997CB2">
        <w:t xml:space="preserve">3. Prepare content in several forms: </w:t>
      </w:r>
    </w:p>
    <w:p w:rsidR="00997CB2" w:rsidRPr="00997CB2" w:rsidRDefault="00997CB2" w:rsidP="00997CB2"/>
    <w:p w:rsidR="00997CB2" w:rsidRPr="00997CB2" w:rsidRDefault="00997CB2" w:rsidP="00997CB2">
      <w:pPr>
        <w:pStyle w:val="ListParagraph"/>
        <w:numPr>
          <w:ilvl w:val="0"/>
          <w:numId w:val="4"/>
        </w:numPr>
        <w:rPr>
          <w:rFonts w:ascii="Times New Roman" w:hAnsi="Times New Roman" w:cs="Times New Roman"/>
          <w:sz w:val="24"/>
          <w:szCs w:val="24"/>
        </w:rPr>
      </w:pPr>
      <w:r w:rsidRPr="00997CB2">
        <w:rPr>
          <w:rFonts w:ascii="Times New Roman" w:hAnsi="Times New Roman" w:cs="Times New Roman"/>
          <w:sz w:val="24"/>
          <w:szCs w:val="24"/>
        </w:rPr>
        <w:t>uncompressed originals;</w:t>
      </w:r>
    </w:p>
    <w:p w:rsidR="00997CB2" w:rsidRPr="00997CB2" w:rsidRDefault="00997CB2" w:rsidP="00997CB2">
      <w:pPr>
        <w:pStyle w:val="ListParagraph"/>
        <w:numPr>
          <w:ilvl w:val="0"/>
          <w:numId w:val="4"/>
        </w:numPr>
        <w:rPr>
          <w:rFonts w:ascii="Times New Roman" w:hAnsi="Times New Roman" w:cs="Times New Roman"/>
          <w:sz w:val="24"/>
          <w:szCs w:val="24"/>
        </w:rPr>
      </w:pPr>
      <w:r w:rsidRPr="00997CB2">
        <w:rPr>
          <w:rFonts w:ascii="Times New Roman" w:hAnsi="Times New Roman" w:cs="Times New Roman"/>
          <w:sz w:val="24"/>
          <w:szCs w:val="24"/>
        </w:rPr>
        <w:t>anchors (as provided by CE1);</w:t>
      </w:r>
    </w:p>
    <w:p w:rsidR="00997CB2" w:rsidRPr="00997CB2" w:rsidRDefault="00997CB2" w:rsidP="00997CB2">
      <w:pPr>
        <w:pStyle w:val="ListParagraph"/>
        <w:numPr>
          <w:ilvl w:val="0"/>
          <w:numId w:val="4"/>
        </w:numPr>
        <w:rPr>
          <w:rFonts w:ascii="Times New Roman" w:hAnsi="Times New Roman" w:cs="Times New Roman"/>
          <w:sz w:val="24"/>
          <w:szCs w:val="24"/>
        </w:rPr>
      </w:pPr>
      <w:r w:rsidRPr="00997CB2">
        <w:rPr>
          <w:rFonts w:ascii="Times New Roman" w:hAnsi="Times New Roman" w:cs="Times New Roman"/>
          <w:sz w:val="24"/>
          <w:szCs w:val="24"/>
        </w:rPr>
        <w:t>reshaper tests (as provided by CE2).</w:t>
      </w:r>
    </w:p>
    <w:p w:rsidR="00997CB2" w:rsidRPr="00997CB2" w:rsidRDefault="00997CB2" w:rsidP="00997CB2"/>
    <w:p w:rsidR="00997CB2" w:rsidRPr="00997CB2" w:rsidRDefault="00997CB2" w:rsidP="00997CB2">
      <w:r w:rsidRPr="00997CB2">
        <w:t xml:space="preserve">For viewing purposes, take steps to minimize or eliminate any post-processing done on the monitors/TVs themselves. These include ensuring content is explicitly limited to the peak luminosities of the devices, ensure monitors can accept the content resolutions, and using lossless compression as necessary to pass the signals to the devices by USB at correct frame rates. </w:t>
      </w:r>
    </w:p>
    <w:p w:rsidR="00997CB2" w:rsidRPr="00997CB2" w:rsidRDefault="00997CB2" w:rsidP="00997CB2"/>
    <w:p w:rsidR="00997CB2" w:rsidRPr="00997CB2" w:rsidRDefault="00997CB2" w:rsidP="00997CB2">
      <w:r w:rsidRPr="00997CB2">
        <w:t xml:space="preserve">4. Conduct informal visual tests at </w:t>
      </w:r>
      <w:r w:rsidR="007A35C1">
        <w:t xml:space="preserve">the Interim Meeting, and at </w:t>
      </w:r>
      <w:r w:rsidRPr="00997CB2">
        <w:t>San Dieg</w:t>
      </w:r>
      <w:r w:rsidR="007A35C1">
        <w:t>o</w:t>
      </w:r>
      <w:r w:rsidRPr="00997CB2">
        <w:t xml:space="preserve"> in advance of the </w:t>
      </w:r>
      <w:r w:rsidR="007A35C1">
        <w:t xml:space="preserve">WG11/JCT-VC </w:t>
      </w:r>
      <w:r w:rsidRPr="00997CB2">
        <w:t>meeting, in comparing test sequences which are uncompressed, anchors, and reshaper based. Compare visual quality across these monitors, and document two things:</w:t>
      </w:r>
    </w:p>
    <w:p w:rsidR="00997CB2" w:rsidRPr="00997CB2" w:rsidRDefault="00997CB2" w:rsidP="00997CB2"/>
    <w:p w:rsidR="00997CB2" w:rsidRPr="00997CB2" w:rsidRDefault="00997CB2" w:rsidP="00F95CEA">
      <w:pPr>
        <w:pStyle w:val="ListParagraph"/>
        <w:numPr>
          <w:ilvl w:val="0"/>
          <w:numId w:val="5"/>
        </w:numPr>
      </w:pPr>
      <w:r w:rsidRPr="00997CB2">
        <w:rPr>
          <w:rFonts w:ascii="Times New Roman" w:hAnsi="Times New Roman" w:cs="Times New Roman"/>
          <w:sz w:val="24"/>
          <w:szCs w:val="24"/>
        </w:rPr>
        <w:t>the visibility of any differences between anchors and reshaper tests on professional HDR monitors (e.g,. Sim2), and on available consumer monitors.</w:t>
      </w:r>
    </w:p>
    <w:p w:rsidR="00997CB2" w:rsidRPr="00997CB2" w:rsidRDefault="00997CB2" w:rsidP="00997CB2">
      <w:pPr>
        <w:pStyle w:val="ListParagraph"/>
        <w:numPr>
          <w:ilvl w:val="0"/>
          <w:numId w:val="5"/>
        </w:numPr>
        <w:rPr>
          <w:rFonts w:ascii="Times New Roman" w:hAnsi="Times New Roman" w:cs="Times New Roman"/>
          <w:sz w:val="24"/>
          <w:szCs w:val="24"/>
        </w:rPr>
      </w:pPr>
      <w:r w:rsidRPr="00997CB2">
        <w:rPr>
          <w:rFonts w:ascii="Times New Roman" w:hAnsi="Times New Roman" w:cs="Times New Roman"/>
          <w:sz w:val="24"/>
          <w:szCs w:val="24"/>
        </w:rPr>
        <w:t>any variability in that visibility between available consumer monitors.</w:t>
      </w:r>
    </w:p>
    <w:p w:rsidR="00997CB2" w:rsidRPr="00997CB2" w:rsidRDefault="00997CB2" w:rsidP="00997CB2"/>
    <w:p w:rsidR="00997CB2" w:rsidRPr="00997CB2" w:rsidRDefault="00997CB2" w:rsidP="00997CB2">
      <w:r w:rsidRPr="00997CB2">
        <w:t xml:space="preserve">5. Report results to committee. </w:t>
      </w:r>
    </w:p>
    <w:p w:rsidR="00997CB2" w:rsidRPr="00997CB2" w:rsidRDefault="00997CB2" w:rsidP="00997CB2"/>
    <w:p w:rsidR="00997CB2" w:rsidRPr="00997CB2" w:rsidRDefault="00997CB2" w:rsidP="00997CB2">
      <w:r w:rsidRPr="00997CB2">
        <w:t>6. If possible, run viewing sessions for committee members</w:t>
      </w:r>
      <w:r w:rsidR="00751257">
        <w:t>.</w:t>
      </w:r>
    </w:p>
    <w:p w:rsidR="0050183B" w:rsidRPr="00997CB2" w:rsidRDefault="0050183B" w:rsidP="0050183B"/>
    <w:p w:rsidR="00997CB2" w:rsidRDefault="00997CB2" w:rsidP="008825FC">
      <w:pPr>
        <w:pStyle w:val="Heading1"/>
        <w:rPr>
          <w:rFonts w:ascii="Times New Roman" w:hAnsi="Times New Roman"/>
          <w:sz w:val="24"/>
          <w:szCs w:val="24"/>
          <w:lang w:val="de-AT"/>
        </w:rPr>
      </w:pPr>
      <w:r>
        <w:rPr>
          <w:rFonts w:ascii="Times New Roman" w:hAnsi="Times New Roman"/>
          <w:sz w:val="24"/>
          <w:szCs w:val="24"/>
          <w:lang w:val="de-AT"/>
        </w:rPr>
        <w:t>Test Sequences</w:t>
      </w:r>
    </w:p>
    <w:p w:rsidR="00997CB2" w:rsidRPr="00997CB2" w:rsidRDefault="00997CB2" w:rsidP="00997CB2">
      <w:pPr>
        <w:rPr>
          <w:lang w:val="de-AT"/>
        </w:rPr>
      </w:pPr>
      <w:r>
        <w:rPr>
          <w:lang w:val="de-AT"/>
        </w:rPr>
        <w:t xml:space="preserve">Test sequences will be from the common conditions, as well as any additional content that we acquire </w:t>
      </w:r>
      <w:r w:rsidR="001A706C">
        <w:rPr>
          <w:lang w:val="de-AT"/>
        </w:rPr>
        <w:t xml:space="preserve">or produce </w:t>
      </w:r>
      <w:r>
        <w:rPr>
          <w:lang w:val="de-AT"/>
        </w:rPr>
        <w:t>during the course of this CE.</w:t>
      </w:r>
    </w:p>
    <w:p w:rsidR="00997CB2" w:rsidRPr="00997CB2" w:rsidRDefault="00997CB2" w:rsidP="00997CB2">
      <w:pPr>
        <w:rPr>
          <w:lang w:val="de-AT"/>
        </w:rPr>
      </w:pPr>
    </w:p>
    <w:p w:rsidR="008825FC" w:rsidRPr="00997CB2" w:rsidRDefault="008825FC" w:rsidP="008825FC">
      <w:pPr>
        <w:pStyle w:val="Heading1"/>
        <w:rPr>
          <w:rFonts w:ascii="Times New Roman" w:hAnsi="Times New Roman"/>
          <w:sz w:val="24"/>
          <w:szCs w:val="24"/>
          <w:lang w:val="de-AT"/>
        </w:rPr>
      </w:pPr>
      <w:r w:rsidRPr="00997CB2">
        <w:rPr>
          <w:rFonts w:ascii="Times New Roman" w:hAnsi="Times New Roman"/>
          <w:sz w:val="24"/>
          <w:szCs w:val="24"/>
          <w:lang w:val="de-AT"/>
        </w:rPr>
        <w:t>Time line</w:t>
      </w:r>
    </w:p>
    <w:p w:rsidR="0050183B" w:rsidRPr="00997CB2" w:rsidRDefault="0050183B" w:rsidP="0050183B">
      <w:pPr>
        <w:rPr>
          <w:lang w:val="de-AT"/>
        </w:rPr>
      </w:pPr>
    </w:p>
    <w:p w:rsidR="00A933D2" w:rsidRDefault="00A933D2" w:rsidP="00A933D2">
      <w:pPr>
        <w:jc w:val="left"/>
      </w:pPr>
      <w:r>
        <w:t>10/23/2015</w:t>
      </w:r>
      <w:r>
        <w:tab/>
        <w:t>Meeting ends</w:t>
      </w:r>
    </w:p>
    <w:p w:rsidR="00A933D2" w:rsidRDefault="00A933D2" w:rsidP="00A933D2">
      <w:pPr>
        <w:jc w:val="left"/>
      </w:pPr>
      <w:r>
        <w:t>11/27/2015</w:t>
      </w:r>
      <w:r>
        <w:tab/>
        <w:t>Refine test plan/</w:t>
      </w:r>
      <w:r w:rsidR="007166F2">
        <w:t>description and distribute</w:t>
      </w:r>
      <w:r>
        <w:t xml:space="preserve"> over reflector</w:t>
      </w:r>
    </w:p>
    <w:p w:rsidR="00A933D2" w:rsidRDefault="00A933D2" w:rsidP="00A933D2">
      <w:pPr>
        <w:jc w:val="left"/>
      </w:pPr>
      <w:r>
        <w:t>01/10/2016</w:t>
      </w:r>
      <w:r>
        <w:tab/>
        <w:t>Interim Meeting visual test plan</w:t>
      </w:r>
      <w:r w:rsidR="007166F2">
        <w:t>s</w:t>
      </w:r>
    </w:p>
    <w:p w:rsidR="00A933D2" w:rsidRDefault="007166F2" w:rsidP="00A933D2">
      <w:pPr>
        <w:jc w:val="left"/>
      </w:pPr>
      <w:r>
        <w:t>01/13</w:t>
      </w:r>
      <w:r w:rsidR="00A933D2">
        <w:t>/2016</w:t>
      </w:r>
      <w:r w:rsidR="00A933D2">
        <w:tab/>
        <w:t>Interim Meeting visual tests</w:t>
      </w:r>
    </w:p>
    <w:p w:rsidR="00A933D2" w:rsidRDefault="00A933D2" w:rsidP="00A933D2">
      <w:pPr>
        <w:jc w:val="left"/>
      </w:pPr>
      <w:r>
        <w:t>02/12/2016</w:t>
      </w:r>
      <w:r>
        <w:tab/>
        <w:t>San Diego Meeting visual test plans</w:t>
      </w:r>
    </w:p>
    <w:p w:rsidR="007A35C1" w:rsidRDefault="007A35C1" w:rsidP="00A933D2">
      <w:pPr>
        <w:jc w:val="left"/>
      </w:pPr>
      <w:r>
        <w:t xml:space="preserve">02/18/2016  </w:t>
      </w:r>
      <w:r>
        <w:tab/>
        <w:t>Pre-meeting visual tests</w:t>
      </w:r>
    </w:p>
    <w:p w:rsidR="008825FC" w:rsidRPr="00997CB2" w:rsidRDefault="008825FC" w:rsidP="008825FC">
      <w:pPr>
        <w:rPr>
          <w:lang w:val="de-AT"/>
        </w:rPr>
      </w:pPr>
    </w:p>
    <w:p w:rsidR="008825FC" w:rsidRPr="00997CB2" w:rsidRDefault="008825FC" w:rsidP="008825FC">
      <w:pPr>
        <w:pStyle w:val="Heading1"/>
        <w:rPr>
          <w:rFonts w:ascii="Times New Roman" w:hAnsi="Times New Roman"/>
          <w:sz w:val="24"/>
          <w:szCs w:val="24"/>
          <w:lang w:val="de-AT"/>
        </w:rPr>
      </w:pPr>
      <w:r w:rsidRPr="00997CB2">
        <w:rPr>
          <w:rFonts w:ascii="Times New Roman" w:hAnsi="Times New Roman"/>
          <w:sz w:val="24"/>
          <w:szCs w:val="24"/>
          <w:lang w:val="de-AT"/>
        </w:rPr>
        <w:lastRenderedPageBreak/>
        <w:t>Participants</w:t>
      </w:r>
    </w:p>
    <w:p w:rsidR="008825FC" w:rsidRPr="00997CB2" w:rsidRDefault="008825FC" w:rsidP="008825FC">
      <w:pPr>
        <w:rPr>
          <w:lang w:val="de-AT"/>
        </w:rPr>
      </w:pPr>
    </w:p>
    <w:p w:rsidR="00842112" w:rsidRPr="00997CB2" w:rsidRDefault="008825FC" w:rsidP="008825FC">
      <w:pPr>
        <w:rPr>
          <w:lang w:val="de-AT"/>
        </w:rPr>
      </w:pPr>
      <w:r w:rsidRPr="00997CB2">
        <w:rPr>
          <w:lang w:val="de-AT"/>
        </w:rPr>
        <w:t>-</w:t>
      </w:r>
    </w:p>
    <w:tbl>
      <w:tblPr>
        <w:tblStyle w:val="TableGrid"/>
        <w:tblW w:w="0" w:type="auto"/>
        <w:tblLook w:val="04A0" w:firstRow="1" w:lastRow="0" w:firstColumn="1" w:lastColumn="0" w:noHBand="0" w:noVBand="1"/>
      </w:tblPr>
      <w:tblGrid>
        <w:gridCol w:w="4672"/>
        <w:gridCol w:w="4673"/>
      </w:tblGrid>
      <w:tr w:rsidR="00842112" w:rsidRPr="00997CB2" w:rsidTr="00842112">
        <w:tc>
          <w:tcPr>
            <w:tcW w:w="4672" w:type="dxa"/>
          </w:tcPr>
          <w:p w:rsidR="00842112" w:rsidRPr="00997CB2" w:rsidRDefault="00842112" w:rsidP="008825FC">
            <w:pPr>
              <w:rPr>
                <w:lang w:val="de-AT"/>
              </w:rPr>
            </w:pPr>
            <w:r w:rsidRPr="00997CB2">
              <w:rPr>
                <w:lang w:val="de-AT"/>
              </w:rPr>
              <w:t>P. Topiwala (FastVDO)</w:t>
            </w:r>
          </w:p>
        </w:tc>
        <w:tc>
          <w:tcPr>
            <w:tcW w:w="4673" w:type="dxa"/>
          </w:tcPr>
          <w:p w:rsidR="00842112" w:rsidRPr="00997CB2" w:rsidRDefault="00867C3B" w:rsidP="008825FC">
            <w:pPr>
              <w:rPr>
                <w:lang w:val="de-AT"/>
              </w:rPr>
            </w:pPr>
            <w:r>
              <w:rPr>
                <w:lang w:val="de-AT"/>
              </w:rPr>
              <w:t>pankajtva@gmail.com</w:t>
            </w:r>
          </w:p>
        </w:tc>
      </w:tr>
      <w:tr w:rsidR="00842112" w:rsidRPr="00997CB2" w:rsidTr="00842112">
        <w:tc>
          <w:tcPr>
            <w:tcW w:w="4672" w:type="dxa"/>
          </w:tcPr>
          <w:p w:rsidR="00842112" w:rsidRPr="00997CB2" w:rsidRDefault="00FD67FE" w:rsidP="008825FC">
            <w:pPr>
              <w:rPr>
                <w:lang w:val="de-AT"/>
              </w:rPr>
            </w:pPr>
            <w:r w:rsidRPr="00997CB2">
              <w:rPr>
                <w:lang w:val="de-AT"/>
              </w:rPr>
              <w:t>E. Alshina (Samsung)</w:t>
            </w:r>
          </w:p>
        </w:tc>
        <w:tc>
          <w:tcPr>
            <w:tcW w:w="4673" w:type="dxa"/>
          </w:tcPr>
          <w:p w:rsidR="00842112" w:rsidRPr="00997CB2" w:rsidRDefault="00867C3B" w:rsidP="008825FC">
            <w:pPr>
              <w:rPr>
                <w:lang w:val="de-AT"/>
              </w:rPr>
            </w:pPr>
            <w:r>
              <w:rPr>
                <w:lang w:val="de-AT"/>
              </w:rPr>
              <w:t>Elena.alshina@gmail.com</w:t>
            </w:r>
          </w:p>
        </w:tc>
      </w:tr>
      <w:tr w:rsidR="00842112" w:rsidRPr="00997CB2" w:rsidTr="00842112">
        <w:tc>
          <w:tcPr>
            <w:tcW w:w="4672" w:type="dxa"/>
          </w:tcPr>
          <w:p w:rsidR="00842112" w:rsidRPr="00997CB2" w:rsidRDefault="00997CB2" w:rsidP="00997CB2">
            <w:pPr>
              <w:rPr>
                <w:lang w:val="de-AT"/>
              </w:rPr>
            </w:pPr>
            <w:r w:rsidRPr="00997CB2">
              <w:rPr>
                <w:lang w:val="de-AT"/>
              </w:rPr>
              <w:t>A. Smolic (Disney)</w:t>
            </w:r>
          </w:p>
        </w:tc>
        <w:tc>
          <w:tcPr>
            <w:tcW w:w="4673" w:type="dxa"/>
          </w:tcPr>
          <w:p w:rsidR="00842112" w:rsidRPr="00997CB2" w:rsidRDefault="00867C3B" w:rsidP="008825FC">
            <w:pPr>
              <w:rPr>
                <w:lang w:val="de-AT"/>
              </w:rPr>
            </w:pPr>
            <w:r>
              <w:rPr>
                <w:lang w:val="de-AT"/>
              </w:rPr>
              <w:t>smolic@disneyresearch.com</w:t>
            </w:r>
          </w:p>
        </w:tc>
      </w:tr>
      <w:tr w:rsidR="00842112" w:rsidRPr="00997CB2" w:rsidTr="00842112">
        <w:tc>
          <w:tcPr>
            <w:tcW w:w="4672" w:type="dxa"/>
          </w:tcPr>
          <w:p w:rsidR="00842112" w:rsidRPr="00997CB2" w:rsidRDefault="00FD67FE" w:rsidP="008825FC">
            <w:pPr>
              <w:rPr>
                <w:lang w:val="de-AT"/>
              </w:rPr>
            </w:pPr>
            <w:r w:rsidRPr="00997CB2">
              <w:rPr>
                <w:lang w:val="de-AT"/>
              </w:rPr>
              <w:t>S. Lee (Qualcomm)</w:t>
            </w:r>
          </w:p>
        </w:tc>
        <w:tc>
          <w:tcPr>
            <w:tcW w:w="4673" w:type="dxa"/>
          </w:tcPr>
          <w:p w:rsidR="00842112" w:rsidRPr="00997CB2" w:rsidRDefault="00867C3B" w:rsidP="008825FC">
            <w:pPr>
              <w:rPr>
                <w:lang w:val="de-AT"/>
              </w:rPr>
            </w:pPr>
            <w:r>
              <w:rPr>
                <w:lang w:val="de-AT"/>
              </w:rPr>
              <w:t>lsungwon@qti.qualcomm.com</w:t>
            </w:r>
          </w:p>
        </w:tc>
      </w:tr>
      <w:tr w:rsidR="00D217EB" w:rsidRPr="00997CB2" w:rsidTr="00842112">
        <w:tc>
          <w:tcPr>
            <w:tcW w:w="4672" w:type="dxa"/>
          </w:tcPr>
          <w:p w:rsidR="00D217EB" w:rsidRPr="00997CB2" w:rsidRDefault="00D217EB" w:rsidP="00D217EB">
            <w:pPr>
              <w:rPr>
                <w:lang w:val="de-AT"/>
              </w:rPr>
            </w:pPr>
            <w:r>
              <w:rPr>
                <w:lang w:val="de-AT"/>
              </w:rPr>
              <w:t>V. Baroncini (FUB)</w:t>
            </w:r>
          </w:p>
        </w:tc>
        <w:tc>
          <w:tcPr>
            <w:tcW w:w="4673" w:type="dxa"/>
          </w:tcPr>
          <w:p w:rsidR="00D217EB" w:rsidRPr="00997CB2" w:rsidRDefault="00D217EB" w:rsidP="00D217EB">
            <w:pPr>
              <w:rPr>
                <w:lang w:val="de-AT"/>
              </w:rPr>
            </w:pPr>
            <w:r>
              <w:rPr>
                <w:lang w:val="de-AT"/>
              </w:rPr>
              <w:t>vittorio@fub.it</w:t>
            </w:r>
          </w:p>
        </w:tc>
      </w:tr>
      <w:tr w:rsidR="00D217EB" w:rsidRPr="00997CB2" w:rsidTr="00842112">
        <w:tc>
          <w:tcPr>
            <w:tcW w:w="4672" w:type="dxa"/>
          </w:tcPr>
          <w:p w:rsidR="00D217EB" w:rsidRPr="00997CB2" w:rsidRDefault="00B8058C" w:rsidP="00D217EB">
            <w:pPr>
              <w:rPr>
                <w:lang w:val="de-AT"/>
              </w:rPr>
            </w:pPr>
            <w:r>
              <w:rPr>
                <w:lang w:val="de-AT"/>
              </w:rPr>
              <w:t>P. Nasiopoulous (UBC)</w:t>
            </w:r>
          </w:p>
        </w:tc>
        <w:tc>
          <w:tcPr>
            <w:tcW w:w="4673" w:type="dxa"/>
          </w:tcPr>
          <w:p w:rsidR="00D217EB" w:rsidRPr="00997CB2" w:rsidRDefault="00B8058C" w:rsidP="00D217EB">
            <w:pPr>
              <w:rPr>
                <w:lang w:val="de-AT"/>
              </w:rPr>
            </w:pPr>
            <w:r w:rsidRPr="00B8058C">
              <w:rPr>
                <w:lang w:val="de-AT"/>
              </w:rPr>
              <w:t>panosn@ece.ubc.ca</w:t>
            </w:r>
          </w:p>
        </w:tc>
      </w:tr>
      <w:tr w:rsidR="00D217EB" w:rsidRPr="00997CB2" w:rsidTr="00842112">
        <w:tc>
          <w:tcPr>
            <w:tcW w:w="4672" w:type="dxa"/>
          </w:tcPr>
          <w:p w:rsidR="00D217EB" w:rsidRPr="00997CB2" w:rsidRDefault="00B8058C" w:rsidP="00D217EB">
            <w:pPr>
              <w:rPr>
                <w:lang w:val="de-AT"/>
              </w:rPr>
            </w:pPr>
            <w:r>
              <w:rPr>
                <w:lang w:val="de-AT"/>
              </w:rPr>
              <w:t>M. Pourazad (UBC/Telus)</w:t>
            </w:r>
          </w:p>
        </w:tc>
        <w:tc>
          <w:tcPr>
            <w:tcW w:w="4673" w:type="dxa"/>
          </w:tcPr>
          <w:p w:rsidR="00D217EB" w:rsidRPr="00997CB2" w:rsidRDefault="00B8058C" w:rsidP="00D217EB">
            <w:pPr>
              <w:rPr>
                <w:lang w:val="de-AT"/>
              </w:rPr>
            </w:pPr>
            <w:r>
              <w:rPr>
                <w:lang w:val="de-AT"/>
              </w:rPr>
              <w:t>pourazad@ece.ubc.ca</w:t>
            </w:r>
          </w:p>
        </w:tc>
      </w:tr>
      <w:tr w:rsidR="00D217EB" w:rsidRPr="00997CB2" w:rsidTr="00842112">
        <w:tc>
          <w:tcPr>
            <w:tcW w:w="4672" w:type="dxa"/>
          </w:tcPr>
          <w:p w:rsidR="00D217EB" w:rsidRPr="00997CB2" w:rsidRDefault="00D217EB" w:rsidP="00D217EB">
            <w:pPr>
              <w:rPr>
                <w:lang w:val="de-AT"/>
              </w:rPr>
            </w:pPr>
          </w:p>
        </w:tc>
        <w:tc>
          <w:tcPr>
            <w:tcW w:w="4673" w:type="dxa"/>
          </w:tcPr>
          <w:p w:rsidR="00D217EB" w:rsidRPr="00997CB2" w:rsidRDefault="00D217EB" w:rsidP="00D217EB">
            <w:pPr>
              <w:rPr>
                <w:lang w:val="de-AT"/>
              </w:rPr>
            </w:pPr>
          </w:p>
        </w:tc>
      </w:tr>
    </w:tbl>
    <w:p w:rsidR="008825FC" w:rsidRPr="00997CB2" w:rsidRDefault="008825FC" w:rsidP="008825FC">
      <w:pPr>
        <w:rPr>
          <w:lang w:val="de-AT"/>
        </w:rPr>
      </w:pPr>
    </w:p>
    <w:sectPr w:rsidR="008825FC" w:rsidRPr="00997CB2">
      <w:pgSz w:w="11907" w:h="16840" w:code="9"/>
      <w:pgMar w:top="1418" w:right="1134" w:bottom="1418"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3B86" w:rsidRDefault="002B3B86">
      <w:r>
        <w:separator/>
      </w:r>
    </w:p>
  </w:endnote>
  <w:endnote w:type="continuationSeparator" w:id="0">
    <w:p w:rsidR="002B3B86" w:rsidRDefault="002B3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3B86" w:rsidRDefault="002B3B86">
      <w:r>
        <w:separator/>
      </w:r>
    </w:p>
  </w:footnote>
  <w:footnote w:type="continuationSeparator" w:id="0">
    <w:p w:rsidR="002B3B86" w:rsidRDefault="002B3B8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33291F"/>
    <w:multiLevelType w:val="hybridMultilevel"/>
    <w:tmpl w:val="A4F279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1C2DCB"/>
    <w:multiLevelType w:val="hybridMultilevel"/>
    <w:tmpl w:val="0A42E8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9F5FC1"/>
    <w:multiLevelType w:val="hybridMultilevel"/>
    <w:tmpl w:val="78CCA4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C5012F7"/>
    <w:multiLevelType w:val="hybridMultilevel"/>
    <w:tmpl w:val="9B6020B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7330B7"/>
    <w:multiLevelType w:val="hybridMultilevel"/>
    <w:tmpl w:val="4BEC1B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5A340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5"/>
  </w:num>
  <w:num w:numId="2">
    <w:abstractNumId w:val="2"/>
  </w:num>
  <w:num w:numId="3">
    <w:abstractNumId w:val="1"/>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15E5"/>
    <w:rsid w:val="000015E5"/>
    <w:rsid w:val="00077486"/>
    <w:rsid w:val="000B4654"/>
    <w:rsid w:val="000D727B"/>
    <w:rsid w:val="00113B7C"/>
    <w:rsid w:val="001608A1"/>
    <w:rsid w:val="001A706C"/>
    <w:rsid w:val="002026F1"/>
    <w:rsid w:val="00203C6E"/>
    <w:rsid w:val="00222447"/>
    <w:rsid w:val="002B3B86"/>
    <w:rsid w:val="003034D7"/>
    <w:rsid w:val="003E33F9"/>
    <w:rsid w:val="003F2154"/>
    <w:rsid w:val="003F3240"/>
    <w:rsid w:val="004B1112"/>
    <w:rsid w:val="0050183B"/>
    <w:rsid w:val="00530F15"/>
    <w:rsid w:val="00570080"/>
    <w:rsid w:val="005C2F87"/>
    <w:rsid w:val="005D09F6"/>
    <w:rsid w:val="00626D16"/>
    <w:rsid w:val="00662452"/>
    <w:rsid w:val="00684346"/>
    <w:rsid w:val="007166F2"/>
    <w:rsid w:val="00751257"/>
    <w:rsid w:val="007A35C1"/>
    <w:rsid w:val="00842112"/>
    <w:rsid w:val="00844189"/>
    <w:rsid w:val="008613CA"/>
    <w:rsid w:val="00867C3B"/>
    <w:rsid w:val="008825FC"/>
    <w:rsid w:val="008A068C"/>
    <w:rsid w:val="008B4F96"/>
    <w:rsid w:val="008E7CA0"/>
    <w:rsid w:val="00906C8C"/>
    <w:rsid w:val="00952F94"/>
    <w:rsid w:val="0095396F"/>
    <w:rsid w:val="00964812"/>
    <w:rsid w:val="00965DD9"/>
    <w:rsid w:val="00997CB2"/>
    <w:rsid w:val="00A27A7A"/>
    <w:rsid w:val="00A933D2"/>
    <w:rsid w:val="00A95DEB"/>
    <w:rsid w:val="00B47F56"/>
    <w:rsid w:val="00B53626"/>
    <w:rsid w:val="00B57C00"/>
    <w:rsid w:val="00B8058C"/>
    <w:rsid w:val="00BA2E13"/>
    <w:rsid w:val="00BC5954"/>
    <w:rsid w:val="00D217EB"/>
    <w:rsid w:val="00D70E88"/>
    <w:rsid w:val="00D97D36"/>
    <w:rsid w:val="00E04DD7"/>
    <w:rsid w:val="00E361E3"/>
    <w:rsid w:val="00E7403B"/>
    <w:rsid w:val="00E8632B"/>
    <w:rsid w:val="00EF2CE7"/>
    <w:rsid w:val="00F04C96"/>
    <w:rsid w:val="00F1501E"/>
    <w:rsid w:val="00F256F4"/>
    <w:rsid w:val="00F31F03"/>
    <w:rsid w:val="00F95CEA"/>
    <w:rsid w:val="00F95EA8"/>
    <w:rsid w:val="00FD67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chartTrackingRefBased/>
  <w15:docId w15:val="{641237BB-0CD1-459A-9BA6-C03B4A391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4"/>
      <w:szCs w:val="24"/>
    </w:rPr>
  </w:style>
  <w:style w:type="paragraph" w:styleId="Heading1">
    <w:name w:val="heading 1"/>
    <w:basedOn w:val="Normal"/>
    <w:next w:val="Normal"/>
    <w:link w:val="Heading1Char"/>
    <w:uiPriority w:val="9"/>
    <w:qFormat/>
    <w:pPr>
      <w:keepNext/>
      <w:numPr>
        <w:numId w:val="1"/>
      </w:numPr>
      <w:spacing w:before="240" w:after="60"/>
      <w:outlineLvl w:val="0"/>
    </w:pPr>
    <w:rPr>
      <w:rFonts w:ascii="Calibri" w:eastAsia="Times New Roman" w:hAnsi="Calibri"/>
      <w:b/>
      <w:bCs/>
      <w:kern w:val="32"/>
      <w:sz w:val="32"/>
      <w:szCs w:val="32"/>
    </w:rPr>
  </w:style>
  <w:style w:type="paragraph" w:styleId="Heading2">
    <w:name w:val="heading 2"/>
    <w:basedOn w:val="Normal"/>
    <w:next w:val="Normal"/>
    <w:link w:val="Heading2Char"/>
    <w:uiPriority w:val="9"/>
    <w:qFormat/>
    <w:pPr>
      <w:keepNext/>
      <w:numPr>
        <w:ilvl w:val="1"/>
        <w:numId w:val="1"/>
      </w:numPr>
      <w:spacing w:before="240" w:after="60"/>
      <w:outlineLvl w:val="1"/>
    </w:pPr>
    <w:rPr>
      <w:rFonts w:ascii="Calibri" w:eastAsia="Times New Roman" w:hAnsi="Calibri"/>
      <w:b/>
      <w:bCs/>
      <w:i/>
      <w:iCs/>
      <w:sz w:val="28"/>
      <w:szCs w:val="28"/>
    </w:rPr>
  </w:style>
  <w:style w:type="paragraph" w:styleId="Heading3">
    <w:name w:val="heading 3"/>
    <w:basedOn w:val="Normal"/>
    <w:next w:val="Normal"/>
    <w:link w:val="Heading3Char"/>
    <w:uiPriority w:val="9"/>
    <w:qFormat/>
    <w:pPr>
      <w:keepNext/>
      <w:numPr>
        <w:ilvl w:val="2"/>
        <w:numId w:val="1"/>
      </w:numPr>
      <w:spacing w:before="240" w:after="60"/>
      <w:outlineLvl w:val="2"/>
    </w:pPr>
    <w:rPr>
      <w:rFonts w:ascii="Calibri" w:eastAsia="Times New Roman" w:hAnsi="Calibri"/>
      <w:b/>
      <w:bCs/>
      <w:sz w:val="26"/>
      <w:szCs w:val="26"/>
    </w:rPr>
  </w:style>
  <w:style w:type="paragraph" w:styleId="Heading4">
    <w:name w:val="heading 4"/>
    <w:basedOn w:val="Normal"/>
    <w:next w:val="Normal"/>
    <w:link w:val="Heading4Char"/>
    <w:uiPriority w:val="9"/>
    <w:qFormat/>
    <w:pPr>
      <w:keepNext/>
      <w:numPr>
        <w:ilvl w:val="3"/>
        <w:numId w:val="1"/>
      </w:numPr>
      <w:spacing w:before="240" w:after="60"/>
      <w:outlineLvl w:val="3"/>
    </w:pPr>
    <w:rPr>
      <w:rFonts w:ascii="Cambria" w:eastAsia="Times New Roman" w:hAnsi="Cambria"/>
      <w:b/>
      <w:bCs/>
      <w:sz w:val="28"/>
      <w:szCs w:val="28"/>
    </w:rPr>
  </w:style>
  <w:style w:type="paragraph" w:styleId="Heading5">
    <w:name w:val="heading 5"/>
    <w:basedOn w:val="Normal"/>
    <w:next w:val="Normal"/>
    <w:link w:val="Heading5Char"/>
    <w:uiPriority w:val="9"/>
    <w:qFormat/>
    <w:pPr>
      <w:numPr>
        <w:ilvl w:val="4"/>
        <w:numId w:val="1"/>
      </w:numPr>
      <w:spacing w:before="240" w:after="60"/>
      <w:outlineLvl w:val="4"/>
    </w:pPr>
    <w:rPr>
      <w:rFonts w:ascii="Cambria" w:eastAsia="Times New Roman" w:hAnsi="Cambria"/>
      <w:b/>
      <w:bCs/>
      <w:i/>
      <w:iCs/>
      <w:sz w:val="26"/>
      <w:szCs w:val="26"/>
    </w:rPr>
  </w:style>
  <w:style w:type="paragraph" w:styleId="Heading6">
    <w:name w:val="heading 6"/>
    <w:basedOn w:val="Normal"/>
    <w:next w:val="Normal"/>
    <w:link w:val="Heading6Char"/>
    <w:uiPriority w:val="9"/>
    <w:qFormat/>
    <w:pPr>
      <w:numPr>
        <w:ilvl w:val="5"/>
        <w:numId w:val="1"/>
      </w:numPr>
      <w:spacing w:before="240" w:after="60"/>
      <w:outlineLvl w:val="5"/>
    </w:pPr>
    <w:rPr>
      <w:rFonts w:ascii="Cambria" w:eastAsia="Times New Roman" w:hAnsi="Cambria"/>
      <w:b/>
      <w:bCs/>
      <w:sz w:val="22"/>
      <w:szCs w:val="22"/>
    </w:rPr>
  </w:style>
  <w:style w:type="paragraph" w:styleId="Heading7">
    <w:name w:val="heading 7"/>
    <w:basedOn w:val="Normal"/>
    <w:next w:val="Normal"/>
    <w:link w:val="Heading7Char"/>
    <w:uiPriority w:val="9"/>
    <w:qFormat/>
    <w:pPr>
      <w:numPr>
        <w:ilvl w:val="6"/>
        <w:numId w:val="1"/>
      </w:numPr>
      <w:spacing w:before="240" w:after="60"/>
      <w:outlineLvl w:val="6"/>
    </w:pPr>
    <w:rPr>
      <w:rFonts w:ascii="Cambria" w:eastAsia="Times New Roman" w:hAnsi="Cambria"/>
    </w:rPr>
  </w:style>
  <w:style w:type="paragraph" w:styleId="Heading8">
    <w:name w:val="heading 8"/>
    <w:basedOn w:val="Normal"/>
    <w:next w:val="Normal"/>
    <w:link w:val="Heading8Char"/>
    <w:uiPriority w:val="9"/>
    <w:qFormat/>
    <w:pPr>
      <w:numPr>
        <w:ilvl w:val="7"/>
        <w:numId w:val="1"/>
      </w:numPr>
      <w:spacing w:before="240" w:after="60"/>
      <w:outlineLvl w:val="7"/>
    </w:pPr>
    <w:rPr>
      <w:rFonts w:ascii="Cambria" w:eastAsia="Times New Roman" w:hAnsi="Cambria"/>
      <w:i/>
      <w:iCs/>
    </w:rPr>
  </w:style>
  <w:style w:type="paragraph" w:styleId="Heading9">
    <w:name w:val="heading 9"/>
    <w:basedOn w:val="Normal"/>
    <w:next w:val="Normal"/>
    <w:link w:val="Heading9Char"/>
    <w:uiPriority w:val="9"/>
    <w:qFormat/>
    <w:pPr>
      <w:numPr>
        <w:ilvl w:val="8"/>
        <w:numId w:val="1"/>
      </w:numPr>
      <w:spacing w:before="240" w:after="60"/>
      <w:outlineLvl w:val="8"/>
    </w:pPr>
    <w:rPr>
      <w:rFonts w:ascii="Calibri" w:eastAsia="Times New Roman"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Pr>
      <w:rFonts w:ascii="Calibri" w:eastAsia="Times New Roman" w:hAnsi="Calibri" w:cs="Times New Roman"/>
      <w:b/>
      <w:bCs/>
      <w:kern w:val="32"/>
      <w:sz w:val="32"/>
      <w:szCs w:val="32"/>
    </w:rPr>
  </w:style>
  <w:style w:type="character" w:customStyle="1" w:styleId="Heading2Char">
    <w:name w:val="Heading 2 Char"/>
    <w:link w:val="Heading2"/>
    <w:uiPriority w:val="9"/>
    <w:semiHidden/>
    <w:rPr>
      <w:rFonts w:ascii="Calibri" w:eastAsia="Times New Roman" w:hAnsi="Calibri" w:cs="Times New Roman"/>
      <w:b/>
      <w:bCs/>
      <w:i/>
      <w:iCs/>
      <w:sz w:val="28"/>
      <w:szCs w:val="28"/>
    </w:rPr>
  </w:style>
  <w:style w:type="character" w:customStyle="1" w:styleId="Heading3Char">
    <w:name w:val="Heading 3 Char"/>
    <w:link w:val="Heading3"/>
    <w:uiPriority w:val="9"/>
    <w:semiHidden/>
    <w:rPr>
      <w:rFonts w:ascii="Calibri" w:eastAsia="Times New Roman" w:hAnsi="Calibri" w:cs="Times New Roman"/>
      <w:b/>
      <w:bCs/>
      <w:sz w:val="26"/>
      <w:szCs w:val="26"/>
    </w:rPr>
  </w:style>
  <w:style w:type="character" w:customStyle="1" w:styleId="Heading4Char">
    <w:name w:val="Heading 4 Char"/>
    <w:link w:val="Heading4"/>
    <w:uiPriority w:val="9"/>
    <w:semiHidden/>
    <w:rPr>
      <w:rFonts w:ascii="Cambria" w:eastAsia="Times New Roman" w:hAnsi="Cambria" w:cs="Times New Roman"/>
      <w:b/>
      <w:bCs/>
      <w:sz w:val="28"/>
      <w:szCs w:val="28"/>
    </w:rPr>
  </w:style>
  <w:style w:type="character" w:customStyle="1" w:styleId="Heading5Char">
    <w:name w:val="Heading 5 Char"/>
    <w:link w:val="Heading5"/>
    <w:uiPriority w:val="9"/>
    <w:semiHidden/>
    <w:rPr>
      <w:rFonts w:ascii="Cambria" w:eastAsia="Times New Roman" w:hAnsi="Cambria" w:cs="Times New Roman"/>
      <w:b/>
      <w:bCs/>
      <w:i/>
      <w:iCs/>
      <w:sz w:val="26"/>
      <w:szCs w:val="26"/>
    </w:rPr>
  </w:style>
  <w:style w:type="character" w:customStyle="1" w:styleId="Heading6Char">
    <w:name w:val="Heading 6 Char"/>
    <w:link w:val="Heading6"/>
    <w:uiPriority w:val="9"/>
    <w:semiHidden/>
    <w:rPr>
      <w:rFonts w:ascii="Cambria" w:eastAsia="Times New Roman" w:hAnsi="Cambria" w:cs="Times New Roman"/>
      <w:b/>
      <w:bCs/>
      <w:sz w:val="22"/>
      <w:szCs w:val="22"/>
    </w:rPr>
  </w:style>
  <w:style w:type="character" w:customStyle="1" w:styleId="Heading7Char">
    <w:name w:val="Heading 7 Char"/>
    <w:link w:val="Heading7"/>
    <w:uiPriority w:val="9"/>
    <w:semiHidden/>
    <w:rPr>
      <w:rFonts w:ascii="Cambria" w:eastAsia="Times New Roman" w:hAnsi="Cambria" w:cs="Times New Roman"/>
      <w:sz w:val="24"/>
      <w:szCs w:val="24"/>
    </w:rPr>
  </w:style>
  <w:style w:type="character" w:customStyle="1" w:styleId="Heading8Char">
    <w:name w:val="Heading 8 Char"/>
    <w:link w:val="Heading8"/>
    <w:uiPriority w:val="9"/>
    <w:semiHidden/>
    <w:rPr>
      <w:rFonts w:ascii="Cambria" w:eastAsia="Times New Roman" w:hAnsi="Cambria" w:cs="Times New Roman"/>
      <w:i/>
      <w:iCs/>
      <w:sz w:val="24"/>
      <w:szCs w:val="24"/>
    </w:rPr>
  </w:style>
  <w:style w:type="character" w:customStyle="1" w:styleId="Heading9Char">
    <w:name w:val="Heading 9 Char"/>
    <w:link w:val="Heading9"/>
    <w:uiPriority w:val="9"/>
    <w:semiHidden/>
    <w:rPr>
      <w:rFonts w:ascii="Calibri" w:eastAsia="Times New Roman" w:hAnsi="Calibri" w:cs="Times New Roman"/>
      <w:sz w:val="22"/>
      <w:szCs w:val="22"/>
    </w:rPr>
  </w:style>
  <w:style w:type="paragraph" w:styleId="Header">
    <w:name w:val="header"/>
    <w:basedOn w:val="Normal"/>
    <w:link w:val="HeaderChar"/>
    <w:uiPriority w:val="99"/>
    <w:unhideWhenUsed/>
    <w:pPr>
      <w:tabs>
        <w:tab w:val="center" w:pos="4252"/>
        <w:tab w:val="right" w:pos="8504"/>
      </w:tabs>
      <w:snapToGrid w:val="0"/>
    </w:pPr>
  </w:style>
  <w:style w:type="character" w:customStyle="1" w:styleId="HeaderChar">
    <w:name w:val="Header Char"/>
    <w:link w:val="Header"/>
    <w:uiPriority w:val="99"/>
    <w:rPr>
      <w:sz w:val="24"/>
      <w:szCs w:val="24"/>
      <w:lang w:eastAsia="en-US"/>
    </w:rPr>
  </w:style>
  <w:style w:type="paragraph" w:styleId="Footer">
    <w:name w:val="footer"/>
    <w:basedOn w:val="Normal"/>
    <w:link w:val="FooterChar"/>
    <w:uiPriority w:val="99"/>
    <w:unhideWhenUsed/>
    <w:pPr>
      <w:tabs>
        <w:tab w:val="center" w:pos="4252"/>
        <w:tab w:val="right" w:pos="8504"/>
      </w:tabs>
      <w:snapToGrid w:val="0"/>
    </w:pPr>
  </w:style>
  <w:style w:type="character" w:customStyle="1" w:styleId="FooterChar">
    <w:name w:val="Footer Char"/>
    <w:link w:val="Footer"/>
    <w:uiPriority w:val="99"/>
    <w:rPr>
      <w:sz w:val="24"/>
      <w:szCs w:val="24"/>
      <w:lang w:eastAsia="en-US"/>
    </w:rPr>
  </w:style>
  <w:style w:type="paragraph" w:styleId="NoSpacing">
    <w:name w:val="No Spacing"/>
    <w:uiPriority w:val="1"/>
    <w:qFormat/>
    <w:rsid w:val="00A95DEB"/>
    <w:pPr>
      <w:jc w:val="both"/>
    </w:pPr>
    <w:rPr>
      <w:sz w:val="24"/>
      <w:szCs w:val="24"/>
    </w:rPr>
  </w:style>
  <w:style w:type="paragraph" w:styleId="ListParagraph">
    <w:name w:val="List Paragraph"/>
    <w:basedOn w:val="Normal"/>
    <w:uiPriority w:val="34"/>
    <w:qFormat/>
    <w:rsid w:val="003034D7"/>
    <w:pPr>
      <w:spacing w:after="160" w:line="259" w:lineRule="auto"/>
      <w:ind w:left="720"/>
      <w:contextualSpacing/>
      <w:jc w:val="left"/>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84211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211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5557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brondijk\Philips\Standards\ISO\MPEGStandardsProgress\Meeting%20113\CoreExperiement\mxxx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mxxxx.dot</Template>
  <TotalTime>16</TotalTime>
  <Pages>3</Pages>
  <Words>736</Words>
  <Characters>4139</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INTERNATIONAL ORGANISATION FOR STANDARDISATION</vt:lpstr>
      <vt:lpstr>INTERNATIONAL ORGANISATION FOR STANDARDISATION</vt:lpstr>
    </vt:vector>
  </TitlesOfParts>
  <Company>ITSCJ</Company>
  <LinksUpToDate>false</LinksUpToDate>
  <CharactersWithSpaces>4866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ORGANISATION FOR STANDARDISATION</dc:title>
  <dc:subject/>
  <dc:creator>Pankaj Topiwala</dc:creator>
  <cp:keywords/>
  <cp:lastModifiedBy>Gary Sullivan</cp:lastModifiedBy>
  <cp:revision>8</cp:revision>
  <cp:lastPrinted>1900-01-01T08:00:00Z</cp:lastPrinted>
  <dcterms:created xsi:type="dcterms:W3CDTF">2015-10-30T18:11:00Z</dcterms:created>
  <dcterms:modified xsi:type="dcterms:W3CDTF">2015-11-01T02:55:00Z</dcterms:modified>
</cp:coreProperties>
</file>