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7C866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45D84D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521910">
              <w:rPr>
                <w:lang w:val="en-CA"/>
              </w:rPr>
              <w:t>0307</w:t>
            </w:r>
            <w:r w:rsidR="006A0E5C" w:rsidRPr="006A0E5C">
              <w:rPr>
                <w:lang w:val="en-CA"/>
              </w:rPr>
              <w:t>-v</w:t>
            </w:r>
            <w:r w:rsidR="00521910">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F46AF0D" w:rsidR="00E61DAC" w:rsidRPr="005B217D" w:rsidRDefault="00FF1DA6" w:rsidP="009D7CE6">
            <w:pPr>
              <w:spacing w:before="60" w:after="60"/>
              <w:rPr>
                <w:b/>
                <w:szCs w:val="22"/>
                <w:lang w:val="en-CA" w:eastAsia="zh-CN"/>
              </w:rPr>
            </w:pPr>
            <w:r>
              <w:rPr>
                <w:rFonts w:hint="eastAsia"/>
                <w:b/>
                <w:szCs w:val="22"/>
                <w:lang w:val="en-CA" w:eastAsia="zh-CN"/>
              </w:rPr>
              <w:t>C</w:t>
            </w:r>
            <w:r>
              <w:rPr>
                <w:b/>
                <w:szCs w:val="22"/>
                <w:lang w:val="en-CA" w:eastAsia="zh-CN"/>
              </w:rPr>
              <w:t>rosscheck of JVET-AI0129 (</w:t>
            </w:r>
            <w:r w:rsidRPr="00FF1DA6">
              <w:rPr>
                <w:b/>
                <w:szCs w:val="22"/>
                <w:lang w:val="en-CA" w:eastAsia="zh-CN"/>
              </w:rPr>
              <w:t>EE2-2.6: IntraTMP candidates with overlapping refinement window enhanced</w:t>
            </w:r>
            <w:r>
              <w:rPr>
                <w:b/>
                <w:szCs w:val="22"/>
                <w:lang w:val="en-CA" w:eastAsia="zh-CN"/>
              </w:rPr>
              <w:t>) sub-test 2.6b RA</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E8CB6E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25E1D3F"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B237820" w:rsidR="00E61DAC" w:rsidRPr="005B217D" w:rsidRDefault="00FF1DA6">
            <w:pPr>
              <w:spacing w:before="60" w:after="60"/>
              <w:rPr>
                <w:szCs w:val="22"/>
                <w:lang w:val="en-CA"/>
              </w:rPr>
            </w:pPr>
            <w:r>
              <w:rPr>
                <w:szCs w:val="22"/>
                <w:lang w:val="en-CA"/>
              </w:rPr>
              <w:t>Zhihuang Xie</w:t>
            </w:r>
            <w:r w:rsidR="00C11670">
              <w:rPr>
                <w:szCs w:val="22"/>
                <w:lang w:val="en-CA"/>
              </w:rPr>
              <w:t xml:space="preserve"> </w:t>
            </w:r>
            <w:r w:rsidR="00E61DAC" w:rsidRPr="005B217D">
              <w:rPr>
                <w:szCs w:val="22"/>
                <w:lang w:val="en-CA"/>
              </w:rPr>
              <w:br/>
            </w:r>
          </w:p>
        </w:tc>
        <w:tc>
          <w:tcPr>
            <w:tcW w:w="900" w:type="dxa"/>
          </w:tcPr>
          <w:p w14:paraId="0140ECA2" w14:textId="1EB5173E"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r w:rsidR="00FF1DA6">
              <w:rPr>
                <w:szCs w:val="22"/>
                <w:lang w:val="en-CA"/>
              </w:rPr>
              <w:t xml:space="preserve"> </w:t>
            </w:r>
          </w:p>
        </w:tc>
        <w:tc>
          <w:tcPr>
            <w:tcW w:w="3060" w:type="dxa"/>
          </w:tcPr>
          <w:p w14:paraId="2F57B4FE" w14:textId="77777777" w:rsidR="00E61DAC" w:rsidRDefault="00E61DAC" w:rsidP="005952A5">
            <w:pPr>
              <w:spacing w:before="60" w:after="60"/>
              <w:rPr>
                <w:szCs w:val="22"/>
                <w:lang w:val="en-CA"/>
              </w:rPr>
            </w:pPr>
            <w:r w:rsidRPr="005B217D">
              <w:rPr>
                <w:szCs w:val="22"/>
                <w:lang w:val="en-CA"/>
              </w:rPr>
              <w:br/>
            </w:r>
          </w:p>
          <w:p w14:paraId="32C2ABFD" w14:textId="7D2422D1" w:rsidR="00FF1DA6" w:rsidRPr="005B217D" w:rsidRDefault="00FF1DA6" w:rsidP="005952A5">
            <w:pPr>
              <w:spacing w:before="60" w:after="60"/>
              <w:rPr>
                <w:szCs w:val="22"/>
                <w:lang w:val="en-CA" w:eastAsia="zh-CN"/>
              </w:rPr>
            </w:pPr>
            <w:r>
              <w:rPr>
                <w:rFonts w:hint="eastAsia"/>
                <w:szCs w:val="22"/>
                <w:lang w:val="en-CA" w:eastAsia="zh-CN"/>
              </w:rPr>
              <w:t>x</w:t>
            </w:r>
            <w:r>
              <w:rPr>
                <w:szCs w:val="22"/>
                <w:lang w:val="en-CA" w:eastAsia="zh-CN"/>
              </w:rPr>
              <w:t>iezhihuang@oppo.com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A84F961" w:rsidR="00E61DAC" w:rsidRPr="005B217D" w:rsidRDefault="00FF1DA6">
            <w:pPr>
              <w:spacing w:before="60" w:after="60"/>
              <w:rPr>
                <w:szCs w:val="22"/>
                <w:lang w:val="en-CA" w:eastAsia="zh-CN"/>
              </w:rPr>
            </w:pPr>
            <w:r>
              <w:rPr>
                <w:rFonts w:hint="eastAsia"/>
                <w:szCs w:val="22"/>
                <w:lang w:val="en-CA" w:eastAsia="zh-CN"/>
              </w:rPr>
              <w:t>O</w:t>
            </w:r>
            <w:r>
              <w:rPr>
                <w:szCs w:val="22"/>
                <w:lang w:val="en-CA" w:eastAsia="zh-CN"/>
              </w:rPr>
              <w:t>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48BE3C04" w:rsidR="00263398" w:rsidRDefault="00FF1DA6" w:rsidP="009234A5">
      <w:pPr>
        <w:rPr>
          <w:lang w:val="en-CA"/>
        </w:rPr>
      </w:pPr>
      <w:r>
        <w:rPr>
          <w:lang w:val="en-CA"/>
        </w:rPr>
        <w:t>This contribution reports the cross-check results of JVET-AI0129</w:t>
      </w:r>
      <w:r w:rsidR="00B81A1D">
        <w:rPr>
          <w:lang w:val="en-CA"/>
        </w:rPr>
        <w:t>[1]</w:t>
      </w:r>
      <w:r>
        <w:rPr>
          <w:lang w:val="en-CA"/>
        </w:rPr>
        <w:t xml:space="preserve"> </w:t>
      </w:r>
      <w:r w:rsidRPr="00FF1DA6">
        <w:rPr>
          <w:lang w:val="en-CA"/>
        </w:rPr>
        <w:t>(EE2-2.6: IntraTMP candidates with overlapping refinement window enhanced) sub-test 2.6b RA</w:t>
      </w:r>
      <w:r>
        <w:rPr>
          <w:lang w:val="en-CA"/>
        </w:rPr>
        <w:t xml:space="preserve">, </w:t>
      </w:r>
      <w:r w:rsidRPr="00FF1DA6">
        <w:rPr>
          <w:lang w:val="en-CA"/>
        </w:rPr>
        <w:t>which investigates, during the IntraTMP search, the shift of the grid of positions of sparse candidates using LIC with respect to the grid of positions of sparse candidates not using LIC</w:t>
      </w:r>
      <w:r>
        <w:rPr>
          <w:lang w:val="en-CA"/>
        </w:rPr>
        <w:t>.</w:t>
      </w:r>
    </w:p>
    <w:p w14:paraId="6DB07FB2" w14:textId="4859E4FC" w:rsidR="00FF1DA6" w:rsidRPr="005B217D" w:rsidRDefault="00FF1DA6" w:rsidP="009234A5">
      <w:pPr>
        <w:rPr>
          <w:szCs w:val="22"/>
          <w:lang w:val="en-CA" w:eastAsia="zh-CN"/>
        </w:rPr>
      </w:pPr>
      <w:r>
        <w:rPr>
          <w:rFonts w:hint="eastAsia"/>
          <w:lang w:val="en-CA" w:eastAsia="zh-CN"/>
        </w:rPr>
        <w:t>O</w:t>
      </w:r>
      <w:r>
        <w:rPr>
          <w:lang w:val="en-CA" w:eastAsia="zh-CN"/>
        </w:rPr>
        <w:t>nly RA configuration test was conducted by crosschceker</w:t>
      </w:r>
      <w:r w:rsidR="00446F8B">
        <w:rPr>
          <w:lang w:val="en-CA" w:eastAsia="zh-CN"/>
        </w:rPr>
        <w:t>, and it is reported that the data of crosschecker match proponent’s.</w:t>
      </w:r>
    </w:p>
    <w:p w14:paraId="7D2AC1F0" w14:textId="1417768D" w:rsidR="00745F6B" w:rsidRPr="005B217D" w:rsidRDefault="00FF1DA6" w:rsidP="00E11923">
      <w:pPr>
        <w:pStyle w:val="1"/>
        <w:rPr>
          <w:lang w:val="en-CA"/>
        </w:rPr>
      </w:pPr>
      <w:r>
        <w:rPr>
          <w:lang w:val="en-CA"/>
        </w:rPr>
        <w:t>Simulation results</w:t>
      </w:r>
    </w:p>
    <w:p w14:paraId="1539A21D" w14:textId="6FA65A2C" w:rsidR="001F2594" w:rsidRDefault="00B81A1D" w:rsidP="009234A5">
      <w:pPr>
        <w:rPr>
          <w:szCs w:val="22"/>
          <w:lang w:val="en-CA"/>
        </w:rPr>
      </w:pPr>
      <w:r>
        <w:rPr>
          <w:szCs w:val="22"/>
          <w:lang w:val="en-CA"/>
        </w:rPr>
        <w:t>The test was carried out under common test condition [2]. Cross-check simulation results are shown below:</w:t>
      </w:r>
    </w:p>
    <w:tbl>
      <w:tblPr>
        <w:tblW w:w="8480" w:type="dxa"/>
        <w:jc w:val="center"/>
        <w:tblLook w:val="04A0" w:firstRow="1" w:lastRow="0" w:firstColumn="1" w:lastColumn="0" w:noHBand="0" w:noVBand="1"/>
      </w:tblPr>
      <w:tblGrid>
        <w:gridCol w:w="1060"/>
        <w:gridCol w:w="1013"/>
        <w:gridCol w:w="1013"/>
        <w:gridCol w:w="1013"/>
        <w:gridCol w:w="842"/>
        <w:gridCol w:w="842"/>
        <w:gridCol w:w="1342"/>
        <w:gridCol w:w="1355"/>
      </w:tblGrid>
      <w:tr w:rsidR="00A35D6F" w:rsidRPr="00A35D6F" w14:paraId="3888AA22" w14:textId="77777777" w:rsidTr="00446F8B">
        <w:trPr>
          <w:trHeight w:val="255"/>
          <w:jc w:val="center"/>
        </w:trPr>
        <w:tc>
          <w:tcPr>
            <w:tcW w:w="1060" w:type="dxa"/>
            <w:tcBorders>
              <w:top w:val="nil"/>
              <w:left w:val="nil"/>
              <w:bottom w:val="nil"/>
              <w:right w:val="nil"/>
            </w:tcBorders>
            <w:shd w:val="clear" w:color="auto" w:fill="auto"/>
            <w:noWrap/>
            <w:vAlign w:val="center"/>
            <w:hideMark/>
          </w:tcPr>
          <w:p w14:paraId="2840F187"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7E90DF"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35D6F">
              <w:rPr>
                <w:rFonts w:ascii="Arial" w:eastAsia="宋体" w:hAnsi="Arial" w:cs="Arial"/>
                <w:b/>
                <w:bCs/>
                <w:color w:val="000000"/>
                <w:sz w:val="18"/>
                <w:szCs w:val="18"/>
                <w:lang w:eastAsia="zh-CN"/>
              </w:rPr>
              <w:t>Random Access Main 10</w:t>
            </w:r>
          </w:p>
        </w:tc>
      </w:tr>
      <w:tr w:rsidR="00A35D6F" w:rsidRPr="00A35D6F" w14:paraId="35796D85" w14:textId="77777777" w:rsidTr="00446F8B">
        <w:trPr>
          <w:trHeight w:val="255"/>
          <w:jc w:val="center"/>
        </w:trPr>
        <w:tc>
          <w:tcPr>
            <w:tcW w:w="1060" w:type="dxa"/>
            <w:tcBorders>
              <w:top w:val="nil"/>
              <w:left w:val="nil"/>
              <w:bottom w:val="nil"/>
              <w:right w:val="nil"/>
            </w:tcBorders>
            <w:shd w:val="clear" w:color="auto" w:fill="auto"/>
            <w:noWrap/>
            <w:vAlign w:val="center"/>
            <w:hideMark/>
          </w:tcPr>
          <w:p w14:paraId="6DF39C23"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35B9D6FD"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35D6F">
              <w:rPr>
                <w:rFonts w:ascii="Arial" w:eastAsia="宋体" w:hAnsi="Arial" w:cs="Arial"/>
                <w:b/>
                <w:bCs/>
                <w:color w:val="000000"/>
                <w:sz w:val="18"/>
                <w:szCs w:val="18"/>
                <w:lang w:eastAsia="zh-CN"/>
              </w:rPr>
              <w:t>Over ECM-13.0</w:t>
            </w:r>
          </w:p>
        </w:tc>
      </w:tr>
      <w:tr w:rsidR="00A35D6F" w:rsidRPr="00A35D6F" w14:paraId="40EB0711" w14:textId="77777777" w:rsidTr="00446F8B">
        <w:trPr>
          <w:trHeight w:val="255"/>
          <w:jc w:val="center"/>
        </w:trPr>
        <w:tc>
          <w:tcPr>
            <w:tcW w:w="1060" w:type="dxa"/>
            <w:tcBorders>
              <w:top w:val="nil"/>
              <w:left w:val="nil"/>
              <w:bottom w:val="nil"/>
              <w:right w:val="nil"/>
            </w:tcBorders>
            <w:shd w:val="clear" w:color="auto" w:fill="auto"/>
            <w:noWrap/>
            <w:vAlign w:val="center"/>
            <w:hideMark/>
          </w:tcPr>
          <w:p w14:paraId="0E6B5758"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13" w:type="dxa"/>
            <w:tcBorders>
              <w:top w:val="nil"/>
              <w:left w:val="single" w:sz="8" w:space="0" w:color="auto"/>
              <w:bottom w:val="single" w:sz="8" w:space="0" w:color="auto"/>
              <w:right w:val="nil"/>
            </w:tcBorders>
            <w:shd w:val="clear" w:color="auto" w:fill="auto"/>
            <w:noWrap/>
            <w:vAlign w:val="center"/>
            <w:hideMark/>
          </w:tcPr>
          <w:p w14:paraId="47027E25"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Y</w:t>
            </w:r>
          </w:p>
        </w:tc>
        <w:tc>
          <w:tcPr>
            <w:tcW w:w="1013" w:type="dxa"/>
            <w:tcBorders>
              <w:top w:val="nil"/>
              <w:left w:val="nil"/>
              <w:bottom w:val="single" w:sz="8" w:space="0" w:color="auto"/>
              <w:right w:val="nil"/>
            </w:tcBorders>
            <w:shd w:val="clear" w:color="auto" w:fill="auto"/>
            <w:noWrap/>
            <w:vAlign w:val="center"/>
            <w:hideMark/>
          </w:tcPr>
          <w:p w14:paraId="45AE2D9A"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U</w:t>
            </w:r>
          </w:p>
        </w:tc>
        <w:tc>
          <w:tcPr>
            <w:tcW w:w="1013" w:type="dxa"/>
            <w:tcBorders>
              <w:top w:val="nil"/>
              <w:left w:val="nil"/>
              <w:bottom w:val="single" w:sz="8" w:space="0" w:color="auto"/>
              <w:right w:val="single" w:sz="4" w:space="0" w:color="auto"/>
            </w:tcBorders>
            <w:shd w:val="clear" w:color="auto" w:fill="auto"/>
            <w:noWrap/>
            <w:vAlign w:val="center"/>
            <w:hideMark/>
          </w:tcPr>
          <w:p w14:paraId="461856D2"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V</w:t>
            </w:r>
          </w:p>
        </w:tc>
        <w:tc>
          <w:tcPr>
            <w:tcW w:w="842" w:type="dxa"/>
            <w:tcBorders>
              <w:top w:val="nil"/>
              <w:left w:val="nil"/>
              <w:bottom w:val="single" w:sz="8" w:space="0" w:color="auto"/>
              <w:right w:val="nil"/>
            </w:tcBorders>
            <w:shd w:val="clear" w:color="auto" w:fill="auto"/>
            <w:noWrap/>
            <w:vAlign w:val="center"/>
            <w:hideMark/>
          </w:tcPr>
          <w:p w14:paraId="2EC78304"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EncT</w:t>
            </w:r>
          </w:p>
        </w:tc>
        <w:tc>
          <w:tcPr>
            <w:tcW w:w="842" w:type="dxa"/>
            <w:tcBorders>
              <w:top w:val="nil"/>
              <w:left w:val="nil"/>
              <w:bottom w:val="single" w:sz="8" w:space="0" w:color="auto"/>
              <w:right w:val="nil"/>
            </w:tcBorders>
            <w:shd w:val="clear" w:color="auto" w:fill="auto"/>
            <w:noWrap/>
            <w:vAlign w:val="center"/>
            <w:hideMark/>
          </w:tcPr>
          <w:p w14:paraId="36FA0A4B"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3169B0EB"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EncVmPeak</w:t>
            </w:r>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3EB500C3"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DecVmPeak</w:t>
            </w:r>
          </w:p>
        </w:tc>
      </w:tr>
      <w:tr w:rsidR="00A35D6F" w:rsidRPr="00A35D6F" w14:paraId="144938EF" w14:textId="77777777" w:rsidTr="00446F8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37AE2EE"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Class A1</w:t>
            </w:r>
          </w:p>
        </w:tc>
        <w:tc>
          <w:tcPr>
            <w:tcW w:w="1013" w:type="dxa"/>
            <w:tcBorders>
              <w:top w:val="nil"/>
              <w:left w:val="nil"/>
              <w:bottom w:val="nil"/>
              <w:right w:val="nil"/>
            </w:tcBorders>
            <w:shd w:val="clear" w:color="auto" w:fill="auto"/>
            <w:noWrap/>
            <w:vAlign w:val="center"/>
            <w:hideMark/>
          </w:tcPr>
          <w:p w14:paraId="6C609070"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#VALUE!</w:t>
            </w:r>
          </w:p>
        </w:tc>
        <w:tc>
          <w:tcPr>
            <w:tcW w:w="1013" w:type="dxa"/>
            <w:tcBorders>
              <w:top w:val="nil"/>
              <w:left w:val="nil"/>
              <w:bottom w:val="nil"/>
              <w:right w:val="nil"/>
            </w:tcBorders>
            <w:shd w:val="clear" w:color="auto" w:fill="auto"/>
            <w:noWrap/>
            <w:vAlign w:val="center"/>
            <w:hideMark/>
          </w:tcPr>
          <w:p w14:paraId="4F91F992"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#VALUE!</w:t>
            </w:r>
          </w:p>
        </w:tc>
        <w:tc>
          <w:tcPr>
            <w:tcW w:w="1013" w:type="dxa"/>
            <w:tcBorders>
              <w:top w:val="nil"/>
              <w:left w:val="nil"/>
              <w:bottom w:val="nil"/>
              <w:right w:val="single" w:sz="4" w:space="0" w:color="auto"/>
            </w:tcBorders>
            <w:shd w:val="clear" w:color="auto" w:fill="auto"/>
            <w:noWrap/>
            <w:vAlign w:val="center"/>
            <w:hideMark/>
          </w:tcPr>
          <w:p w14:paraId="2E202AA2"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#VALUE!</w:t>
            </w:r>
          </w:p>
        </w:tc>
        <w:tc>
          <w:tcPr>
            <w:tcW w:w="842" w:type="dxa"/>
            <w:tcBorders>
              <w:top w:val="nil"/>
              <w:left w:val="nil"/>
              <w:bottom w:val="nil"/>
              <w:right w:val="nil"/>
            </w:tcBorders>
            <w:shd w:val="clear" w:color="auto" w:fill="auto"/>
            <w:noWrap/>
            <w:vAlign w:val="center"/>
            <w:hideMark/>
          </w:tcPr>
          <w:p w14:paraId="23106577"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#DIV/0!</w:t>
            </w:r>
          </w:p>
        </w:tc>
        <w:tc>
          <w:tcPr>
            <w:tcW w:w="842" w:type="dxa"/>
            <w:tcBorders>
              <w:top w:val="nil"/>
              <w:left w:val="nil"/>
              <w:bottom w:val="nil"/>
              <w:right w:val="nil"/>
            </w:tcBorders>
            <w:shd w:val="clear" w:color="auto" w:fill="auto"/>
            <w:noWrap/>
            <w:vAlign w:val="center"/>
            <w:hideMark/>
          </w:tcPr>
          <w:p w14:paraId="47114D30"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#DIV/0!</w:t>
            </w:r>
          </w:p>
        </w:tc>
        <w:tc>
          <w:tcPr>
            <w:tcW w:w="1342" w:type="dxa"/>
            <w:tcBorders>
              <w:top w:val="nil"/>
              <w:left w:val="single" w:sz="4" w:space="0" w:color="auto"/>
              <w:bottom w:val="nil"/>
              <w:right w:val="nil"/>
            </w:tcBorders>
            <w:shd w:val="clear" w:color="auto" w:fill="auto"/>
            <w:noWrap/>
            <w:vAlign w:val="center"/>
            <w:hideMark/>
          </w:tcPr>
          <w:p w14:paraId="7DCB04CC"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#DIV/0!</w:t>
            </w:r>
          </w:p>
        </w:tc>
        <w:tc>
          <w:tcPr>
            <w:tcW w:w="1355" w:type="dxa"/>
            <w:tcBorders>
              <w:top w:val="nil"/>
              <w:left w:val="nil"/>
              <w:bottom w:val="nil"/>
              <w:right w:val="single" w:sz="8" w:space="0" w:color="auto"/>
            </w:tcBorders>
            <w:shd w:val="clear" w:color="auto" w:fill="auto"/>
            <w:noWrap/>
            <w:vAlign w:val="center"/>
            <w:hideMark/>
          </w:tcPr>
          <w:p w14:paraId="7084088F"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#DIV/0!</w:t>
            </w:r>
          </w:p>
        </w:tc>
      </w:tr>
      <w:tr w:rsidR="00A35D6F" w:rsidRPr="00A35D6F" w14:paraId="60EB3503" w14:textId="77777777" w:rsidTr="00446F8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819DA5A"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Class A2</w:t>
            </w:r>
          </w:p>
        </w:tc>
        <w:tc>
          <w:tcPr>
            <w:tcW w:w="1013" w:type="dxa"/>
            <w:tcBorders>
              <w:top w:val="nil"/>
              <w:left w:val="nil"/>
              <w:bottom w:val="nil"/>
              <w:right w:val="nil"/>
            </w:tcBorders>
            <w:shd w:val="clear" w:color="auto" w:fill="auto"/>
            <w:noWrap/>
            <w:vAlign w:val="center"/>
            <w:hideMark/>
          </w:tcPr>
          <w:p w14:paraId="72DA8B01"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#VALUE!</w:t>
            </w:r>
          </w:p>
        </w:tc>
        <w:tc>
          <w:tcPr>
            <w:tcW w:w="1013" w:type="dxa"/>
            <w:tcBorders>
              <w:top w:val="nil"/>
              <w:left w:val="nil"/>
              <w:bottom w:val="nil"/>
              <w:right w:val="nil"/>
            </w:tcBorders>
            <w:shd w:val="clear" w:color="auto" w:fill="auto"/>
            <w:noWrap/>
            <w:vAlign w:val="center"/>
            <w:hideMark/>
          </w:tcPr>
          <w:p w14:paraId="45139D2C"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#VALUE!</w:t>
            </w:r>
          </w:p>
        </w:tc>
        <w:tc>
          <w:tcPr>
            <w:tcW w:w="1013" w:type="dxa"/>
            <w:tcBorders>
              <w:top w:val="nil"/>
              <w:left w:val="nil"/>
              <w:bottom w:val="nil"/>
              <w:right w:val="single" w:sz="4" w:space="0" w:color="auto"/>
            </w:tcBorders>
            <w:shd w:val="clear" w:color="auto" w:fill="auto"/>
            <w:noWrap/>
            <w:vAlign w:val="center"/>
            <w:hideMark/>
          </w:tcPr>
          <w:p w14:paraId="1C818BE9"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#VALUE!</w:t>
            </w:r>
          </w:p>
        </w:tc>
        <w:tc>
          <w:tcPr>
            <w:tcW w:w="842" w:type="dxa"/>
            <w:tcBorders>
              <w:top w:val="nil"/>
              <w:left w:val="nil"/>
              <w:bottom w:val="nil"/>
              <w:right w:val="nil"/>
            </w:tcBorders>
            <w:shd w:val="clear" w:color="auto" w:fill="auto"/>
            <w:noWrap/>
            <w:vAlign w:val="center"/>
            <w:hideMark/>
          </w:tcPr>
          <w:p w14:paraId="30E124D7"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#DIV/0!</w:t>
            </w:r>
          </w:p>
        </w:tc>
        <w:tc>
          <w:tcPr>
            <w:tcW w:w="842" w:type="dxa"/>
            <w:tcBorders>
              <w:top w:val="nil"/>
              <w:left w:val="nil"/>
              <w:bottom w:val="nil"/>
              <w:right w:val="nil"/>
            </w:tcBorders>
            <w:shd w:val="clear" w:color="auto" w:fill="auto"/>
            <w:noWrap/>
            <w:vAlign w:val="center"/>
            <w:hideMark/>
          </w:tcPr>
          <w:p w14:paraId="484F129D"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#DIV/0!</w:t>
            </w:r>
          </w:p>
        </w:tc>
        <w:tc>
          <w:tcPr>
            <w:tcW w:w="1342" w:type="dxa"/>
            <w:tcBorders>
              <w:top w:val="nil"/>
              <w:left w:val="single" w:sz="4" w:space="0" w:color="auto"/>
              <w:bottom w:val="nil"/>
              <w:right w:val="nil"/>
            </w:tcBorders>
            <w:shd w:val="clear" w:color="auto" w:fill="auto"/>
            <w:noWrap/>
            <w:vAlign w:val="center"/>
            <w:hideMark/>
          </w:tcPr>
          <w:p w14:paraId="1C89E7F4"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#DIV/0!</w:t>
            </w:r>
          </w:p>
        </w:tc>
        <w:tc>
          <w:tcPr>
            <w:tcW w:w="1355" w:type="dxa"/>
            <w:tcBorders>
              <w:top w:val="nil"/>
              <w:left w:val="nil"/>
              <w:bottom w:val="nil"/>
              <w:right w:val="single" w:sz="8" w:space="0" w:color="auto"/>
            </w:tcBorders>
            <w:shd w:val="clear" w:color="auto" w:fill="auto"/>
            <w:noWrap/>
            <w:vAlign w:val="center"/>
            <w:hideMark/>
          </w:tcPr>
          <w:p w14:paraId="71944A16"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#DIV/0!</w:t>
            </w:r>
          </w:p>
        </w:tc>
      </w:tr>
      <w:tr w:rsidR="00A35D6F" w:rsidRPr="00A35D6F" w14:paraId="57E30DF2" w14:textId="77777777" w:rsidTr="00446F8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A5D9A38"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Class B</w:t>
            </w:r>
          </w:p>
        </w:tc>
        <w:tc>
          <w:tcPr>
            <w:tcW w:w="1013" w:type="dxa"/>
            <w:tcBorders>
              <w:top w:val="nil"/>
              <w:left w:val="nil"/>
              <w:bottom w:val="nil"/>
              <w:right w:val="nil"/>
            </w:tcBorders>
            <w:shd w:val="clear" w:color="auto" w:fill="auto"/>
            <w:noWrap/>
            <w:vAlign w:val="center"/>
            <w:hideMark/>
          </w:tcPr>
          <w:p w14:paraId="33F21FED"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-0.02%</w:t>
            </w:r>
          </w:p>
        </w:tc>
        <w:tc>
          <w:tcPr>
            <w:tcW w:w="1013" w:type="dxa"/>
            <w:tcBorders>
              <w:top w:val="nil"/>
              <w:left w:val="nil"/>
              <w:bottom w:val="nil"/>
              <w:right w:val="nil"/>
            </w:tcBorders>
            <w:shd w:val="clear" w:color="auto" w:fill="auto"/>
            <w:noWrap/>
            <w:vAlign w:val="center"/>
            <w:hideMark/>
          </w:tcPr>
          <w:p w14:paraId="6ABF88CF"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-0.15%</w:t>
            </w:r>
          </w:p>
        </w:tc>
        <w:tc>
          <w:tcPr>
            <w:tcW w:w="1013" w:type="dxa"/>
            <w:tcBorders>
              <w:top w:val="nil"/>
              <w:left w:val="nil"/>
              <w:bottom w:val="nil"/>
              <w:right w:val="single" w:sz="4" w:space="0" w:color="auto"/>
            </w:tcBorders>
            <w:shd w:val="clear" w:color="auto" w:fill="auto"/>
            <w:noWrap/>
            <w:vAlign w:val="center"/>
            <w:hideMark/>
          </w:tcPr>
          <w:p w14:paraId="50F05280"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-0.19%</w:t>
            </w:r>
          </w:p>
        </w:tc>
        <w:tc>
          <w:tcPr>
            <w:tcW w:w="842" w:type="dxa"/>
            <w:tcBorders>
              <w:top w:val="nil"/>
              <w:left w:val="nil"/>
              <w:bottom w:val="nil"/>
              <w:right w:val="nil"/>
            </w:tcBorders>
            <w:shd w:val="clear" w:color="auto" w:fill="auto"/>
            <w:noWrap/>
            <w:vAlign w:val="center"/>
            <w:hideMark/>
          </w:tcPr>
          <w:p w14:paraId="2E99E885"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100.2%</w:t>
            </w:r>
          </w:p>
        </w:tc>
        <w:tc>
          <w:tcPr>
            <w:tcW w:w="842" w:type="dxa"/>
            <w:tcBorders>
              <w:top w:val="nil"/>
              <w:left w:val="nil"/>
              <w:bottom w:val="nil"/>
              <w:right w:val="nil"/>
            </w:tcBorders>
            <w:shd w:val="clear" w:color="auto" w:fill="auto"/>
            <w:noWrap/>
            <w:vAlign w:val="center"/>
            <w:hideMark/>
          </w:tcPr>
          <w:p w14:paraId="6179FEFF"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99.6%</w:t>
            </w:r>
          </w:p>
        </w:tc>
        <w:tc>
          <w:tcPr>
            <w:tcW w:w="1342" w:type="dxa"/>
            <w:tcBorders>
              <w:top w:val="nil"/>
              <w:left w:val="single" w:sz="4" w:space="0" w:color="auto"/>
              <w:bottom w:val="nil"/>
              <w:right w:val="nil"/>
            </w:tcBorders>
            <w:shd w:val="clear" w:color="auto" w:fill="auto"/>
            <w:noWrap/>
            <w:vAlign w:val="center"/>
            <w:hideMark/>
          </w:tcPr>
          <w:p w14:paraId="20385DD2"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100.0%</w:t>
            </w:r>
          </w:p>
        </w:tc>
        <w:tc>
          <w:tcPr>
            <w:tcW w:w="1355" w:type="dxa"/>
            <w:tcBorders>
              <w:top w:val="nil"/>
              <w:left w:val="nil"/>
              <w:bottom w:val="nil"/>
              <w:right w:val="single" w:sz="8" w:space="0" w:color="auto"/>
            </w:tcBorders>
            <w:shd w:val="clear" w:color="auto" w:fill="auto"/>
            <w:noWrap/>
            <w:vAlign w:val="center"/>
            <w:hideMark/>
          </w:tcPr>
          <w:p w14:paraId="2D740B52"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100.0%</w:t>
            </w:r>
          </w:p>
        </w:tc>
      </w:tr>
      <w:tr w:rsidR="00A35D6F" w:rsidRPr="00A35D6F" w14:paraId="1A486214" w14:textId="77777777" w:rsidTr="00446F8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C9AEFDB"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Class C</w:t>
            </w:r>
          </w:p>
        </w:tc>
        <w:tc>
          <w:tcPr>
            <w:tcW w:w="1013" w:type="dxa"/>
            <w:tcBorders>
              <w:top w:val="nil"/>
              <w:left w:val="nil"/>
              <w:bottom w:val="nil"/>
              <w:right w:val="nil"/>
            </w:tcBorders>
            <w:shd w:val="clear" w:color="auto" w:fill="auto"/>
            <w:noWrap/>
            <w:vAlign w:val="center"/>
            <w:hideMark/>
          </w:tcPr>
          <w:p w14:paraId="1EF07077"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-0.01%</w:t>
            </w:r>
          </w:p>
        </w:tc>
        <w:tc>
          <w:tcPr>
            <w:tcW w:w="1013" w:type="dxa"/>
            <w:tcBorders>
              <w:top w:val="nil"/>
              <w:left w:val="nil"/>
              <w:bottom w:val="nil"/>
              <w:right w:val="nil"/>
            </w:tcBorders>
            <w:shd w:val="clear" w:color="auto" w:fill="auto"/>
            <w:noWrap/>
            <w:vAlign w:val="center"/>
            <w:hideMark/>
          </w:tcPr>
          <w:p w14:paraId="091738C9"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0.07%</w:t>
            </w:r>
          </w:p>
        </w:tc>
        <w:tc>
          <w:tcPr>
            <w:tcW w:w="1013" w:type="dxa"/>
            <w:tcBorders>
              <w:top w:val="nil"/>
              <w:left w:val="nil"/>
              <w:bottom w:val="nil"/>
              <w:right w:val="single" w:sz="4" w:space="0" w:color="auto"/>
            </w:tcBorders>
            <w:shd w:val="clear" w:color="auto" w:fill="auto"/>
            <w:noWrap/>
            <w:vAlign w:val="center"/>
            <w:hideMark/>
          </w:tcPr>
          <w:p w14:paraId="5AEA294C"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0.08%</w:t>
            </w:r>
          </w:p>
        </w:tc>
        <w:tc>
          <w:tcPr>
            <w:tcW w:w="842" w:type="dxa"/>
            <w:tcBorders>
              <w:top w:val="nil"/>
              <w:left w:val="nil"/>
              <w:bottom w:val="nil"/>
              <w:right w:val="nil"/>
            </w:tcBorders>
            <w:shd w:val="clear" w:color="auto" w:fill="auto"/>
            <w:noWrap/>
            <w:vAlign w:val="center"/>
            <w:hideMark/>
          </w:tcPr>
          <w:p w14:paraId="643F1DE0"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100.0%</w:t>
            </w:r>
          </w:p>
        </w:tc>
        <w:tc>
          <w:tcPr>
            <w:tcW w:w="842" w:type="dxa"/>
            <w:tcBorders>
              <w:top w:val="nil"/>
              <w:left w:val="nil"/>
              <w:bottom w:val="nil"/>
              <w:right w:val="nil"/>
            </w:tcBorders>
            <w:shd w:val="clear" w:color="auto" w:fill="auto"/>
            <w:noWrap/>
            <w:vAlign w:val="center"/>
            <w:hideMark/>
          </w:tcPr>
          <w:p w14:paraId="646A0F56"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100.2%</w:t>
            </w:r>
          </w:p>
        </w:tc>
        <w:tc>
          <w:tcPr>
            <w:tcW w:w="1342" w:type="dxa"/>
            <w:tcBorders>
              <w:top w:val="nil"/>
              <w:left w:val="single" w:sz="4" w:space="0" w:color="auto"/>
              <w:bottom w:val="nil"/>
              <w:right w:val="nil"/>
            </w:tcBorders>
            <w:shd w:val="clear" w:color="auto" w:fill="auto"/>
            <w:noWrap/>
            <w:vAlign w:val="center"/>
            <w:hideMark/>
          </w:tcPr>
          <w:p w14:paraId="53DB44D6"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100.0%</w:t>
            </w:r>
          </w:p>
        </w:tc>
        <w:tc>
          <w:tcPr>
            <w:tcW w:w="1355" w:type="dxa"/>
            <w:tcBorders>
              <w:top w:val="nil"/>
              <w:left w:val="nil"/>
              <w:bottom w:val="nil"/>
              <w:right w:val="single" w:sz="8" w:space="0" w:color="auto"/>
            </w:tcBorders>
            <w:shd w:val="clear" w:color="auto" w:fill="auto"/>
            <w:noWrap/>
            <w:vAlign w:val="center"/>
            <w:hideMark/>
          </w:tcPr>
          <w:p w14:paraId="1DECA37B"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100.0%</w:t>
            </w:r>
          </w:p>
        </w:tc>
      </w:tr>
      <w:tr w:rsidR="00A35D6F" w:rsidRPr="00A35D6F" w14:paraId="2EBDEF11" w14:textId="77777777" w:rsidTr="00446F8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5E75C2D"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Class E</w:t>
            </w:r>
          </w:p>
        </w:tc>
        <w:tc>
          <w:tcPr>
            <w:tcW w:w="1013" w:type="dxa"/>
            <w:tcBorders>
              <w:top w:val="nil"/>
              <w:left w:val="nil"/>
              <w:bottom w:val="nil"/>
              <w:right w:val="nil"/>
            </w:tcBorders>
            <w:shd w:val="clear" w:color="auto" w:fill="auto"/>
            <w:noWrap/>
            <w:vAlign w:val="center"/>
            <w:hideMark/>
          </w:tcPr>
          <w:p w14:paraId="77C80C0D"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 xml:space="preserve">　</w:t>
            </w:r>
          </w:p>
        </w:tc>
        <w:tc>
          <w:tcPr>
            <w:tcW w:w="1013" w:type="dxa"/>
            <w:tcBorders>
              <w:top w:val="nil"/>
              <w:left w:val="nil"/>
              <w:bottom w:val="nil"/>
              <w:right w:val="nil"/>
            </w:tcBorders>
            <w:shd w:val="clear" w:color="auto" w:fill="auto"/>
            <w:noWrap/>
            <w:vAlign w:val="center"/>
            <w:hideMark/>
          </w:tcPr>
          <w:p w14:paraId="50834988"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13" w:type="dxa"/>
            <w:tcBorders>
              <w:top w:val="nil"/>
              <w:left w:val="nil"/>
              <w:bottom w:val="nil"/>
              <w:right w:val="single" w:sz="4" w:space="0" w:color="auto"/>
            </w:tcBorders>
            <w:shd w:val="clear" w:color="auto" w:fill="auto"/>
            <w:noWrap/>
            <w:vAlign w:val="center"/>
            <w:hideMark/>
          </w:tcPr>
          <w:p w14:paraId="57A8B528"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 xml:space="preserve">　</w:t>
            </w:r>
          </w:p>
        </w:tc>
        <w:tc>
          <w:tcPr>
            <w:tcW w:w="842" w:type="dxa"/>
            <w:tcBorders>
              <w:top w:val="nil"/>
              <w:left w:val="nil"/>
              <w:bottom w:val="nil"/>
              <w:right w:val="nil"/>
            </w:tcBorders>
            <w:shd w:val="clear" w:color="auto" w:fill="auto"/>
            <w:noWrap/>
            <w:vAlign w:val="center"/>
            <w:hideMark/>
          </w:tcPr>
          <w:p w14:paraId="7E3A95B2"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 xml:space="preserve">　</w:t>
            </w:r>
          </w:p>
        </w:tc>
        <w:tc>
          <w:tcPr>
            <w:tcW w:w="842" w:type="dxa"/>
            <w:tcBorders>
              <w:top w:val="nil"/>
              <w:left w:val="nil"/>
              <w:bottom w:val="nil"/>
              <w:right w:val="nil"/>
            </w:tcBorders>
            <w:shd w:val="clear" w:color="auto" w:fill="auto"/>
            <w:noWrap/>
            <w:vAlign w:val="center"/>
            <w:hideMark/>
          </w:tcPr>
          <w:p w14:paraId="288DC986"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42" w:type="dxa"/>
            <w:tcBorders>
              <w:top w:val="nil"/>
              <w:left w:val="single" w:sz="4" w:space="0" w:color="auto"/>
              <w:bottom w:val="nil"/>
              <w:right w:val="nil"/>
            </w:tcBorders>
            <w:shd w:val="clear" w:color="auto" w:fill="auto"/>
            <w:noWrap/>
            <w:vAlign w:val="center"/>
            <w:hideMark/>
          </w:tcPr>
          <w:p w14:paraId="6278D6E5"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 xml:space="preserve">　</w:t>
            </w:r>
          </w:p>
        </w:tc>
        <w:tc>
          <w:tcPr>
            <w:tcW w:w="1355" w:type="dxa"/>
            <w:tcBorders>
              <w:top w:val="nil"/>
              <w:left w:val="nil"/>
              <w:bottom w:val="nil"/>
              <w:right w:val="single" w:sz="8" w:space="0" w:color="auto"/>
            </w:tcBorders>
            <w:shd w:val="clear" w:color="auto" w:fill="auto"/>
            <w:noWrap/>
            <w:vAlign w:val="center"/>
            <w:hideMark/>
          </w:tcPr>
          <w:p w14:paraId="50D8F864"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 xml:space="preserve">　</w:t>
            </w:r>
          </w:p>
        </w:tc>
      </w:tr>
      <w:tr w:rsidR="00A35D6F" w:rsidRPr="00A35D6F" w14:paraId="63ABBD60" w14:textId="77777777" w:rsidTr="00446F8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78937BE"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35D6F">
              <w:rPr>
                <w:rFonts w:ascii="Arial" w:eastAsia="宋体" w:hAnsi="Arial" w:cs="Arial"/>
                <w:b/>
                <w:bCs/>
                <w:color w:val="000000"/>
                <w:sz w:val="18"/>
                <w:szCs w:val="18"/>
                <w:lang w:eastAsia="zh-CN"/>
              </w:rPr>
              <w:t>Overall</w:t>
            </w:r>
          </w:p>
        </w:tc>
        <w:tc>
          <w:tcPr>
            <w:tcW w:w="1013" w:type="dxa"/>
            <w:tcBorders>
              <w:top w:val="single" w:sz="8" w:space="0" w:color="auto"/>
              <w:left w:val="nil"/>
              <w:bottom w:val="nil"/>
              <w:right w:val="nil"/>
            </w:tcBorders>
            <w:shd w:val="clear" w:color="auto" w:fill="auto"/>
            <w:noWrap/>
            <w:vAlign w:val="center"/>
            <w:hideMark/>
          </w:tcPr>
          <w:p w14:paraId="762C4252"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#VALUE!</w:t>
            </w:r>
          </w:p>
        </w:tc>
        <w:tc>
          <w:tcPr>
            <w:tcW w:w="1013" w:type="dxa"/>
            <w:tcBorders>
              <w:top w:val="single" w:sz="8" w:space="0" w:color="auto"/>
              <w:left w:val="nil"/>
              <w:bottom w:val="nil"/>
              <w:right w:val="nil"/>
            </w:tcBorders>
            <w:shd w:val="clear" w:color="auto" w:fill="auto"/>
            <w:noWrap/>
            <w:vAlign w:val="center"/>
            <w:hideMark/>
          </w:tcPr>
          <w:p w14:paraId="1AF93CE0"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#VALUE!</w:t>
            </w:r>
          </w:p>
        </w:tc>
        <w:tc>
          <w:tcPr>
            <w:tcW w:w="1013" w:type="dxa"/>
            <w:tcBorders>
              <w:top w:val="single" w:sz="8" w:space="0" w:color="auto"/>
              <w:left w:val="nil"/>
              <w:bottom w:val="nil"/>
              <w:right w:val="single" w:sz="4" w:space="0" w:color="auto"/>
            </w:tcBorders>
            <w:shd w:val="clear" w:color="auto" w:fill="auto"/>
            <w:noWrap/>
            <w:vAlign w:val="center"/>
            <w:hideMark/>
          </w:tcPr>
          <w:p w14:paraId="66A1253B"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#VALUE!</w:t>
            </w:r>
          </w:p>
        </w:tc>
        <w:tc>
          <w:tcPr>
            <w:tcW w:w="842" w:type="dxa"/>
            <w:tcBorders>
              <w:top w:val="single" w:sz="8" w:space="0" w:color="auto"/>
              <w:left w:val="nil"/>
              <w:bottom w:val="nil"/>
              <w:right w:val="nil"/>
            </w:tcBorders>
            <w:shd w:val="clear" w:color="auto" w:fill="auto"/>
            <w:noWrap/>
            <w:vAlign w:val="center"/>
            <w:hideMark/>
          </w:tcPr>
          <w:p w14:paraId="4F1E29B1"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#DIV/0!</w:t>
            </w:r>
          </w:p>
        </w:tc>
        <w:tc>
          <w:tcPr>
            <w:tcW w:w="842" w:type="dxa"/>
            <w:tcBorders>
              <w:top w:val="single" w:sz="8" w:space="0" w:color="auto"/>
              <w:left w:val="nil"/>
              <w:bottom w:val="nil"/>
              <w:right w:val="nil"/>
            </w:tcBorders>
            <w:shd w:val="clear" w:color="auto" w:fill="auto"/>
            <w:noWrap/>
            <w:vAlign w:val="center"/>
            <w:hideMark/>
          </w:tcPr>
          <w:p w14:paraId="53323C4C"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#DIV/0!</w:t>
            </w: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49401703"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#DIV/0!</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3ABF9B0B"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#DIV/0!</w:t>
            </w:r>
          </w:p>
        </w:tc>
      </w:tr>
      <w:tr w:rsidR="00A35D6F" w:rsidRPr="00A35D6F" w14:paraId="65C298AC" w14:textId="77777777" w:rsidTr="00446F8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E8CF78C"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Class D</w:t>
            </w:r>
          </w:p>
        </w:tc>
        <w:tc>
          <w:tcPr>
            <w:tcW w:w="1013" w:type="dxa"/>
            <w:tcBorders>
              <w:top w:val="single" w:sz="8" w:space="0" w:color="auto"/>
              <w:left w:val="nil"/>
              <w:bottom w:val="nil"/>
              <w:right w:val="nil"/>
            </w:tcBorders>
            <w:shd w:val="clear" w:color="auto" w:fill="auto"/>
            <w:noWrap/>
            <w:vAlign w:val="center"/>
            <w:hideMark/>
          </w:tcPr>
          <w:p w14:paraId="11019060"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0.06%</w:t>
            </w:r>
          </w:p>
        </w:tc>
        <w:tc>
          <w:tcPr>
            <w:tcW w:w="1013" w:type="dxa"/>
            <w:tcBorders>
              <w:top w:val="single" w:sz="8" w:space="0" w:color="auto"/>
              <w:left w:val="nil"/>
              <w:bottom w:val="nil"/>
              <w:right w:val="nil"/>
            </w:tcBorders>
            <w:shd w:val="clear" w:color="auto" w:fill="auto"/>
            <w:noWrap/>
            <w:vAlign w:val="center"/>
            <w:hideMark/>
          </w:tcPr>
          <w:p w14:paraId="040C768A"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0.01%</w:t>
            </w:r>
          </w:p>
        </w:tc>
        <w:tc>
          <w:tcPr>
            <w:tcW w:w="1013" w:type="dxa"/>
            <w:tcBorders>
              <w:top w:val="single" w:sz="8" w:space="0" w:color="auto"/>
              <w:left w:val="nil"/>
              <w:bottom w:val="nil"/>
              <w:right w:val="single" w:sz="4" w:space="0" w:color="auto"/>
            </w:tcBorders>
            <w:shd w:val="clear" w:color="auto" w:fill="auto"/>
            <w:noWrap/>
            <w:vAlign w:val="center"/>
            <w:hideMark/>
          </w:tcPr>
          <w:p w14:paraId="6D2C406E"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0.43%</w:t>
            </w:r>
          </w:p>
        </w:tc>
        <w:tc>
          <w:tcPr>
            <w:tcW w:w="842" w:type="dxa"/>
            <w:tcBorders>
              <w:top w:val="single" w:sz="8" w:space="0" w:color="auto"/>
              <w:left w:val="nil"/>
              <w:bottom w:val="nil"/>
              <w:right w:val="nil"/>
            </w:tcBorders>
            <w:shd w:val="clear" w:color="auto" w:fill="auto"/>
            <w:noWrap/>
            <w:vAlign w:val="center"/>
            <w:hideMark/>
          </w:tcPr>
          <w:p w14:paraId="55B0B3EC"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99.4%</w:t>
            </w:r>
          </w:p>
        </w:tc>
        <w:tc>
          <w:tcPr>
            <w:tcW w:w="842" w:type="dxa"/>
            <w:tcBorders>
              <w:top w:val="single" w:sz="8" w:space="0" w:color="auto"/>
              <w:left w:val="nil"/>
              <w:bottom w:val="nil"/>
              <w:right w:val="nil"/>
            </w:tcBorders>
            <w:shd w:val="clear" w:color="auto" w:fill="auto"/>
            <w:noWrap/>
            <w:vAlign w:val="center"/>
            <w:hideMark/>
          </w:tcPr>
          <w:p w14:paraId="76F3373A"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99.9%</w:t>
            </w:r>
          </w:p>
        </w:tc>
        <w:tc>
          <w:tcPr>
            <w:tcW w:w="1342" w:type="dxa"/>
            <w:tcBorders>
              <w:top w:val="nil"/>
              <w:left w:val="single" w:sz="4" w:space="0" w:color="auto"/>
              <w:bottom w:val="nil"/>
              <w:right w:val="nil"/>
            </w:tcBorders>
            <w:shd w:val="clear" w:color="auto" w:fill="auto"/>
            <w:noWrap/>
            <w:vAlign w:val="center"/>
            <w:hideMark/>
          </w:tcPr>
          <w:p w14:paraId="6B9AABBF"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99.8%</w:t>
            </w:r>
          </w:p>
        </w:tc>
        <w:tc>
          <w:tcPr>
            <w:tcW w:w="1355" w:type="dxa"/>
            <w:tcBorders>
              <w:top w:val="nil"/>
              <w:left w:val="nil"/>
              <w:bottom w:val="nil"/>
              <w:right w:val="single" w:sz="8" w:space="0" w:color="auto"/>
            </w:tcBorders>
            <w:shd w:val="clear" w:color="auto" w:fill="auto"/>
            <w:noWrap/>
            <w:vAlign w:val="center"/>
            <w:hideMark/>
          </w:tcPr>
          <w:p w14:paraId="27BBAC02"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100.0%</w:t>
            </w:r>
          </w:p>
        </w:tc>
      </w:tr>
      <w:tr w:rsidR="00A35D6F" w:rsidRPr="00A35D6F" w14:paraId="7AF4F2A8" w14:textId="77777777" w:rsidTr="00446F8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567F76A"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Class F</w:t>
            </w:r>
          </w:p>
        </w:tc>
        <w:tc>
          <w:tcPr>
            <w:tcW w:w="1013" w:type="dxa"/>
            <w:tcBorders>
              <w:top w:val="nil"/>
              <w:left w:val="nil"/>
              <w:bottom w:val="nil"/>
              <w:right w:val="nil"/>
            </w:tcBorders>
            <w:shd w:val="clear" w:color="auto" w:fill="auto"/>
            <w:noWrap/>
            <w:vAlign w:val="center"/>
            <w:hideMark/>
          </w:tcPr>
          <w:p w14:paraId="308BA428"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-0.01%</w:t>
            </w:r>
          </w:p>
        </w:tc>
        <w:tc>
          <w:tcPr>
            <w:tcW w:w="1013" w:type="dxa"/>
            <w:tcBorders>
              <w:top w:val="nil"/>
              <w:left w:val="nil"/>
              <w:bottom w:val="nil"/>
              <w:right w:val="nil"/>
            </w:tcBorders>
            <w:shd w:val="clear" w:color="auto" w:fill="auto"/>
            <w:noWrap/>
            <w:vAlign w:val="center"/>
            <w:hideMark/>
          </w:tcPr>
          <w:p w14:paraId="782555BD"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-0.25%</w:t>
            </w:r>
          </w:p>
        </w:tc>
        <w:tc>
          <w:tcPr>
            <w:tcW w:w="1013" w:type="dxa"/>
            <w:tcBorders>
              <w:top w:val="nil"/>
              <w:left w:val="nil"/>
              <w:bottom w:val="nil"/>
              <w:right w:val="single" w:sz="4" w:space="0" w:color="auto"/>
            </w:tcBorders>
            <w:shd w:val="clear" w:color="auto" w:fill="auto"/>
            <w:noWrap/>
            <w:vAlign w:val="center"/>
            <w:hideMark/>
          </w:tcPr>
          <w:p w14:paraId="4B57313D"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-0.36%</w:t>
            </w:r>
          </w:p>
        </w:tc>
        <w:tc>
          <w:tcPr>
            <w:tcW w:w="842" w:type="dxa"/>
            <w:tcBorders>
              <w:top w:val="nil"/>
              <w:left w:val="nil"/>
              <w:bottom w:val="nil"/>
              <w:right w:val="nil"/>
            </w:tcBorders>
            <w:shd w:val="clear" w:color="auto" w:fill="auto"/>
            <w:noWrap/>
            <w:vAlign w:val="center"/>
            <w:hideMark/>
          </w:tcPr>
          <w:p w14:paraId="6B08DB7B"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99.1%</w:t>
            </w:r>
          </w:p>
        </w:tc>
        <w:tc>
          <w:tcPr>
            <w:tcW w:w="842" w:type="dxa"/>
            <w:tcBorders>
              <w:top w:val="nil"/>
              <w:left w:val="nil"/>
              <w:bottom w:val="nil"/>
              <w:right w:val="nil"/>
            </w:tcBorders>
            <w:shd w:val="clear" w:color="auto" w:fill="auto"/>
            <w:noWrap/>
            <w:vAlign w:val="center"/>
            <w:hideMark/>
          </w:tcPr>
          <w:p w14:paraId="4DD8F438"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99.3%</w:t>
            </w:r>
          </w:p>
        </w:tc>
        <w:tc>
          <w:tcPr>
            <w:tcW w:w="1342" w:type="dxa"/>
            <w:tcBorders>
              <w:top w:val="nil"/>
              <w:left w:val="single" w:sz="4" w:space="0" w:color="auto"/>
              <w:bottom w:val="nil"/>
              <w:right w:val="nil"/>
            </w:tcBorders>
            <w:shd w:val="clear" w:color="auto" w:fill="auto"/>
            <w:noWrap/>
            <w:vAlign w:val="center"/>
            <w:hideMark/>
          </w:tcPr>
          <w:p w14:paraId="171DEFF9"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99.7%</w:t>
            </w:r>
          </w:p>
        </w:tc>
        <w:tc>
          <w:tcPr>
            <w:tcW w:w="1355" w:type="dxa"/>
            <w:tcBorders>
              <w:top w:val="nil"/>
              <w:left w:val="nil"/>
              <w:bottom w:val="nil"/>
              <w:right w:val="single" w:sz="8" w:space="0" w:color="auto"/>
            </w:tcBorders>
            <w:shd w:val="clear" w:color="auto" w:fill="auto"/>
            <w:noWrap/>
            <w:vAlign w:val="center"/>
            <w:hideMark/>
          </w:tcPr>
          <w:p w14:paraId="728BDEF3"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99.5%</w:t>
            </w:r>
          </w:p>
        </w:tc>
      </w:tr>
      <w:tr w:rsidR="00A35D6F" w:rsidRPr="00A35D6F" w14:paraId="51CE163E" w14:textId="77777777" w:rsidTr="00446F8B">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20E03E7"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Class TGM</w:t>
            </w:r>
          </w:p>
        </w:tc>
        <w:tc>
          <w:tcPr>
            <w:tcW w:w="1013" w:type="dxa"/>
            <w:tcBorders>
              <w:top w:val="nil"/>
              <w:left w:val="nil"/>
              <w:bottom w:val="single" w:sz="8" w:space="0" w:color="auto"/>
              <w:right w:val="nil"/>
            </w:tcBorders>
            <w:shd w:val="clear" w:color="auto" w:fill="auto"/>
            <w:noWrap/>
            <w:vAlign w:val="center"/>
            <w:hideMark/>
          </w:tcPr>
          <w:p w14:paraId="0EB88BEA"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#VALUE!</w:t>
            </w:r>
          </w:p>
        </w:tc>
        <w:tc>
          <w:tcPr>
            <w:tcW w:w="1013" w:type="dxa"/>
            <w:tcBorders>
              <w:top w:val="nil"/>
              <w:left w:val="nil"/>
              <w:bottom w:val="single" w:sz="8" w:space="0" w:color="auto"/>
              <w:right w:val="nil"/>
            </w:tcBorders>
            <w:shd w:val="clear" w:color="auto" w:fill="auto"/>
            <w:noWrap/>
            <w:vAlign w:val="center"/>
            <w:hideMark/>
          </w:tcPr>
          <w:p w14:paraId="58DC3F10"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#VALUE!</w:t>
            </w:r>
          </w:p>
        </w:tc>
        <w:tc>
          <w:tcPr>
            <w:tcW w:w="1013" w:type="dxa"/>
            <w:tcBorders>
              <w:top w:val="nil"/>
              <w:left w:val="nil"/>
              <w:bottom w:val="single" w:sz="8" w:space="0" w:color="auto"/>
              <w:right w:val="single" w:sz="4" w:space="0" w:color="auto"/>
            </w:tcBorders>
            <w:shd w:val="clear" w:color="auto" w:fill="auto"/>
            <w:noWrap/>
            <w:vAlign w:val="center"/>
            <w:hideMark/>
          </w:tcPr>
          <w:p w14:paraId="146C255A"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#VALUE!</w:t>
            </w:r>
          </w:p>
        </w:tc>
        <w:tc>
          <w:tcPr>
            <w:tcW w:w="842" w:type="dxa"/>
            <w:tcBorders>
              <w:top w:val="nil"/>
              <w:left w:val="nil"/>
              <w:bottom w:val="single" w:sz="8" w:space="0" w:color="auto"/>
              <w:right w:val="nil"/>
            </w:tcBorders>
            <w:shd w:val="clear" w:color="auto" w:fill="auto"/>
            <w:noWrap/>
            <w:vAlign w:val="center"/>
            <w:hideMark/>
          </w:tcPr>
          <w:p w14:paraId="13E1ADB0"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#DIV/0!</w:t>
            </w:r>
          </w:p>
        </w:tc>
        <w:tc>
          <w:tcPr>
            <w:tcW w:w="842" w:type="dxa"/>
            <w:tcBorders>
              <w:top w:val="nil"/>
              <w:left w:val="nil"/>
              <w:bottom w:val="single" w:sz="8" w:space="0" w:color="auto"/>
              <w:right w:val="nil"/>
            </w:tcBorders>
            <w:shd w:val="clear" w:color="auto" w:fill="auto"/>
            <w:noWrap/>
            <w:vAlign w:val="center"/>
            <w:hideMark/>
          </w:tcPr>
          <w:p w14:paraId="53D0F10F"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#DIV/0!</w:t>
            </w:r>
          </w:p>
        </w:tc>
        <w:tc>
          <w:tcPr>
            <w:tcW w:w="1342" w:type="dxa"/>
            <w:tcBorders>
              <w:top w:val="nil"/>
              <w:left w:val="single" w:sz="4" w:space="0" w:color="auto"/>
              <w:bottom w:val="single" w:sz="8" w:space="0" w:color="auto"/>
              <w:right w:val="nil"/>
            </w:tcBorders>
            <w:shd w:val="clear" w:color="auto" w:fill="auto"/>
            <w:noWrap/>
            <w:vAlign w:val="center"/>
            <w:hideMark/>
          </w:tcPr>
          <w:p w14:paraId="11BCA82A"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#DIV/0!</w:t>
            </w:r>
          </w:p>
        </w:tc>
        <w:tc>
          <w:tcPr>
            <w:tcW w:w="1355" w:type="dxa"/>
            <w:tcBorders>
              <w:top w:val="nil"/>
              <w:left w:val="nil"/>
              <w:bottom w:val="single" w:sz="8" w:space="0" w:color="auto"/>
              <w:right w:val="single" w:sz="8" w:space="0" w:color="auto"/>
            </w:tcBorders>
            <w:shd w:val="clear" w:color="auto" w:fill="auto"/>
            <w:noWrap/>
            <w:vAlign w:val="center"/>
            <w:hideMark/>
          </w:tcPr>
          <w:p w14:paraId="0D8C1353" w14:textId="77777777" w:rsidR="00A35D6F" w:rsidRPr="00A35D6F" w:rsidRDefault="00A35D6F" w:rsidP="00A3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35D6F">
              <w:rPr>
                <w:rFonts w:ascii="Arial" w:eastAsia="宋体" w:hAnsi="Arial" w:cs="Arial"/>
                <w:color w:val="000000"/>
                <w:sz w:val="18"/>
                <w:szCs w:val="18"/>
                <w:lang w:eastAsia="zh-CN"/>
              </w:rPr>
              <w:t>#DIV/0!</w:t>
            </w:r>
          </w:p>
        </w:tc>
      </w:tr>
    </w:tbl>
    <w:p w14:paraId="4F989846" w14:textId="77777777" w:rsidR="00B81A1D" w:rsidRPr="00350B67" w:rsidRDefault="00B81A1D" w:rsidP="00B81A1D">
      <w:pPr>
        <w:pStyle w:val="1"/>
        <w:rPr>
          <w:rFonts w:cs="Times New Roman"/>
          <w:lang w:val="en-CA"/>
        </w:rPr>
      </w:pPr>
      <w:r w:rsidRPr="00350B67">
        <w:rPr>
          <w:rFonts w:cs="Times New Roman"/>
          <w:lang w:val="en-CA"/>
        </w:rPr>
        <w:t>References</w:t>
      </w:r>
    </w:p>
    <w:p w14:paraId="2C169989" w14:textId="33661E54" w:rsidR="00B81A1D" w:rsidRDefault="00B81A1D" w:rsidP="00B81A1D">
      <w:pPr>
        <w:pStyle w:val="SPIEreferencelisting"/>
        <w:tabs>
          <w:tab w:val="num" w:pos="360"/>
        </w:tabs>
        <w:jc w:val="both"/>
        <w:rPr>
          <w:sz w:val="22"/>
          <w:szCs w:val="22"/>
        </w:rPr>
      </w:pPr>
      <w:r>
        <w:rPr>
          <w:szCs w:val="22"/>
          <w:lang w:val="en-CA"/>
        </w:rPr>
        <w:t>D. Coll, et al</w:t>
      </w:r>
      <w:r w:rsidRPr="00BD6337">
        <w:rPr>
          <w:sz w:val="22"/>
          <w:szCs w:val="22"/>
        </w:rPr>
        <w:t>.</w:t>
      </w:r>
      <w:r>
        <w:rPr>
          <w:sz w:val="22"/>
          <w:szCs w:val="22"/>
        </w:rPr>
        <w:t xml:space="preserve"> “</w:t>
      </w:r>
      <w:r w:rsidRPr="00B81A1D">
        <w:rPr>
          <w:sz w:val="22"/>
          <w:szCs w:val="22"/>
        </w:rPr>
        <w:t>EE2-2.6: IntraTMP candidates with overlapping refinement window enhanced</w:t>
      </w:r>
      <w:r>
        <w:rPr>
          <w:sz w:val="22"/>
          <w:szCs w:val="22"/>
        </w:rPr>
        <w:t>”, JVET-AI0129, July 2024.</w:t>
      </w:r>
    </w:p>
    <w:p w14:paraId="7A0CEA04" w14:textId="77777777" w:rsidR="00B81A1D" w:rsidRPr="00AD6297" w:rsidRDefault="00B81A1D" w:rsidP="00B81A1D">
      <w:pPr>
        <w:pStyle w:val="SPIEreferencelisting"/>
        <w:tabs>
          <w:tab w:val="num" w:pos="360"/>
        </w:tabs>
        <w:jc w:val="both"/>
        <w:rPr>
          <w:sz w:val="22"/>
          <w:szCs w:val="22"/>
        </w:rPr>
      </w:pPr>
      <w:bookmarkStart w:id="0" w:name="_Ref164070184"/>
      <w:r w:rsidRPr="00BD6337">
        <w:rPr>
          <w:sz w:val="22"/>
          <w:szCs w:val="22"/>
        </w:rPr>
        <w:t>M. Karczewicz, Y. Ye, “Common Test Conditions and evaluation procedures for enhanced compression tool testing”, JVET-AF2017, October 2023.</w:t>
      </w:r>
      <w:bookmarkEnd w:id="0"/>
    </w:p>
    <w:p w14:paraId="13FF98E0" w14:textId="77777777" w:rsidR="00B81A1D" w:rsidRPr="005B217D" w:rsidRDefault="00B81A1D" w:rsidP="009234A5">
      <w:pPr>
        <w:rPr>
          <w:szCs w:val="22"/>
          <w:lang w:val="en-CA"/>
        </w:rPr>
      </w:pPr>
    </w:p>
    <w:sectPr w:rsidR="00B81A1D" w:rsidRPr="005B217D" w:rsidSect="00925CE2">
      <w:footerReference w:type="default" r:id="rId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6056E" w14:textId="77777777" w:rsidR="00B31CA0" w:rsidRDefault="00B31CA0">
      <w:r>
        <w:separator/>
      </w:r>
    </w:p>
  </w:endnote>
  <w:endnote w:type="continuationSeparator" w:id="0">
    <w:p w14:paraId="3DA765A7" w14:textId="77777777" w:rsidR="00B31CA0" w:rsidRDefault="00B31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9586AD7"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21910">
      <w:rPr>
        <w:rStyle w:val="a5"/>
        <w:noProof/>
      </w:rPr>
      <w:t>2024-07-11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EC70B" w14:textId="77777777" w:rsidR="00B31CA0" w:rsidRDefault="00B31CA0">
      <w:r>
        <w:separator/>
      </w:r>
    </w:p>
  </w:footnote>
  <w:footnote w:type="continuationSeparator" w:id="0">
    <w:p w14:paraId="01840317" w14:textId="77777777" w:rsidR="00B31CA0" w:rsidRDefault="00B31C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531"/>
    <w:rsid w:val="00427EEC"/>
    <w:rsid w:val="00433DDB"/>
    <w:rsid w:val="00435A29"/>
    <w:rsid w:val="00437619"/>
    <w:rsid w:val="00446F8B"/>
    <w:rsid w:val="004642E1"/>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21910"/>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35D6F"/>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E4EA0"/>
    <w:rsid w:val="00AF51C5"/>
    <w:rsid w:val="00B01905"/>
    <w:rsid w:val="00B07CA7"/>
    <w:rsid w:val="00B1279A"/>
    <w:rsid w:val="00B31CA0"/>
    <w:rsid w:val="00B3640F"/>
    <w:rsid w:val="00B4194A"/>
    <w:rsid w:val="00B437E8"/>
    <w:rsid w:val="00B51F2C"/>
    <w:rsid w:val="00B5222E"/>
    <w:rsid w:val="00B53179"/>
    <w:rsid w:val="00B532EA"/>
    <w:rsid w:val="00B57A23"/>
    <w:rsid w:val="00B600CD"/>
    <w:rsid w:val="00B61C96"/>
    <w:rsid w:val="00B73A2A"/>
    <w:rsid w:val="00B75A51"/>
    <w:rsid w:val="00B81A1D"/>
    <w:rsid w:val="00B827C6"/>
    <w:rsid w:val="00B94B06"/>
    <w:rsid w:val="00B94C28"/>
    <w:rsid w:val="00BC10BA"/>
    <w:rsid w:val="00BC5AFD"/>
    <w:rsid w:val="00C00DDE"/>
    <w:rsid w:val="00C04F43"/>
    <w:rsid w:val="00C05271"/>
    <w:rsid w:val="00C0609D"/>
    <w:rsid w:val="00C115AB"/>
    <w:rsid w:val="00C11670"/>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2AD3"/>
    <w:rsid w:val="00F848FC"/>
    <w:rsid w:val="00F906F6"/>
    <w:rsid w:val="00F9282A"/>
    <w:rsid w:val="00F96BAD"/>
    <w:rsid w:val="00FA139D"/>
    <w:rsid w:val="00FA60F5"/>
    <w:rsid w:val="00FB0E84"/>
    <w:rsid w:val="00FC2405"/>
    <w:rsid w:val="00FD01C2"/>
    <w:rsid w:val="00FE595C"/>
    <w:rsid w:val="00FF0CE3"/>
    <w:rsid w:val="00FF1DA6"/>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H21,Œ©o‚µ 2,?co??E 2,?co?ƒÊ 2,뙥2,?c1,?2,Œ1,Œ©1"/>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H31"/>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H41"/>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Titre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H61"/>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aliases w:val="h2 字符,H2 字符,H21 字符,Œ©o‚µ 2 字符,?co??E 2 字符,?co?ƒÊ 2 字符,뙥2 字符,?c1 字符,?2 字符,Œ1 字符,Œ©1 字符"/>
    <w:link w:val="2"/>
    <w:rsid w:val="00E11923"/>
    <w:rPr>
      <w:b/>
      <w:bCs/>
      <w:i/>
      <w:iCs/>
      <w:sz w:val="28"/>
      <w:szCs w:val="28"/>
      <w:lang w:eastAsia="en-US"/>
    </w:rPr>
  </w:style>
  <w:style w:type="character" w:customStyle="1" w:styleId="30">
    <w:name w:val="标题 3 字符"/>
    <w:aliases w:val="h3 字符,H3 字符,H31 字符"/>
    <w:link w:val="3"/>
    <w:rsid w:val="002B191D"/>
    <w:rPr>
      <w:b/>
      <w:bCs/>
      <w:sz w:val="26"/>
      <w:szCs w:val="26"/>
      <w:lang w:eastAsia="en-US"/>
    </w:rPr>
  </w:style>
  <w:style w:type="character" w:customStyle="1" w:styleId="40">
    <w:name w:val="标题 4 字符"/>
    <w:aliases w:val="Heading 4 Char1 字符,Heading 4 Char Char 字符,h4 字符,H4 字符,H41 字符"/>
    <w:link w:val="4"/>
    <w:rsid w:val="004234F0"/>
    <w:rPr>
      <w:rFonts w:ascii="Times New Roman Bold" w:hAnsi="Times New Roman Bold"/>
      <w:b/>
      <w:bCs/>
      <w:sz w:val="24"/>
      <w:szCs w:val="28"/>
    </w:rPr>
  </w:style>
  <w:style w:type="character" w:customStyle="1" w:styleId="50">
    <w:name w:val="标题 5 字符"/>
    <w:aliases w:val="h5 字符,H5 字符,H51 字符,Titre 5 字符"/>
    <w:link w:val="5"/>
    <w:rsid w:val="004234F0"/>
    <w:rPr>
      <w:b/>
      <w:bCs/>
      <w:i/>
      <w:iCs/>
      <w:sz w:val="24"/>
      <w:szCs w:val="26"/>
    </w:rPr>
  </w:style>
  <w:style w:type="character" w:customStyle="1" w:styleId="60">
    <w:name w:val="标题 6 字符"/>
    <w:aliases w:val="h6 字符,H6 字符,H61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customStyle="1" w:styleId="SPIEreferencelisting">
    <w:name w:val="SPIE reference listing"/>
    <w:basedOn w:val="a"/>
    <w:rsid w:val="00B81A1D"/>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7771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284</Words>
  <Characters>1625</Characters>
  <Application>Microsoft Office Word</Application>
  <DocSecurity>0</DocSecurity>
  <Lines>13</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谢志煌(XIE ZHIHUANG)</cp:lastModifiedBy>
  <cp:revision>7</cp:revision>
  <cp:lastPrinted>1900-01-01T08:00:00Z</cp:lastPrinted>
  <dcterms:created xsi:type="dcterms:W3CDTF">2024-05-05T15:46:00Z</dcterms:created>
  <dcterms:modified xsi:type="dcterms:W3CDTF">2024-07-12T00:34:00Z</dcterms:modified>
</cp:coreProperties>
</file>