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36E57DC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5A41DD">
              <w:rPr>
                <w:lang w:val="en-CA"/>
              </w:rPr>
              <w:t>0022</w:t>
            </w:r>
            <w:r w:rsidR="006A0E5C" w:rsidRPr="006A0E5C">
              <w:rPr>
                <w:lang w:val="en-CA"/>
              </w:rPr>
              <w:t>-v</w:t>
            </w:r>
            <w:r w:rsidR="005A41D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88B58B" w:rsidR="00E61DAC" w:rsidRPr="005B217D" w:rsidRDefault="005A41DD" w:rsidP="009D7CE6">
            <w:pPr>
              <w:spacing w:before="60" w:after="60"/>
              <w:rPr>
                <w:b/>
                <w:szCs w:val="22"/>
                <w:lang w:val="en-CA"/>
              </w:rPr>
            </w:pPr>
            <w:r w:rsidRPr="005A41DD">
              <w:rPr>
                <w:b/>
                <w:szCs w:val="22"/>
                <w:lang w:val="en-CA"/>
              </w:rPr>
              <w:t>Summary of time spans for NB comment availability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C355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895EFEE" w:rsidR="00E61DAC" w:rsidRPr="005B217D" w:rsidRDefault="00E61DAC" w:rsidP="005E1AC6">
            <w:pPr>
              <w:spacing w:before="60" w:after="60"/>
              <w:rPr>
                <w:szCs w:val="22"/>
                <w:lang w:val="en-CA"/>
              </w:rPr>
            </w:pPr>
            <w:r w:rsidRPr="005B217D">
              <w:rPr>
                <w:szCs w:val="22"/>
                <w:lang w:val="en-CA"/>
              </w:rPr>
              <w:t>Information</w:t>
            </w:r>
          </w:p>
        </w:tc>
      </w:tr>
      <w:tr w:rsidR="005A41DD" w:rsidRPr="005B217D" w14:paraId="714CD808" w14:textId="77777777" w:rsidTr="000962AC">
        <w:tc>
          <w:tcPr>
            <w:tcW w:w="1458" w:type="dxa"/>
          </w:tcPr>
          <w:p w14:paraId="4DB59313" w14:textId="77777777" w:rsidR="005A41DD" w:rsidRPr="005B217D" w:rsidRDefault="005A41DD" w:rsidP="005A41D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DEBEF13" w:rsidR="005A41DD" w:rsidRPr="005B217D" w:rsidRDefault="005A41DD" w:rsidP="005A41DD">
            <w:pPr>
              <w:spacing w:before="60" w:after="60"/>
              <w:rPr>
                <w:szCs w:val="22"/>
                <w:lang w:val="en-CA"/>
              </w:rPr>
            </w:pPr>
            <w:r>
              <w:rPr>
                <w:szCs w:val="22"/>
                <w:lang w:val="en-CA"/>
              </w:rPr>
              <w:t>Gary J. Sullivan</w:t>
            </w:r>
          </w:p>
        </w:tc>
        <w:tc>
          <w:tcPr>
            <w:tcW w:w="900" w:type="dxa"/>
          </w:tcPr>
          <w:p w14:paraId="0140ECA2" w14:textId="523164BF" w:rsidR="005A41DD" w:rsidRPr="005B217D" w:rsidRDefault="005A41DD" w:rsidP="005A41DD">
            <w:pPr>
              <w:spacing w:before="60" w:after="60"/>
              <w:rPr>
                <w:szCs w:val="22"/>
                <w:lang w:val="en-CA"/>
              </w:rPr>
            </w:pPr>
            <w:r w:rsidRPr="00F12B2F">
              <w:rPr>
                <w:szCs w:val="22"/>
                <w:lang w:val="en-CA"/>
              </w:rPr>
              <w:t>Email:</w:t>
            </w:r>
          </w:p>
        </w:tc>
        <w:tc>
          <w:tcPr>
            <w:tcW w:w="3060" w:type="dxa"/>
          </w:tcPr>
          <w:p w14:paraId="32C2ABFD" w14:textId="3FA35A1E" w:rsidR="005A41DD" w:rsidRPr="005B217D" w:rsidRDefault="005A41DD" w:rsidP="005A41DD">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44119B" w:rsidR="00E61DAC" w:rsidRPr="005B217D" w:rsidRDefault="005A41DD">
            <w:pPr>
              <w:spacing w:before="60" w:after="60"/>
              <w:rPr>
                <w:szCs w:val="22"/>
                <w:lang w:val="en-CA"/>
              </w:rPr>
            </w:pPr>
            <w:r>
              <w:rPr>
                <w:szCs w:val="22"/>
                <w:lang w:val="en-CA"/>
              </w:rPr>
              <w:t>Chair of ISO/IEC JTC 1/SC 29</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356E476A" w:rsidR="00275BCF" w:rsidRDefault="005A41DD" w:rsidP="00C97D78">
      <w:pPr>
        <w:rPr>
          <w:lang w:val="en-CA"/>
        </w:rPr>
      </w:pPr>
      <w:r w:rsidRPr="005A41DD">
        <w:rPr>
          <w:lang w:val="en-CA"/>
        </w:rPr>
        <w:t xml:space="preserve">To assist convenors and NBs in understanding basic aspects of the approval process, this document is intended to provide a high-level summary of the </w:t>
      </w:r>
      <w:proofErr w:type="gramStart"/>
      <w:r w:rsidRPr="005A41DD">
        <w:rPr>
          <w:lang w:val="en-CA"/>
        </w:rPr>
        <w:t>period of time</w:t>
      </w:r>
      <w:proofErr w:type="gramEnd"/>
      <w:r w:rsidRPr="005A41DD">
        <w:rPr>
          <w:lang w:val="en-CA"/>
        </w:rPr>
        <w:t xml:space="preserve"> between when an editor submits acceptable text for circulation and when the results of the NB comment period are available</w:t>
      </w:r>
      <w:r>
        <w:rPr>
          <w:lang w:val="en-CA"/>
        </w:rPr>
        <w:t xml:space="preserve"> in ISO/IEC JTC 1/SC 29</w:t>
      </w:r>
      <w:r w:rsidRPr="005A41DD">
        <w:rPr>
          <w:lang w:val="en-CA"/>
        </w:rPr>
        <w:t>.</w:t>
      </w:r>
    </w:p>
    <w:p w14:paraId="54E501D4" w14:textId="51235B20" w:rsidR="005A41DD" w:rsidRPr="005A41DD" w:rsidRDefault="005A41DD" w:rsidP="005A4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EastAsia"/>
          <w:b/>
          <w:bCs/>
          <w:sz w:val="24"/>
          <w:szCs w:val="24"/>
        </w:rPr>
      </w:pPr>
      <w:r>
        <w:rPr>
          <w:rFonts w:eastAsiaTheme="minorEastAsia"/>
          <w:b/>
          <w:bCs/>
          <w:sz w:val="24"/>
          <w:szCs w:val="24"/>
        </w:rPr>
        <w:t>Time span information</w:t>
      </w:r>
    </w:p>
    <w:p w14:paraId="17E8F6B1" w14:textId="77777777" w:rsidR="005A41DD" w:rsidRPr="005A41DD" w:rsidRDefault="005A41DD" w:rsidP="005A4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EastAsia"/>
          <w:szCs w:val="22"/>
        </w:rPr>
      </w:pPr>
      <w:r w:rsidRPr="005A41DD">
        <w:rPr>
          <w:rFonts w:eastAsiaTheme="minorEastAsia"/>
          <w:szCs w:val="22"/>
        </w:rPr>
        <w:t>Time spans are listed in the table below. Only the types of consultation periods and ballots commonly issued in SC 29 are listed (e.g., the TS approval process is not considered here), and only those items that need further action at the WG or SC level are listed (e.g., not the FDIS/FDAM stage).</w:t>
      </w:r>
    </w:p>
    <w:p w14:paraId="5F4CA0B1" w14:textId="77777777" w:rsidR="005A41DD" w:rsidRPr="005A41DD" w:rsidRDefault="005A41DD" w:rsidP="005A4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EastAsia"/>
          <w:szCs w:val="22"/>
        </w:rPr>
      </w:pPr>
      <w:r w:rsidRPr="005A41DD">
        <w:rPr>
          <w:rFonts w:eastAsiaTheme="minorEastAsia"/>
          <w:szCs w:val="22"/>
        </w:rPr>
        <w:t>This document was especially prepared to cover the TR approval process, which has recently changed and is less frequently used within SC 29 than the IS approval process. The rare case of multiple enquiry stage (DIS/DAM) ballots and the possibly less-rare case of multiple DTR ballots are also covered.</w:t>
      </w:r>
    </w:p>
    <w:p w14:paraId="19BD8F94" w14:textId="77777777" w:rsidR="005A41DD" w:rsidRPr="005A41DD" w:rsidRDefault="005A41DD" w:rsidP="005A4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EastAsia"/>
          <w:szCs w:val="22"/>
        </w:rPr>
      </w:pPr>
      <w:r w:rsidRPr="005A41DD">
        <w:rPr>
          <w:rFonts w:eastAsiaTheme="minorEastAsia"/>
          <w:szCs w:val="22"/>
        </w:rPr>
        <w:t>The JTC 1 Supplement to the ISO/IEC Directives, Part 1, should be consulted for further detail and aspects not covered here.</w:t>
      </w:r>
    </w:p>
    <w:p w14:paraId="1839DC1D" w14:textId="77777777" w:rsidR="005A41DD" w:rsidRPr="005A41DD" w:rsidRDefault="005A41DD" w:rsidP="005A4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EastAsia"/>
          <w:szCs w:val="22"/>
        </w:rPr>
      </w:pPr>
      <w:r w:rsidRPr="005A41DD">
        <w:rPr>
          <w:rFonts w:eastAsiaTheme="minorEastAsia"/>
          <w:szCs w:val="22"/>
        </w:rPr>
        <w:t>The time spans given here are minimums (and defaults). In some cases, longer periods of time can be selected if desired. For example, a CD circulation period can be 12 or 16 weeks rather than 8 weeks if approved by the SC.</w:t>
      </w:r>
    </w:p>
    <w:p w14:paraId="7EBDF29D" w14:textId="77777777" w:rsidR="005A41DD" w:rsidRPr="005A41DD" w:rsidRDefault="005A41DD" w:rsidP="005A4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EastAsia"/>
          <w:b/>
          <w:bCs/>
          <w:sz w:val="24"/>
          <w:szCs w:val="24"/>
        </w:rPr>
      </w:pPr>
      <w:r w:rsidRPr="005A41DD">
        <w:rPr>
          <w:rFonts w:eastAsiaTheme="minorEastAsia"/>
          <w:b/>
          <w:bCs/>
          <w:sz w:val="24"/>
          <w:szCs w:val="24"/>
        </w:rPr>
        <w:t>Approval of creation of work items</w:t>
      </w:r>
    </w:p>
    <w:p w14:paraId="58116612" w14:textId="77777777" w:rsidR="005A41DD" w:rsidRPr="005A41DD" w:rsidRDefault="005A41DD" w:rsidP="005A4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EastAsia"/>
          <w:szCs w:val="22"/>
        </w:rPr>
      </w:pPr>
      <w:r w:rsidRPr="005A41DD">
        <w:rPr>
          <w:rFonts w:eastAsiaTheme="minorEastAsia"/>
          <w:szCs w:val="22"/>
        </w:rPr>
        <w:t>When a WG recommends both the creation of a new work item (</w:t>
      </w:r>
      <w:proofErr w:type="gramStart"/>
      <w:r w:rsidRPr="005A41DD">
        <w:rPr>
          <w:rFonts w:eastAsiaTheme="minorEastAsia"/>
          <w:szCs w:val="22"/>
        </w:rPr>
        <w:t>e.g.</w:t>
      </w:r>
      <w:proofErr w:type="gramEnd"/>
      <w:r w:rsidRPr="005A41DD">
        <w:rPr>
          <w:rFonts w:eastAsiaTheme="minorEastAsia"/>
          <w:szCs w:val="22"/>
        </w:rPr>
        <w:t xml:space="preserve"> a request for new edition, subdivision, or amendment) and the CD/CDAM/CDTR consultation or DIS/DAM/DTR ballot of a draft text for the work item together, </w:t>
      </w:r>
      <w:r w:rsidRPr="005A41DD">
        <w:rPr>
          <w:rFonts w:eastAsiaTheme="minorEastAsia"/>
          <w:i/>
          <w:iCs/>
          <w:szCs w:val="22"/>
        </w:rPr>
        <w:t>additional time</w:t>
      </w:r>
      <w:r w:rsidRPr="005A41DD">
        <w:rPr>
          <w:rFonts w:eastAsiaTheme="minorEastAsia"/>
          <w:szCs w:val="22"/>
        </w:rPr>
        <w:t xml:space="preserve"> is needed for approval of the request to create the new work item before the period of time listed below can begin. If an SC meeting will be held soon after the request is issued, the request can be approved at the SC meeting; otherwise, the request needs to be approved by a committee internal ballot (CIB), which takes a minimum of 4 weeks (plus a few days of processing time to issue the ballot and process the results). If approval of a new project (NP) using a Form 4 is needed (</w:t>
      </w:r>
      <w:proofErr w:type="gramStart"/>
      <w:r w:rsidRPr="005A41DD">
        <w:rPr>
          <w:rFonts w:eastAsiaTheme="minorEastAsia"/>
          <w:szCs w:val="22"/>
        </w:rPr>
        <w:t>e.g.</w:t>
      </w:r>
      <w:proofErr w:type="gramEnd"/>
      <w:r w:rsidRPr="005A41DD">
        <w:rPr>
          <w:rFonts w:eastAsiaTheme="minorEastAsia"/>
          <w:szCs w:val="22"/>
        </w:rPr>
        <w:t xml:space="preserve"> if a new top-level project number is requested or if a new part would expand the original scope of the project), the approval cannot be done directly at an SC meeting and requires a 12-week ballot (plus a few days of processing time). A DCOR has a different process than a new edition, subdivision and amendment; when a WG recommends a creation of COR, the defect report and the text </w:t>
      </w:r>
      <w:proofErr w:type="gramStart"/>
      <w:r w:rsidRPr="005A41DD">
        <w:rPr>
          <w:rFonts w:eastAsiaTheme="minorEastAsia"/>
          <w:szCs w:val="22"/>
        </w:rPr>
        <w:t>needs</w:t>
      </w:r>
      <w:proofErr w:type="gramEnd"/>
      <w:r w:rsidRPr="005A41DD">
        <w:rPr>
          <w:rFonts w:eastAsiaTheme="minorEastAsia"/>
          <w:szCs w:val="22"/>
        </w:rPr>
        <w:t xml:space="preserve"> to be submitted to the ISO TPM, who then sends it to the head of the production department to obtain the approval of the creation. (The period needed to obtain the approval for creation of a COR is not very predictable.)</w:t>
      </w:r>
    </w:p>
    <w:p w14:paraId="2E85B641" w14:textId="77777777" w:rsidR="005A41DD" w:rsidRPr="005A41DD" w:rsidRDefault="005A41DD" w:rsidP="005A4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EastAsia"/>
          <w:szCs w:val="22"/>
        </w:rPr>
      </w:pPr>
      <w:r w:rsidRPr="005A41DD">
        <w:rPr>
          <w:rFonts w:eastAsiaTheme="minorEastAsia"/>
          <w:szCs w:val="22"/>
        </w:rPr>
        <w:t>The ISO standard development target date planner (</w:t>
      </w:r>
      <w:hyperlink r:id="rId9" w:history="1">
        <w:r w:rsidRPr="005A41DD">
          <w:rPr>
            <w:rFonts w:eastAsiaTheme="minorEastAsia"/>
            <w:color w:val="0000FF"/>
            <w:szCs w:val="22"/>
            <w:u w:val="single"/>
          </w:rPr>
          <w:t>linked here</w:t>
        </w:r>
      </w:hyperlink>
      <w:r w:rsidRPr="005A41DD">
        <w:rPr>
          <w:rFonts w:eastAsiaTheme="minorEastAsia"/>
          <w:szCs w:val="22"/>
        </w:rPr>
        <w:t>) can help plan target dates according to the timeframe set at the project proposal.</w:t>
      </w:r>
    </w:p>
    <w:p w14:paraId="5AAD9CCD" w14:textId="77777777" w:rsidR="005A41DD" w:rsidRPr="005A41DD" w:rsidRDefault="005A41DD" w:rsidP="005A4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80"/>
        <w:textAlignment w:val="auto"/>
        <w:rPr>
          <w:rFonts w:eastAsiaTheme="minorEastAsia"/>
          <w:b/>
          <w:bCs/>
          <w:sz w:val="24"/>
          <w:szCs w:val="24"/>
        </w:rPr>
      </w:pPr>
      <w:r w:rsidRPr="005A41DD">
        <w:rPr>
          <w:rFonts w:eastAsiaTheme="minorEastAsia"/>
          <w:b/>
          <w:bCs/>
          <w:sz w:val="24"/>
          <w:szCs w:val="24"/>
        </w:rPr>
        <w:lastRenderedPageBreak/>
        <w:t>Tabulated summary of time spans for NB comment availability</w:t>
      </w:r>
    </w:p>
    <w:tbl>
      <w:tblPr>
        <w:tblStyle w:val="TableGrid"/>
        <w:tblW w:w="0" w:type="auto"/>
        <w:jc w:val="center"/>
        <w:tblLook w:val="04A0" w:firstRow="1" w:lastRow="0" w:firstColumn="1" w:lastColumn="0" w:noHBand="0" w:noVBand="1"/>
      </w:tblPr>
      <w:tblGrid>
        <w:gridCol w:w="2448"/>
        <w:gridCol w:w="1584"/>
        <w:gridCol w:w="1584"/>
        <w:gridCol w:w="1584"/>
        <w:gridCol w:w="1584"/>
      </w:tblGrid>
      <w:tr w:rsidR="005A41DD" w:rsidRPr="005A41DD" w14:paraId="31D10DC2" w14:textId="77777777" w:rsidTr="00C54BF4">
        <w:trPr>
          <w:jc w:val="center"/>
        </w:trPr>
        <w:tc>
          <w:tcPr>
            <w:tcW w:w="2448" w:type="dxa"/>
          </w:tcPr>
          <w:p w14:paraId="51653F5C"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Circulation type</w:t>
            </w:r>
          </w:p>
        </w:tc>
        <w:tc>
          <w:tcPr>
            <w:tcW w:w="1584" w:type="dxa"/>
          </w:tcPr>
          <w:p w14:paraId="343C92ED"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Preparation</w:t>
            </w:r>
            <w:r w:rsidRPr="005A41DD">
              <w:rPr>
                <w:rFonts w:ascii="Times New Roman" w:hAnsi="Times New Roman" w:cs="Times New Roman"/>
                <w:b/>
                <w:bCs/>
                <w:sz w:val="24"/>
                <w:szCs w:val="24"/>
                <w:vertAlign w:val="superscript"/>
              </w:rPr>
              <w:t>3</w:t>
            </w:r>
          </w:p>
        </w:tc>
        <w:tc>
          <w:tcPr>
            <w:tcW w:w="1584" w:type="dxa"/>
          </w:tcPr>
          <w:p w14:paraId="12DD5429"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Translation</w:t>
            </w:r>
          </w:p>
        </w:tc>
        <w:tc>
          <w:tcPr>
            <w:tcW w:w="1584" w:type="dxa"/>
          </w:tcPr>
          <w:p w14:paraId="4FF25600"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Commenting</w:t>
            </w:r>
          </w:p>
        </w:tc>
        <w:tc>
          <w:tcPr>
            <w:tcW w:w="1584" w:type="dxa"/>
          </w:tcPr>
          <w:p w14:paraId="1EDA252E"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Total</w:t>
            </w:r>
          </w:p>
        </w:tc>
      </w:tr>
      <w:tr w:rsidR="005A41DD" w:rsidRPr="005A41DD" w14:paraId="3A95B75B" w14:textId="77777777" w:rsidTr="00C54BF4">
        <w:trPr>
          <w:jc w:val="center"/>
        </w:trPr>
        <w:tc>
          <w:tcPr>
            <w:tcW w:w="2448" w:type="dxa"/>
          </w:tcPr>
          <w:p w14:paraId="3C09A039"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CD/CDAM/CDTR</w:t>
            </w:r>
          </w:p>
        </w:tc>
        <w:tc>
          <w:tcPr>
            <w:tcW w:w="1584" w:type="dxa"/>
          </w:tcPr>
          <w:p w14:paraId="58546EE4"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p>
        </w:tc>
        <w:tc>
          <w:tcPr>
            <w:tcW w:w="1584" w:type="dxa"/>
          </w:tcPr>
          <w:p w14:paraId="3A2F05E8"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p>
        </w:tc>
        <w:tc>
          <w:tcPr>
            <w:tcW w:w="1584" w:type="dxa"/>
          </w:tcPr>
          <w:p w14:paraId="39027065"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r w:rsidRPr="005A41DD">
              <w:rPr>
                <w:rFonts w:ascii="Times New Roman" w:hAnsi="Times New Roman" w:cs="Times New Roman"/>
              </w:rPr>
              <w:t>8 weeks</w:t>
            </w:r>
          </w:p>
        </w:tc>
        <w:tc>
          <w:tcPr>
            <w:tcW w:w="1584" w:type="dxa"/>
          </w:tcPr>
          <w:p w14:paraId="2D9EA7BD"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8 weeks</w:t>
            </w:r>
          </w:p>
        </w:tc>
      </w:tr>
      <w:tr w:rsidR="005A41DD" w:rsidRPr="005A41DD" w14:paraId="458D7B60" w14:textId="77777777" w:rsidTr="00C54BF4">
        <w:trPr>
          <w:jc w:val="center"/>
        </w:trPr>
        <w:tc>
          <w:tcPr>
            <w:tcW w:w="2448" w:type="dxa"/>
          </w:tcPr>
          <w:p w14:paraId="1CA7F2A8"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(first) DIS/DAM</w:t>
            </w:r>
          </w:p>
        </w:tc>
        <w:tc>
          <w:tcPr>
            <w:tcW w:w="1584" w:type="dxa"/>
          </w:tcPr>
          <w:p w14:paraId="7214CD47"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r w:rsidRPr="005A41DD">
              <w:rPr>
                <w:rFonts w:ascii="Times New Roman" w:hAnsi="Times New Roman" w:cs="Times New Roman"/>
              </w:rPr>
              <w:t>2 weeks</w:t>
            </w:r>
          </w:p>
        </w:tc>
        <w:tc>
          <w:tcPr>
            <w:tcW w:w="1584" w:type="dxa"/>
          </w:tcPr>
          <w:p w14:paraId="23140A1E"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r w:rsidRPr="005A41DD">
              <w:rPr>
                <w:rFonts w:ascii="Times New Roman" w:hAnsi="Times New Roman" w:cs="Times New Roman"/>
              </w:rPr>
              <w:t>8 weeks</w:t>
            </w:r>
          </w:p>
        </w:tc>
        <w:tc>
          <w:tcPr>
            <w:tcW w:w="1584" w:type="dxa"/>
          </w:tcPr>
          <w:p w14:paraId="52D4D4F9"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r w:rsidRPr="005A41DD">
              <w:rPr>
                <w:rFonts w:ascii="Times New Roman" w:hAnsi="Times New Roman" w:cs="Times New Roman"/>
              </w:rPr>
              <w:t>12 weeks</w:t>
            </w:r>
          </w:p>
        </w:tc>
        <w:tc>
          <w:tcPr>
            <w:tcW w:w="1584" w:type="dxa"/>
          </w:tcPr>
          <w:p w14:paraId="49FB3783"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22 weeks</w:t>
            </w:r>
          </w:p>
        </w:tc>
      </w:tr>
      <w:tr w:rsidR="005A41DD" w:rsidRPr="005A41DD" w14:paraId="515C832E" w14:textId="77777777" w:rsidTr="00C54BF4">
        <w:trPr>
          <w:jc w:val="center"/>
        </w:trPr>
        <w:tc>
          <w:tcPr>
            <w:tcW w:w="2448" w:type="dxa"/>
          </w:tcPr>
          <w:p w14:paraId="5FC2E318"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Subsequent DIS/DAM</w:t>
            </w:r>
            <w:r w:rsidRPr="005A41DD">
              <w:rPr>
                <w:rFonts w:ascii="Times New Roman" w:hAnsi="Times New Roman" w:cs="Times New Roman"/>
                <w:b/>
                <w:bCs/>
                <w:sz w:val="24"/>
                <w:szCs w:val="24"/>
                <w:vertAlign w:val="superscript"/>
              </w:rPr>
              <w:t>1</w:t>
            </w:r>
          </w:p>
        </w:tc>
        <w:tc>
          <w:tcPr>
            <w:tcW w:w="1584" w:type="dxa"/>
          </w:tcPr>
          <w:p w14:paraId="528F0C06"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r w:rsidRPr="005A41DD">
              <w:rPr>
                <w:rFonts w:ascii="Times New Roman" w:hAnsi="Times New Roman" w:cs="Times New Roman"/>
              </w:rPr>
              <w:t>2 weeks</w:t>
            </w:r>
          </w:p>
        </w:tc>
        <w:tc>
          <w:tcPr>
            <w:tcW w:w="1584" w:type="dxa"/>
          </w:tcPr>
          <w:p w14:paraId="54CD2921"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r w:rsidRPr="005A41DD">
              <w:rPr>
                <w:rFonts w:ascii="Times New Roman" w:hAnsi="Times New Roman" w:cs="Times New Roman"/>
              </w:rPr>
              <w:t>(none)</w:t>
            </w:r>
          </w:p>
        </w:tc>
        <w:tc>
          <w:tcPr>
            <w:tcW w:w="1584" w:type="dxa"/>
          </w:tcPr>
          <w:p w14:paraId="5DAFC6DB"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r w:rsidRPr="005A41DD">
              <w:rPr>
                <w:rFonts w:ascii="Times New Roman" w:hAnsi="Times New Roman" w:cs="Times New Roman"/>
              </w:rPr>
              <w:t>8 weeks</w:t>
            </w:r>
          </w:p>
        </w:tc>
        <w:tc>
          <w:tcPr>
            <w:tcW w:w="1584" w:type="dxa"/>
          </w:tcPr>
          <w:p w14:paraId="3B6CA0AB"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10 weeks</w:t>
            </w:r>
          </w:p>
        </w:tc>
      </w:tr>
      <w:tr w:rsidR="005A41DD" w:rsidRPr="005A41DD" w14:paraId="371FC251" w14:textId="77777777" w:rsidTr="00C54BF4">
        <w:trPr>
          <w:jc w:val="center"/>
        </w:trPr>
        <w:tc>
          <w:tcPr>
            <w:tcW w:w="2448" w:type="dxa"/>
          </w:tcPr>
          <w:p w14:paraId="65216B5A"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(first) DTR</w:t>
            </w:r>
          </w:p>
        </w:tc>
        <w:tc>
          <w:tcPr>
            <w:tcW w:w="1584" w:type="dxa"/>
          </w:tcPr>
          <w:p w14:paraId="4E204E43"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r w:rsidRPr="005A41DD">
              <w:rPr>
                <w:rFonts w:ascii="Times New Roman" w:hAnsi="Times New Roman" w:cs="Times New Roman"/>
              </w:rPr>
              <w:t>6 weeks</w:t>
            </w:r>
          </w:p>
        </w:tc>
        <w:tc>
          <w:tcPr>
            <w:tcW w:w="1584" w:type="dxa"/>
          </w:tcPr>
          <w:p w14:paraId="48672FC3"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r w:rsidRPr="005A41DD">
              <w:rPr>
                <w:rFonts w:ascii="Times New Roman" w:hAnsi="Times New Roman" w:cs="Times New Roman"/>
              </w:rPr>
              <w:t>2 weeks</w:t>
            </w:r>
          </w:p>
        </w:tc>
        <w:tc>
          <w:tcPr>
            <w:tcW w:w="1584" w:type="dxa"/>
          </w:tcPr>
          <w:p w14:paraId="39A03A5C"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r w:rsidRPr="005A41DD">
              <w:rPr>
                <w:rFonts w:ascii="Times New Roman" w:hAnsi="Times New Roman" w:cs="Times New Roman"/>
              </w:rPr>
              <w:t>8 weeks</w:t>
            </w:r>
          </w:p>
        </w:tc>
        <w:tc>
          <w:tcPr>
            <w:tcW w:w="1584" w:type="dxa"/>
          </w:tcPr>
          <w:p w14:paraId="52EBB230"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16 weeks</w:t>
            </w:r>
          </w:p>
        </w:tc>
      </w:tr>
      <w:tr w:rsidR="005A41DD" w:rsidRPr="005A41DD" w14:paraId="3B33070E" w14:textId="77777777" w:rsidTr="00C54BF4">
        <w:trPr>
          <w:jc w:val="center"/>
        </w:trPr>
        <w:tc>
          <w:tcPr>
            <w:tcW w:w="2448" w:type="dxa"/>
          </w:tcPr>
          <w:p w14:paraId="586E5FF6"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Subsequent DTR</w:t>
            </w:r>
            <w:r w:rsidRPr="005A41DD">
              <w:rPr>
                <w:rFonts w:ascii="Times New Roman" w:hAnsi="Times New Roman" w:cs="Times New Roman"/>
                <w:b/>
                <w:bCs/>
                <w:sz w:val="24"/>
                <w:szCs w:val="24"/>
                <w:vertAlign w:val="superscript"/>
              </w:rPr>
              <w:t>2</w:t>
            </w:r>
          </w:p>
        </w:tc>
        <w:tc>
          <w:tcPr>
            <w:tcW w:w="1584" w:type="dxa"/>
          </w:tcPr>
          <w:p w14:paraId="1D644599"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r w:rsidRPr="005A41DD">
              <w:rPr>
                <w:rFonts w:ascii="Times New Roman" w:hAnsi="Times New Roman" w:cs="Times New Roman"/>
              </w:rPr>
              <w:t>2 weeks</w:t>
            </w:r>
          </w:p>
        </w:tc>
        <w:tc>
          <w:tcPr>
            <w:tcW w:w="1584" w:type="dxa"/>
          </w:tcPr>
          <w:p w14:paraId="2ACEC145"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r w:rsidRPr="005A41DD">
              <w:rPr>
                <w:rFonts w:ascii="Times New Roman" w:hAnsi="Times New Roman" w:cs="Times New Roman"/>
              </w:rPr>
              <w:t>(none)</w:t>
            </w:r>
          </w:p>
        </w:tc>
        <w:tc>
          <w:tcPr>
            <w:tcW w:w="1584" w:type="dxa"/>
          </w:tcPr>
          <w:p w14:paraId="58D940DE"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r w:rsidRPr="005A41DD">
              <w:rPr>
                <w:rFonts w:ascii="Times New Roman" w:hAnsi="Times New Roman" w:cs="Times New Roman"/>
              </w:rPr>
              <w:t>8 weeks</w:t>
            </w:r>
          </w:p>
        </w:tc>
        <w:tc>
          <w:tcPr>
            <w:tcW w:w="1584" w:type="dxa"/>
          </w:tcPr>
          <w:p w14:paraId="219A6575"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10 weeks</w:t>
            </w:r>
          </w:p>
        </w:tc>
      </w:tr>
      <w:tr w:rsidR="005A41DD" w:rsidRPr="005A41DD" w14:paraId="46F45282" w14:textId="77777777" w:rsidTr="00C54BF4">
        <w:trPr>
          <w:jc w:val="center"/>
        </w:trPr>
        <w:tc>
          <w:tcPr>
            <w:tcW w:w="2448" w:type="dxa"/>
          </w:tcPr>
          <w:p w14:paraId="2FA27DDA" w14:textId="77777777" w:rsidR="005A41DD" w:rsidRPr="005A41DD" w:rsidRDefault="005A41DD" w:rsidP="005A4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DCOR</w:t>
            </w:r>
          </w:p>
        </w:tc>
        <w:tc>
          <w:tcPr>
            <w:tcW w:w="1584" w:type="dxa"/>
          </w:tcPr>
          <w:p w14:paraId="07C2DEE7" w14:textId="77777777" w:rsidR="005A41DD" w:rsidRPr="005A41DD" w:rsidRDefault="005A41DD" w:rsidP="005A4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p>
        </w:tc>
        <w:tc>
          <w:tcPr>
            <w:tcW w:w="1584" w:type="dxa"/>
          </w:tcPr>
          <w:p w14:paraId="59EDFB10" w14:textId="77777777" w:rsidR="005A41DD" w:rsidRPr="005A41DD" w:rsidRDefault="005A41DD" w:rsidP="005A4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p>
        </w:tc>
        <w:tc>
          <w:tcPr>
            <w:tcW w:w="1584" w:type="dxa"/>
          </w:tcPr>
          <w:p w14:paraId="19C58907" w14:textId="77777777" w:rsidR="005A41DD" w:rsidRPr="005A41DD" w:rsidRDefault="005A41DD" w:rsidP="005A4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rPr>
            </w:pPr>
            <w:r w:rsidRPr="005A41DD">
              <w:rPr>
                <w:rFonts w:ascii="Times New Roman" w:hAnsi="Times New Roman" w:cs="Times New Roman"/>
              </w:rPr>
              <w:t>12 weeks</w:t>
            </w:r>
          </w:p>
        </w:tc>
        <w:tc>
          <w:tcPr>
            <w:tcW w:w="1584" w:type="dxa"/>
          </w:tcPr>
          <w:p w14:paraId="4A26A0D1" w14:textId="77777777" w:rsidR="005A41DD" w:rsidRPr="005A41DD" w:rsidRDefault="005A41DD" w:rsidP="005A4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Times New Roman" w:hAnsi="Times New Roman" w:cs="Times New Roman"/>
                <w:b/>
                <w:bCs/>
              </w:rPr>
            </w:pPr>
            <w:r w:rsidRPr="005A41DD">
              <w:rPr>
                <w:rFonts w:ascii="Times New Roman" w:hAnsi="Times New Roman" w:cs="Times New Roman"/>
                <w:b/>
                <w:bCs/>
              </w:rPr>
              <w:t>12 weeks</w:t>
            </w:r>
          </w:p>
        </w:tc>
      </w:tr>
    </w:tbl>
    <w:p w14:paraId="260E243D" w14:textId="77777777" w:rsidR="005A41DD" w:rsidRPr="005A41DD" w:rsidRDefault="005A41DD" w:rsidP="005A41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szCs w:val="22"/>
        </w:rPr>
      </w:pPr>
      <w:r w:rsidRPr="005A41DD">
        <w:rPr>
          <w:rFonts w:eastAsiaTheme="minorEastAsia"/>
          <w:szCs w:val="22"/>
        </w:rPr>
        <w:t>Notes:</w:t>
      </w:r>
    </w:p>
    <w:p w14:paraId="0790F7EE" w14:textId="77777777" w:rsidR="005A41DD" w:rsidRPr="005A41DD" w:rsidRDefault="005A41DD" w:rsidP="005A4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EastAsia"/>
          <w:szCs w:val="22"/>
        </w:rPr>
      </w:pPr>
      <w:r w:rsidRPr="005A41DD">
        <w:rPr>
          <w:rFonts w:eastAsiaTheme="minorEastAsia"/>
          <w:szCs w:val="22"/>
        </w:rPr>
        <w:t>NOTE 1: The need for a subsequent enquiry stage (DIS/DAM) ballot is determined either by 1) failure to meet the criteria for approval of the previous enquiry stage ballot, or 2) consensus/decision that an additional enquiry stage ballot is desirable due to the magnitude of technical changes made following the previous enquiry stage ballot.</w:t>
      </w:r>
    </w:p>
    <w:p w14:paraId="5F8408AD" w14:textId="77777777" w:rsidR="005A41DD" w:rsidRPr="005A41DD" w:rsidRDefault="005A41DD" w:rsidP="005A4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EastAsia"/>
          <w:szCs w:val="22"/>
        </w:rPr>
      </w:pPr>
      <w:r w:rsidRPr="005A41DD">
        <w:rPr>
          <w:rFonts w:eastAsiaTheme="minorEastAsia"/>
          <w:szCs w:val="22"/>
        </w:rPr>
        <w:t>NOTE 2: Under the current Directives, a subsequent DTR ballot is required whenever “changes other than editorial changes” are made following the previous DTR ballot. (In May 2023, JTC 1 issued Resolution 18 to request clarifying/changing this aspect replace the phrase with “significant technical changes”.) The (last) DTR ballot serves as the approval stage ballot for a technical report (as compared to the approval process for an international standard or an amendment, in which the last DIS/DAM ballot is followed by an FDIS/FDAM approval ballot stage if “technical changes are to be included”).</w:t>
      </w:r>
    </w:p>
    <w:p w14:paraId="32EAF635" w14:textId="674DBCEC" w:rsidR="007F1F8B" w:rsidRDefault="005A41DD" w:rsidP="005A41DD">
      <w:pPr>
        <w:rPr>
          <w:szCs w:val="22"/>
          <w:lang w:val="en-CA"/>
        </w:rPr>
      </w:pPr>
      <w:r w:rsidRPr="005A41DD">
        <w:rPr>
          <w:rFonts w:eastAsiaTheme="minorEastAsia"/>
          <w:szCs w:val="22"/>
        </w:rPr>
        <w:t xml:space="preserve">NOTE 3: The reader is cautioned that the listed preparation time is </w:t>
      </w:r>
      <w:r w:rsidRPr="005A41DD">
        <w:rPr>
          <w:rFonts w:eastAsiaTheme="minorEastAsia"/>
          <w:i/>
          <w:iCs/>
          <w:szCs w:val="22"/>
        </w:rPr>
        <w:t>after submission of acceptable text</w:t>
      </w:r>
      <w:r w:rsidRPr="005A41DD">
        <w:rPr>
          <w:rFonts w:eastAsiaTheme="minorEastAsia"/>
          <w:szCs w:val="22"/>
        </w:rPr>
        <w:t xml:space="preserve"> by the editor. If the submitted text has any inadequacies (</w:t>
      </w:r>
      <w:proofErr w:type="gramStart"/>
      <w:r w:rsidRPr="005A41DD">
        <w:rPr>
          <w:rFonts w:eastAsiaTheme="minorEastAsia"/>
          <w:szCs w:val="22"/>
        </w:rPr>
        <w:t>e.g.</w:t>
      </w:r>
      <w:proofErr w:type="gramEnd"/>
      <w:r w:rsidRPr="005A41DD">
        <w:rPr>
          <w:rFonts w:eastAsiaTheme="minorEastAsia"/>
          <w:szCs w:val="22"/>
        </w:rPr>
        <w:t xml:space="preserve"> missing editable figures for an enquiry stage draft, a missing software or data attachment, or broken cross-referencing links), additional time will be needed to address them. Moreover, the listed minimum timeline assumes the SC CM will immediately process the text, so coordination with the CM is needed for timely action.</w:t>
      </w:r>
    </w:p>
    <w:p w14:paraId="0AA28585" w14:textId="77777777" w:rsidR="005A41DD" w:rsidRPr="005B217D" w:rsidRDefault="005A41DD" w:rsidP="009234A5">
      <w:pPr>
        <w:rPr>
          <w:szCs w:val="22"/>
          <w:lang w:val="en-CA"/>
        </w:rPr>
      </w:pPr>
    </w:p>
    <w:sectPr w:rsidR="005A41DD"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452E4" w14:textId="77777777" w:rsidR="00FC385B" w:rsidRDefault="00FC385B">
      <w:r>
        <w:separator/>
      </w:r>
    </w:p>
  </w:endnote>
  <w:endnote w:type="continuationSeparator" w:id="0">
    <w:p w14:paraId="3B42E871" w14:textId="77777777" w:rsidR="00FC385B" w:rsidRDefault="00FC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26C490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A41DD">
      <w:rPr>
        <w:rStyle w:val="PageNumber"/>
        <w:noProof/>
      </w:rPr>
      <w:t>2023-07-24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4580A" w14:textId="77777777" w:rsidR="00FC385B" w:rsidRDefault="00FC385B">
      <w:r>
        <w:separator/>
      </w:r>
    </w:p>
  </w:footnote>
  <w:footnote w:type="continuationSeparator" w:id="0">
    <w:p w14:paraId="79433A3B" w14:textId="77777777" w:rsidR="00FC385B" w:rsidRDefault="00FC3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342363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1819806">
    <w:abstractNumId w:val="10"/>
  </w:num>
  <w:num w:numId="3" w16cid:durableId="1294866127">
    <w:abstractNumId w:val="8"/>
  </w:num>
  <w:num w:numId="4" w16cid:durableId="2116123397">
    <w:abstractNumId w:val="6"/>
  </w:num>
  <w:num w:numId="5" w16cid:durableId="2013338199">
    <w:abstractNumId w:val="7"/>
  </w:num>
  <w:num w:numId="6" w16cid:durableId="1349214684">
    <w:abstractNumId w:val="4"/>
  </w:num>
  <w:num w:numId="7" w16cid:durableId="1892879730">
    <w:abstractNumId w:val="5"/>
  </w:num>
  <w:num w:numId="8" w16cid:durableId="1302806032">
    <w:abstractNumId w:val="4"/>
  </w:num>
  <w:num w:numId="9" w16cid:durableId="142283373">
    <w:abstractNumId w:val="1"/>
  </w:num>
  <w:num w:numId="10" w16cid:durableId="1547334861">
    <w:abstractNumId w:val="3"/>
  </w:num>
  <w:num w:numId="11" w16cid:durableId="1664821974">
    <w:abstractNumId w:val="2"/>
  </w:num>
  <w:num w:numId="12" w16cid:durableId="7887447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A41DD"/>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C385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table" w:styleId="TableGrid">
    <w:name w:val="Table Grid"/>
    <w:basedOn w:val="TableNormal"/>
    <w:uiPriority w:val="39"/>
    <w:rsid w:val="005A41D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iso.org/files/live/sites/isoorg/files/developing_standards/resources/docs/std%20dev%20target%20date%20planne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771</Words>
  <Characters>4401</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4</cp:revision>
  <cp:lastPrinted>1900-01-01T08:00:00Z</cp:lastPrinted>
  <dcterms:created xsi:type="dcterms:W3CDTF">2023-07-23T13:07:00Z</dcterms:created>
  <dcterms:modified xsi:type="dcterms:W3CDTF">2023-10-06T21:57:00Z</dcterms:modified>
</cp:coreProperties>
</file>