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71C1CFF" w:rsidR="008A4B4C" w:rsidRPr="00D40FEC" w:rsidRDefault="00E61DAC" w:rsidP="00536188">
            <w:pPr>
              <w:tabs>
                <w:tab w:val="left" w:pos="7200"/>
              </w:tabs>
              <w:rPr>
                <w:rFonts w:eastAsiaTheme="minor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3D12">
              <w:rPr>
                <w:lang w:val="en-CA"/>
              </w:rPr>
              <w:t>Z0137</w:t>
            </w:r>
            <w:r w:rsidR="006A0E5C" w:rsidRPr="006A0E5C">
              <w:rPr>
                <w:lang w:val="en-CA"/>
              </w:rPr>
              <w:t>-v</w:t>
            </w:r>
            <w:r w:rsidR="00D40F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E2CDB1" w:rsidR="00E61DAC" w:rsidRPr="00495D3C" w:rsidRDefault="00950D30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007482">
              <w:rPr>
                <w:b/>
                <w:szCs w:val="22"/>
                <w:lang w:val="en-CA"/>
              </w:rPr>
              <w:t>Adaptive Blending for GPM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995D8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98E0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54DB97" w:rsidR="005F04B6" w:rsidRPr="00FB4E9C" w:rsidRDefault="00987419">
            <w:pPr>
              <w:spacing w:before="60" w:after="60"/>
              <w:rPr>
                <w:szCs w:val="22"/>
                <w:lang w:val="de-DE"/>
              </w:rPr>
            </w:pPr>
            <w:r w:rsidRPr="00FB4E9C">
              <w:rPr>
                <w:szCs w:val="22"/>
                <w:lang w:val="de-DE"/>
              </w:rPr>
              <w:t>Han Gao</w:t>
            </w:r>
            <w:r w:rsidR="00FB4E9C" w:rsidRPr="00FB4E9C">
              <w:rPr>
                <w:szCs w:val="22"/>
                <w:lang w:val="de-DE"/>
              </w:rPr>
              <w:t xml:space="preserve">, </w:t>
            </w:r>
            <w:r w:rsidR="005F04B6" w:rsidRPr="00FB4E9C">
              <w:rPr>
                <w:szCs w:val="22"/>
                <w:lang w:val="de-DE"/>
              </w:rPr>
              <w:t>Xiaoyu Xiu</w:t>
            </w:r>
            <w:r w:rsidR="00FB4E9C" w:rsidRPr="00FB4E9C">
              <w:rPr>
                <w:szCs w:val="22"/>
                <w:lang w:val="de-DE"/>
              </w:rPr>
              <w:t xml:space="preserve">, </w:t>
            </w:r>
            <w:r w:rsidR="005F04B6" w:rsidRPr="00FB4E9C">
              <w:rPr>
                <w:szCs w:val="22"/>
                <w:lang w:val="de-DE"/>
              </w:rPr>
              <w:t>Wei Chen</w:t>
            </w:r>
            <w:r w:rsidR="00FB4E9C">
              <w:rPr>
                <w:szCs w:val="22"/>
                <w:lang w:val="de-DE"/>
              </w:rPr>
              <w:t xml:space="preserve">, </w:t>
            </w:r>
            <w:r w:rsidR="005F04B6" w:rsidRPr="00FB4E9C">
              <w:rPr>
                <w:szCs w:val="22"/>
                <w:lang w:val="de-DE"/>
              </w:rPr>
              <w:t>Hong</w:t>
            </w:r>
            <w:r w:rsidR="00FB4E9C" w:rsidRPr="00FB4E9C">
              <w:rPr>
                <w:szCs w:val="22"/>
                <w:lang w:val="de-DE"/>
              </w:rPr>
              <w:t>-</w:t>
            </w:r>
            <w:r w:rsidR="005F04B6" w:rsidRPr="00FB4E9C">
              <w:rPr>
                <w:szCs w:val="22"/>
                <w:lang w:val="de-DE"/>
              </w:rPr>
              <w:t>Jheng Jhu</w:t>
            </w:r>
            <w:r w:rsidR="00FB4E9C">
              <w:rPr>
                <w:szCs w:val="22"/>
                <w:lang w:val="de-DE"/>
              </w:rPr>
              <w:t xml:space="preserve">, </w:t>
            </w:r>
            <w:r w:rsidR="005F04B6" w:rsidRPr="00FB4E9C">
              <w:rPr>
                <w:szCs w:val="22"/>
                <w:lang w:val="de-DE"/>
              </w:rPr>
              <w:t>Che-Wei Kuo</w:t>
            </w:r>
            <w:r w:rsidR="00FB4E9C" w:rsidRPr="00FB4E9C">
              <w:rPr>
                <w:szCs w:val="22"/>
                <w:lang w:val="de-DE"/>
              </w:rPr>
              <w:t xml:space="preserve">, </w:t>
            </w:r>
            <w:r w:rsidR="005F04B6" w:rsidRPr="00FB4E9C">
              <w:rPr>
                <w:szCs w:val="22"/>
                <w:lang w:val="de-DE"/>
              </w:rPr>
              <w:t>Ning Yan</w:t>
            </w:r>
            <w:r w:rsidR="00FB4E9C">
              <w:rPr>
                <w:szCs w:val="22"/>
                <w:lang w:val="de-DE"/>
              </w:rPr>
              <w:t xml:space="preserve">, </w:t>
            </w:r>
            <w:r w:rsidR="005F04B6" w:rsidRPr="00FB4E9C">
              <w:rPr>
                <w:szCs w:val="22"/>
                <w:lang w:val="de-DE"/>
              </w:rPr>
              <w:t>Xianglin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B4E9C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BE8B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3D12">
              <w:rPr>
                <w:szCs w:val="22"/>
                <w:lang w:val="en-CA"/>
              </w:rPr>
              <w:t>xiaoyuxiu</w:t>
            </w:r>
            <w:r w:rsidR="005F04B6">
              <w:rPr>
                <w:szCs w:val="22"/>
                <w:lang w:val="en-CA"/>
              </w:rPr>
              <w:t>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10FF26" w:rsidR="00E61DAC" w:rsidRPr="005B217D" w:rsidRDefault="005F0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39BBE6" w14:textId="4F91854C" w:rsidR="00EB5873" w:rsidRDefault="00EB5873" w:rsidP="009234A5">
      <w:pPr>
        <w:rPr>
          <w:lang w:val="en-CA"/>
        </w:rPr>
      </w:pPr>
      <w:r>
        <w:rPr>
          <w:lang w:val="en-CA"/>
        </w:rPr>
        <w:t xml:space="preserve">In this contribution, one </w:t>
      </w:r>
      <w:r w:rsidR="00445CE5">
        <w:rPr>
          <w:lang w:val="en-CA"/>
        </w:rPr>
        <w:t>CU-level adaptive blending method is propos</w:t>
      </w:r>
      <w:r>
        <w:rPr>
          <w:lang w:val="en-CA"/>
        </w:rPr>
        <w:t>ed to improve the prediction efficiency of geometric partition mode (GPM)</w:t>
      </w:r>
      <w:r w:rsidR="00445CE5">
        <w:rPr>
          <w:lang w:val="en-CA"/>
        </w:rPr>
        <w:t xml:space="preserve">. </w:t>
      </w:r>
      <w:r>
        <w:rPr>
          <w:lang w:val="en-CA"/>
        </w:rPr>
        <w:t>For the natural content, t</w:t>
      </w:r>
      <w:r w:rsidR="00445CE5">
        <w:rPr>
          <w:lang w:val="en-CA"/>
        </w:rPr>
        <w:t>he proposed method shows</w:t>
      </w:r>
      <w:r>
        <w:rPr>
          <w:lang w:val="en-CA"/>
        </w:rPr>
        <w:t xml:space="preserve"> {Y, U, V} BD-rate impacts of</w:t>
      </w:r>
      <w:r w:rsidR="00445CE5">
        <w:rPr>
          <w:lang w:val="en-CA"/>
        </w:rPr>
        <w:t xml:space="preserve"> </w:t>
      </w:r>
      <w:r>
        <w:rPr>
          <w:lang w:val="en-CA"/>
        </w:rPr>
        <w:t>{-0.14</w:t>
      </w:r>
      <w:r w:rsidR="00445CE5">
        <w:rPr>
          <w:lang w:val="en-CA"/>
        </w:rPr>
        <w:t xml:space="preserve">%, </w:t>
      </w:r>
      <w:r>
        <w:rPr>
          <w:lang w:val="en-CA"/>
        </w:rPr>
        <w:t>-0.25</w:t>
      </w:r>
      <w:r w:rsidR="00445CE5">
        <w:rPr>
          <w:lang w:val="en-CA"/>
        </w:rPr>
        <w:t xml:space="preserve">%, </w:t>
      </w:r>
      <w:r>
        <w:rPr>
          <w:lang w:val="en-CA"/>
        </w:rPr>
        <w:t>-0.12%} for</w:t>
      </w:r>
      <w:r w:rsidR="00445CE5">
        <w:rPr>
          <w:lang w:val="en-CA"/>
        </w:rPr>
        <w:t xml:space="preserve"> RA and </w:t>
      </w:r>
      <w:r>
        <w:rPr>
          <w:lang w:val="en-CA"/>
        </w:rPr>
        <w:t>{-0.17</w:t>
      </w:r>
      <w:r w:rsidR="00445CE5">
        <w:rPr>
          <w:lang w:val="en-CA"/>
        </w:rPr>
        <w:t xml:space="preserve">%, </w:t>
      </w:r>
      <w:r>
        <w:rPr>
          <w:lang w:val="en-CA"/>
        </w:rPr>
        <w:t>-0.04</w:t>
      </w:r>
      <w:r w:rsidR="00445CE5">
        <w:rPr>
          <w:lang w:val="en-CA"/>
        </w:rPr>
        <w:t xml:space="preserve">%, </w:t>
      </w:r>
      <w:r>
        <w:rPr>
          <w:lang w:val="en-CA"/>
        </w:rPr>
        <w:t>0.02</w:t>
      </w:r>
      <w:r w:rsidR="00445CE5">
        <w:rPr>
          <w:lang w:val="en-CA"/>
        </w:rPr>
        <w:t>%</w:t>
      </w:r>
      <w:r>
        <w:rPr>
          <w:lang w:val="en-CA"/>
        </w:rPr>
        <w:t>} for</w:t>
      </w:r>
      <w:r w:rsidR="00445CE5">
        <w:rPr>
          <w:lang w:val="en-CA"/>
        </w:rPr>
        <w:t xml:space="preserve"> LDB</w:t>
      </w:r>
      <w:r>
        <w:rPr>
          <w:lang w:val="en-CA"/>
        </w:rPr>
        <w:t>, compared to</w:t>
      </w:r>
      <w:r w:rsidR="00B10C6F">
        <w:rPr>
          <w:lang w:val="en-CA"/>
        </w:rPr>
        <w:t xml:space="preserve"> ECM4.0</w:t>
      </w:r>
      <w:r>
        <w:rPr>
          <w:lang w:val="en-CA"/>
        </w:rPr>
        <w:t xml:space="preserve"> anchors</w:t>
      </w:r>
      <w:r w:rsidR="00445CE5">
        <w:rPr>
          <w:lang w:val="en-CA"/>
        </w:rPr>
        <w:t xml:space="preserve">. </w:t>
      </w:r>
      <w:r>
        <w:rPr>
          <w:lang w:val="en-CA"/>
        </w:rPr>
        <w:t>For the TGM conte</w:t>
      </w:r>
      <w:r w:rsidR="006275A7">
        <w:rPr>
          <w:lang w:val="en-CA"/>
        </w:rPr>
        <w:t>nt, the BD-rate performance of the proposed method is {-1.90%, -1.30%, -1.26%} for RA and {-2.61%, -2.11%, -2.12%} for LDB. The corresponding impacts on encoding and decoding run-time are 101% and 100% for RA and 102% and 100% for LDB.</w:t>
      </w:r>
    </w:p>
    <w:p w14:paraId="7D2AC1F0" w14:textId="189201A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C67D96" w14:textId="7CE15DBF" w:rsidR="00356059" w:rsidRDefault="00954EB2" w:rsidP="004234F0">
      <w:pPr>
        <w:rPr>
          <w:szCs w:val="22"/>
          <w:lang w:val="en-CA"/>
        </w:rPr>
      </w:pPr>
      <w:r>
        <w:rPr>
          <w:szCs w:val="22"/>
          <w:lang w:val="en-CA"/>
        </w:rPr>
        <w:t>During the VVC development, the Geometric Partitioning Mode (GPM) was adopted by [1]. During the ECM development, GPM was further enhanced by, e.g., GPM+TM</w:t>
      </w:r>
      <w:r w:rsidR="00651729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, GPM+MMVD</w:t>
      </w:r>
      <w:r w:rsidR="00651729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, and Inter+Intra GPM</w:t>
      </w:r>
      <w:r w:rsidR="00A37D3E">
        <w:rPr>
          <w:szCs w:val="22"/>
          <w:lang w:val="en-CA"/>
        </w:rPr>
        <w:t xml:space="preserve"> [3]</w:t>
      </w:r>
      <w:r>
        <w:rPr>
          <w:szCs w:val="22"/>
          <w:lang w:val="en-CA"/>
        </w:rPr>
        <w:t xml:space="preserve">. However, the blending strength of </w:t>
      </w:r>
      <w:r w:rsidR="006A17D3">
        <w:rPr>
          <w:szCs w:val="22"/>
          <w:lang w:val="en-CA"/>
        </w:rPr>
        <w:t>GPM has not been improved since the original GPM design. That is, as shown in Fig. 1</w:t>
      </w:r>
      <w:r w:rsidR="00356059">
        <w:rPr>
          <w:szCs w:val="22"/>
          <w:lang w:val="en-CA"/>
        </w:rPr>
        <w:t xml:space="preserve">, the blending strength or blending area width </w:t>
      </w:r>
      <m:oMath>
        <m:r>
          <w:rPr>
            <w:rFonts w:ascii="Cambria Math" w:hAnsi="Cambria Math"/>
            <w:szCs w:val="22"/>
            <w:lang w:val="en-CA"/>
          </w:rPr>
          <m:t>θ</m:t>
        </m:r>
      </m:oMath>
      <w:r w:rsidR="00356059">
        <w:rPr>
          <w:szCs w:val="22"/>
          <w:lang w:val="en-CA"/>
        </w:rPr>
        <w:t xml:space="preserve"> is fixed for all different contents. </w:t>
      </w:r>
    </w:p>
    <w:p w14:paraId="2B4911D8" w14:textId="15CCC248" w:rsidR="00954EB2" w:rsidRPr="005B217D" w:rsidRDefault="00356059" w:rsidP="00356059">
      <w:pPr>
        <w:jc w:val="center"/>
        <w:rPr>
          <w:szCs w:val="22"/>
          <w:lang w:val="en-CA"/>
        </w:rPr>
      </w:pPr>
      <w:r w:rsidRPr="00356059">
        <w:rPr>
          <w:noProof/>
          <w:szCs w:val="22"/>
        </w:rPr>
        <w:drawing>
          <wp:inline distT="0" distB="0" distL="0" distR="0" wp14:anchorId="772E8FC5" wp14:editId="45D81D03">
            <wp:extent cx="2123161" cy="1953308"/>
            <wp:effectExtent l="0" t="0" r="0" b="2540"/>
            <wp:docPr id="25" name="Picture 13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DF195F9-B3B0-1C44-A793-1238B59474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EDF195F9-B3B0-1C44-A793-1238B59474B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556" cy="1959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07F70" w14:textId="50219782" w:rsidR="00277DE5" w:rsidRDefault="00356059" w:rsidP="0035605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1 GPM blending in the current ECM 4.0</w:t>
      </w:r>
    </w:p>
    <w:p w14:paraId="33BE29A0" w14:textId="3D169A11" w:rsidR="00277DE5" w:rsidRDefault="00277DE5" w:rsidP="00277DE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weighing values in the blending mask can be given by a ramp function</w:t>
      </w:r>
    </w:p>
    <w:p w14:paraId="27214AE7" w14:textId="32E90C34" w:rsidR="00277DE5" w:rsidRDefault="00277DE5" w:rsidP="00277DE5">
      <w:pPr>
        <w:jc w:val="center"/>
        <w:rPr>
          <w:szCs w:val="22"/>
          <w:lang w:val="en-CA"/>
        </w:rPr>
      </w:pPr>
      <w:r w:rsidRPr="00277DE5">
        <w:rPr>
          <w:noProof/>
          <w:szCs w:val="22"/>
        </w:rPr>
        <w:drawing>
          <wp:inline distT="0" distB="0" distL="0" distR="0" wp14:anchorId="301E6C58" wp14:editId="1A2F2810">
            <wp:extent cx="3217371" cy="638171"/>
            <wp:effectExtent l="0" t="0" r="0" b="0"/>
            <wp:docPr id="28" name="Picture 16" descr="\documentclass{article}&#10;\usepackage{amsmath}&#10;\pagestyle{empty}&#10;\begin{document}&#10;&#10; \[ \omega_{x_\mathrm{c},y_\mathrm{c}} = &#10;  \begin{cases}&#10;    0 &amp; d(x_\mathrm{c},y_\mathrm{c}) \leq -\theta \\&#10;    \frac{8}{2\theta}\ (d(x_\mathrm{c},y_\mathrm{c}) + \theta) &amp; -\theta &lt; d(x_\mathrm{c},y_\mathrm{c}) &lt; \theta \\&#10;    8 &amp; d(x_\mathrm{c},y_\mathrm{c}) \geq \theta,&#10;  \end{cases}&#10;\]&#10;&#10;&#10;\end{document}" title="IguanaTex Bitmap Display">
              <a:extLst xmlns:a="http://schemas.openxmlformats.org/drawingml/2006/main">
                <a:ext uri="{FF2B5EF4-FFF2-40B4-BE49-F238E27FC236}">
                  <a16:creationId xmlns:a16="http://schemas.microsoft.com/office/drawing/2014/main" id="{39094DFF-58C9-E944-AB52-C18490FF11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 descr="\documentclass{article}&#10;\usepackage{amsmath}&#10;\pagestyle{empty}&#10;\begin{document}&#10;&#10; \[ \omega_{x_\mathrm{c},y_\mathrm{c}} = &#10;  \begin{cases}&#10;    0 &amp; d(x_\mathrm{c},y_\mathrm{c}) \leq -\theta \\&#10;    \frac{8}{2\theta}\ (d(x_\mathrm{c},y_\mathrm{c}) + \theta) &amp; -\theta &lt; d(x_\mathrm{c},y_\mathrm{c}) &lt; \theta \\&#10;    8 &amp; d(x_\mathrm{c},y_\mathrm{c}) \geq \theta,&#10;  \end{cases}&#10;\]&#10;&#10;&#10;\end{document}" title="IguanaTex Bitmap Display">
                      <a:extLst>
                        <a:ext uri="{FF2B5EF4-FFF2-40B4-BE49-F238E27FC236}">
                          <a16:creationId xmlns:a16="http://schemas.microsoft.com/office/drawing/2014/main" id="{39094DFF-58C9-E944-AB52-C18490FF11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7371" cy="638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5FEC8" w14:textId="4B19A273" w:rsidR="00277DE5" w:rsidRDefault="00277DE5" w:rsidP="00277DE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With a fixed </w:t>
      </w:r>
      <m:oMath>
        <m:r>
          <w:rPr>
            <w:rFonts w:ascii="Cambria Math" w:hAnsi="Cambria Math"/>
            <w:szCs w:val="22"/>
            <w:lang w:val="en-CA"/>
          </w:rPr>
          <m:t>θ=2</m:t>
        </m:r>
      </m:oMath>
      <w:r>
        <w:rPr>
          <w:szCs w:val="22"/>
          <w:lang w:val="en-CA"/>
        </w:rPr>
        <w:t xml:space="preserve"> pel in the current ECM (VVC) design, this ramp function can be quantized as </w:t>
      </w:r>
    </w:p>
    <w:p w14:paraId="317A0054" w14:textId="25A904C4" w:rsidR="00277DE5" w:rsidRDefault="00277DE5" w:rsidP="00277DE5">
      <w:pPr>
        <w:jc w:val="center"/>
        <w:rPr>
          <w:szCs w:val="22"/>
          <w:lang w:val="en-CA"/>
        </w:rPr>
      </w:pPr>
      <w:r w:rsidRPr="00277DE5">
        <w:rPr>
          <w:noProof/>
          <w:szCs w:val="22"/>
        </w:rPr>
        <w:lastRenderedPageBreak/>
        <w:drawing>
          <wp:inline distT="0" distB="0" distL="0" distR="0" wp14:anchorId="098D1918" wp14:editId="05085D9A">
            <wp:extent cx="2884571" cy="158171"/>
            <wp:effectExtent l="0" t="0" r="0" b="0"/>
            <wp:docPr id="30" name="Picture 20" descr="\documentclass{article}&#10;\usepackage{amsmath}&#10;\pagestyle{empty}&#10;\begin{document}&#10;&#10;\[\omega_{m,n} = \mathrm{Clip3}(0,\  8,\ (d(m,n) + 32 + 4 ) \gg 3 )\]&#10;&#10;&#10;\end{document}" title="IguanaTex Bitmap Display">
              <a:extLst xmlns:a="http://schemas.openxmlformats.org/drawingml/2006/main">
                <a:ext uri="{FF2B5EF4-FFF2-40B4-BE49-F238E27FC236}">
                  <a16:creationId xmlns:a16="http://schemas.microsoft.com/office/drawing/2014/main" id="{F2DB7265-EF09-834B-AD2F-6FE083560D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0" descr="\documentclass{article}&#10;\usepackage{amsmath}&#10;\pagestyle{empty}&#10;\begin{document}&#10;&#10;\[\omega_{m,n} = \mathrm{Clip3}(0,\  8,\ (d(m,n) + 32 + 4 ) \gg 3 )\]&#10;&#10;&#10;\end{document}" title="IguanaTex Bitmap Display">
                      <a:extLst>
                        <a:ext uri="{FF2B5EF4-FFF2-40B4-BE49-F238E27FC236}">
                          <a16:creationId xmlns:a16="http://schemas.microsoft.com/office/drawing/2014/main" id="{F2DB7265-EF09-834B-AD2F-6FE083560D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4571" cy="158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8948A" w14:textId="5950A13F" w:rsidR="00277DE5" w:rsidRDefault="00EB2D9D" w:rsidP="00EB2D9D">
      <w:pPr>
        <w:rPr>
          <w:szCs w:val="22"/>
          <w:lang w:val="en-CA"/>
        </w:rPr>
      </w:pPr>
      <w:r>
        <w:rPr>
          <w:szCs w:val="22"/>
          <w:lang w:val="en-CA"/>
        </w:rPr>
        <w:t>It is asserted that such design may not always</w:t>
      </w:r>
      <w:r w:rsidR="00277DE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optimal</w:t>
      </w:r>
      <w:r w:rsidR="00277DE5">
        <w:rPr>
          <w:szCs w:val="22"/>
          <w:lang w:val="en-CA"/>
        </w:rPr>
        <w:t xml:space="preserve"> because the fixed </w:t>
      </w:r>
      <w:r w:rsidR="003F565F">
        <w:rPr>
          <w:szCs w:val="22"/>
          <w:lang w:val="en-CA"/>
        </w:rPr>
        <w:t>blending area width</w:t>
      </w:r>
      <w:r w:rsidR="00277DE5">
        <w:rPr>
          <w:szCs w:val="22"/>
          <w:lang w:val="en-CA"/>
        </w:rPr>
        <w:t xml:space="preserve"> cannot </w:t>
      </w:r>
      <w:r>
        <w:rPr>
          <w:szCs w:val="22"/>
          <w:lang w:val="en-CA"/>
        </w:rPr>
        <w:t>always provide the best blending quality</w:t>
      </w:r>
      <w:r w:rsidR="00277DE5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various types of video</w:t>
      </w:r>
      <w:r w:rsidR="00277DE5">
        <w:rPr>
          <w:szCs w:val="22"/>
          <w:lang w:val="en-CA"/>
        </w:rPr>
        <w:t xml:space="preserve"> content</w:t>
      </w:r>
      <w:r>
        <w:rPr>
          <w:szCs w:val="22"/>
          <w:lang w:val="en-CA"/>
        </w:rPr>
        <w:t>s</w:t>
      </w:r>
      <w:r w:rsidR="00277DE5">
        <w:rPr>
          <w:szCs w:val="22"/>
          <w:lang w:val="en-CA"/>
        </w:rPr>
        <w:t xml:space="preserve">. For example, screen </w:t>
      </w:r>
      <w:r>
        <w:rPr>
          <w:szCs w:val="22"/>
          <w:lang w:val="en-CA"/>
        </w:rPr>
        <w:t xml:space="preserve">video </w:t>
      </w:r>
      <w:r w:rsidR="00277DE5">
        <w:rPr>
          <w:szCs w:val="22"/>
          <w:lang w:val="en-CA"/>
        </w:rPr>
        <w:t>content</w:t>
      </w:r>
      <w:r>
        <w:rPr>
          <w:szCs w:val="22"/>
          <w:lang w:val="en-CA"/>
        </w:rPr>
        <w:t>s usually contain strong textures and sharp edges, which</w:t>
      </w:r>
      <w:r w:rsidR="00277DE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refers a</w:t>
      </w:r>
      <w:r w:rsidR="00277DE5">
        <w:rPr>
          <w:szCs w:val="22"/>
          <w:lang w:val="en-CA"/>
        </w:rPr>
        <w:t xml:space="preserve"> narrow blending area</w:t>
      </w:r>
      <w:r>
        <w:rPr>
          <w:szCs w:val="22"/>
          <w:lang w:val="en-CA"/>
        </w:rPr>
        <w:t xml:space="preserve"> to reserve the edge information</w:t>
      </w:r>
      <w:r w:rsidR="00277DE5">
        <w:rPr>
          <w:szCs w:val="22"/>
          <w:lang w:val="en-CA"/>
        </w:rPr>
        <w:t>. For camera</w:t>
      </w:r>
      <w:r>
        <w:rPr>
          <w:szCs w:val="22"/>
          <w:lang w:val="en-CA"/>
        </w:rPr>
        <w:t>-</w:t>
      </w:r>
      <w:r w:rsidR="00277DE5">
        <w:rPr>
          <w:szCs w:val="22"/>
          <w:lang w:val="en-CA"/>
        </w:rPr>
        <w:t>captured content, blending is general</w:t>
      </w:r>
      <w:r>
        <w:rPr>
          <w:szCs w:val="22"/>
          <w:lang w:val="en-CA"/>
        </w:rPr>
        <w:t>ly</w:t>
      </w:r>
      <w:r w:rsidR="00277DE5">
        <w:rPr>
          <w:szCs w:val="22"/>
          <w:lang w:val="en-CA"/>
        </w:rPr>
        <w:t xml:space="preserve"> required</w:t>
      </w:r>
      <w:r>
        <w:rPr>
          <w:szCs w:val="22"/>
          <w:lang w:val="en-CA"/>
        </w:rPr>
        <w:t xml:space="preserve">; </w:t>
      </w:r>
      <w:r w:rsidR="00277DE5">
        <w:rPr>
          <w:szCs w:val="22"/>
          <w:lang w:val="en-CA"/>
        </w:rPr>
        <w:t xml:space="preserve">but the blending area width is </w:t>
      </w:r>
      <w:r w:rsidR="00EC565D">
        <w:rPr>
          <w:szCs w:val="22"/>
          <w:lang w:val="en-CA"/>
        </w:rPr>
        <w:t>dependent on a number of factors, e.g., the actual boundaries of the moving objects</w:t>
      </w:r>
      <w:r w:rsidR="00E25A13">
        <w:rPr>
          <w:szCs w:val="22"/>
          <w:lang w:val="en-CA"/>
        </w:rPr>
        <w:t xml:space="preserve"> and the motion distinctiveness of two partitions</w:t>
      </w:r>
      <w:r w:rsidR="00526FF7">
        <w:rPr>
          <w:szCs w:val="22"/>
          <w:lang w:val="en-CA"/>
        </w:rPr>
        <w:t>.</w:t>
      </w:r>
    </w:p>
    <w:p w14:paraId="00800710" w14:textId="15E3D5FB" w:rsidR="006C3803" w:rsidRDefault="006C3803" w:rsidP="00151558">
      <w:pPr>
        <w:pStyle w:val="Heading1"/>
        <w:ind w:left="360" w:hanging="360"/>
        <w:rPr>
          <w:lang w:val="en-CA"/>
        </w:rPr>
      </w:pPr>
      <w:r w:rsidRPr="00151558">
        <w:rPr>
          <w:lang w:val="en-CA"/>
        </w:rPr>
        <w:t>Proposed Method</w:t>
      </w:r>
    </w:p>
    <w:p w14:paraId="2F91D264" w14:textId="2B8AD27B" w:rsidR="0094659C" w:rsidRDefault="003F565F" w:rsidP="00526FF7">
      <w:pPr>
        <w:rPr>
          <w:lang w:val="en-CA"/>
        </w:rPr>
      </w:pPr>
      <w:r>
        <w:rPr>
          <w:szCs w:val="22"/>
          <w:lang w:val="en-CA"/>
        </w:rPr>
        <w:t>To resolve the abovementioned issue,</w:t>
      </w:r>
      <w:r w:rsidR="00FC68E0">
        <w:rPr>
          <w:szCs w:val="22"/>
          <w:lang w:val="en-CA"/>
        </w:rPr>
        <w:t xml:space="preserve"> in this contribution</w:t>
      </w:r>
      <w:r w:rsidR="00FC68E0">
        <w:rPr>
          <w:szCs w:val="22"/>
        </w:rPr>
        <w:t>,</w:t>
      </w:r>
      <w:r>
        <w:rPr>
          <w:szCs w:val="22"/>
          <w:lang w:val="en-CA"/>
        </w:rPr>
        <w:t xml:space="preserve"> one adaptive blending scheme is proposed for the GPM, which dynamically adjusts the </w:t>
      </w:r>
      <w:r w:rsidR="00FC68E0">
        <w:rPr>
          <w:szCs w:val="22"/>
          <w:lang w:val="en-CA"/>
        </w:rPr>
        <w:t>width of the blending area surround the GPM partition boundary.</w:t>
      </w:r>
      <w:r w:rsidR="00FC68E0">
        <w:rPr>
          <w:lang w:val="en-CA"/>
        </w:rPr>
        <w:t xml:space="preserve"> Specifically</w:t>
      </w:r>
      <w:r w:rsidR="0094659C">
        <w:rPr>
          <w:lang w:val="en-CA"/>
        </w:rPr>
        <w:t xml:space="preserve">, </w:t>
      </w:r>
      <w:r w:rsidR="005267F5">
        <w:rPr>
          <w:lang w:val="en-CA"/>
        </w:rPr>
        <w:t>in the proposed scheme</w:t>
      </w:r>
      <w:r w:rsidR="0094659C">
        <w:rPr>
          <w:lang w:val="en-CA"/>
        </w:rPr>
        <w:t xml:space="preserve">, the </w:t>
      </w:r>
      <w:r w:rsidR="00FC68E0">
        <w:rPr>
          <w:lang w:val="en-CA"/>
        </w:rPr>
        <w:t xml:space="preserve">width of the blending area (i.e., </w:t>
      </w:r>
      <m:oMath>
        <m:r>
          <w:rPr>
            <w:rFonts w:ascii="Cambria Math" w:hAnsi="Cambria Math"/>
            <w:lang w:val="en-CA"/>
          </w:rPr>
          <m:t>θ</m:t>
        </m:r>
      </m:oMath>
      <w:r w:rsidR="00FC68E0">
        <w:rPr>
          <w:lang w:val="en-CA"/>
        </w:rPr>
        <w:t>) is allowed to be selected from a set of pre-defined values</w:t>
      </w:r>
      <w:r w:rsidR="0094659C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{0, 1, 2, 4, 8 }</m:t>
        </m:r>
      </m:oMath>
      <w:r w:rsidR="00FC68E0">
        <w:rPr>
          <w:lang w:val="en-CA"/>
        </w:rPr>
        <w:t>.</w:t>
      </w:r>
      <w:r w:rsidR="0094659C">
        <w:rPr>
          <w:lang w:val="en-CA"/>
        </w:rPr>
        <w:t xml:space="preserve"> The </w:t>
      </w:r>
      <w:r w:rsidR="005267F5">
        <w:rPr>
          <w:lang w:val="en-CA"/>
        </w:rPr>
        <w:t xml:space="preserve">optimal blending area width is determined for each GPM CU at encoder and </w:t>
      </w:r>
      <w:r w:rsidR="0094659C">
        <w:rPr>
          <w:lang w:val="en-CA"/>
        </w:rPr>
        <w:t>signa</w:t>
      </w:r>
      <w:r w:rsidR="005267F5">
        <w:rPr>
          <w:lang w:val="en-CA"/>
        </w:rPr>
        <w:t>led to decoder based on one syntax element</w:t>
      </w:r>
      <w:r w:rsidR="00845B70">
        <w:rPr>
          <w:lang w:val="en-CA"/>
        </w:rPr>
        <w:t xml:space="preserve"> </w:t>
      </w:r>
      <w:r w:rsidR="00845B70" w:rsidRPr="00845B70">
        <w:rPr>
          <w:i/>
          <w:iCs/>
          <w:lang w:val="en-CA"/>
        </w:rPr>
        <w:t>merge_gpm_blending_width_idx</w:t>
      </w:r>
      <w:r w:rsidR="0094659C">
        <w:rPr>
          <w:lang w:val="en-CA"/>
        </w:rPr>
        <w:t>.</w:t>
      </w:r>
      <w:r w:rsidR="0058446A">
        <w:rPr>
          <w:lang w:val="en-CA"/>
        </w:rPr>
        <w:t xml:space="preserve"> </w:t>
      </w:r>
      <w:r w:rsidR="0094659C">
        <w:rPr>
          <w:lang w:val="en-CA"/>
        </w:rPr>
        <w:t>In the proposed method, all predefined blending strength value is shiftable</w:t>
      </w:r>
      <w:r w:rsidR="0058446A">
        <w:rPr>
          <w:lang w:val="en-CA"/>
        </w:rPr>
        <w:t xml:space="preserve"> while all the </w:t>
      </w:r>
      <w:r w:rsidR="0094659C">
        <w:rPr>
          <w:lang w:val="en-CA"/>
        </w:rPr>
        <w:t>clipping and shifting operation</w:t>
      </w:r>
      <w:r w:rsidR="0058446A">
        <w:rPr>
          <w:lang w:val="en-CA"/>
        </w:rPr>
        <w:t>s in the existing GPM blending process</w:t>
      </w:r>
      <w:r w:rsidR="0094659C">
        <w:rPr>
          <w:lang w:val="en-CA"/>
        </w:rPr>
        <w:t xml:space="preserve"> can </w:t>
      </w:r>
      <w:r w:rsidR="0058446A">
        <w:rPr>
          <w:lang w:val="en-CA"/>
        </w:rPr>
        <w:t>be kept without any changes</w:t>
      </w:r>
      <w:r w:rsidR="0094659C">
        <w:rPr>
          <w:lang w:val="en-CA"/>
        </w:rPr>
        <w:t xml:space="preserve"> </w:t>
      </w:r>
    </w:p>
    <w:p w14:paraId="1125C3EC" w14:textId="6B265C9F" w:rsidR="00C11A30" w:rsidRDefault="0094659C" w:rsidP="00526FF7">
      <w:pPr>
        <w:rPr>
          <w:lang w:val="en-CA"/>
        </w:rPr>
      </w:pPr>
      <w:r>
        <w:rPr>
          <w:lang w:val="en-CA"/>
        </w:rPr>
        <w:t xml:space="preserve">In addition, </w:t>
      </w:r>
      <w:r w:rsidR="00E327A8">
        <w:rPr>
          <w:lang w:val="en-CA"/>
        </w:rPr>
        <w:t>the range of the weights</w:t>
      </w:r>
      <w:r w:rsidR="00C11A30">
        <w:rPr>
          <w:lang w:val="en-CA"/>
        </w:rPr>
        <w:t xml:space="preserve"> is </w:t>
      </w:r>
      <w:r w:rsidR="00E327A8">
        <w:rPr>
          <w:lang w:val="en-CA"/>
        </w:rPr>
        <w:t>increased</w:t>
      </w:r>
      <w:r w:rsidR="00C11A30">
        <w:rPr>
          <w:lang w:val="en-CA"/>
        </w:rPr>
        <w:t xml:space="preserve"> from [0, 8] to [0, 32] to </w:t>
      </w:r>
      <w:r w:rsidR="00E327A8">
        <w:rPr>
          <w:lang w:val="en-CA"/>
        </w:rPr>
        <w:t>accommodate the increased width of</w:t>
      </w:r>
      <w:r w:rsidR="00C11A30">
        <w:rPr>
          <w:lang w:val="en-CA"/>
        </w:rPr>
        <w:t xml:space="preserve"> </w:t>
      </w:r>
      <w:r w:rsidR="00E327A8">
        <w:rPr>
          <w:lang w:val="en-CA"/>
        </w:rPr>
        <w:t>the GPM blending area</w:t>
      </w:r>
      <w:r w:rsidR="00C11A30">
        <w:rPr>
          <w:lang w:val="en-CA"/>
        </w:rPr>
        <w:t>.</w:t>
      </w:r>
      <w:r w:rsidR="00E327A8">
        <w:rPr>
          <w:lang w:val="en-CA"/>
        </w:rPr>
        <w:t xml:space="preserve"> Specifically,</w:t>
      </w:r>
      <w:r w:rsidR="00C11A30">
        <w:rPr>
          <w:lang w:val="en-CA"/>
        </w:rPr>
        <w:t xml:space="preserve"> the weight</w:t>
      </w:r>
      <w:r w:rsidR="00E327A8">
        <w:rPr>
          <w:lang w:val="en-CA"/>
        </w:rPr>
        <w:t>s</w:t>
      </w:r>
      <w:r w:rsidR="00C11A30">
        <w:rPr>
          <w:lang w:val="en-CA"/>
        </w:rPr>
        <w:t xml:space="preserve"> </w:t>
      </w:r>
      <w:r w:rsidR="00E327A8">
        <w:rPr>
          <w:lang w:val="en-CA"/>
        </w:rPr>
        <w:t>are calculated as</w:t>
      </w:r>
    </w:p>
    <w:p w14:paraId="14D93665" w14:textId="310BB5AD" w:rsidR="00C11A30" w:rsidRPr="00526FF7" w:rsidRDefault="00937EB9" w:rsidP="00361552">
      <w:pPr>
        <w:jc w:val="center"/>
        <w:rPr>
          <w:lang w:val="en-CA"/>
        </w:rPr>
      </w:pPr>
      <w:r w:rsidRPr="00937EB9">
        <w:rPr>
          <w:noProof/>
        </w:rPr>
        <w:drawing>
          <wp:inline distT="0" distB="0" distL="0" distR="0" wp14:anchorId="7577AB7F" wp14:editId="179B0496">
            <wp:extent cx="4315216" cy="440742"/>
            <wp:effectExtent l="0" t="0" r="3175" b="3810"/>
            <wp:docPr id="29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B422A2BF-6435-9902-F5EC-64ED7C6D85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B422A2BF-6435-9902-F5EC-64ED7C6D85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0582" cy="453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8748B" w14:textId="6BD19886" w:rsidR="006C3803" w:rsidRDefault="006C3803" w:rsidP="00151558">
      <w:pPr>
        <w:pStyle w:val="Heading1"/>
        <w:ind w:left="360" w:hanging="360"/>
        <w:rPr>
          <w:lang w:val="en-CA"/>
        </w:rPr>
      </w:pPr>
      <w:r w:rsidRPr="00151558">
        <w:rPr>
          <w:lang w:val="en-CA"/>
        </w:rPr>
        <w:t>Simulation Results</w:t>
      </w:r>
    </w:p>
    <w:p w14:paraId="62D5446A" w14:textId="7F720817" w:rsidR="00A340F0" w:rsidRDefault="00A340F0" w:rsidP="00A340F0">
      <w:pPr>
        <w:rPr>
          <w:lang w:val="en-CA"/>
        </w:rPr>
      </w:pPr>
      <w:r>
        <w:rPr>
          <w:lang w:val="en-CA"/>
        </w:rPr>
        <w:t xml:space="preserve">Table 1 shows the </w:t>
      </w:r>
      <w:r w:rsidR="007F3C1D">
        <w:rPr>
          <w:lang w:val="en-CA"/>
        </w:rPr>
        <w:t>simulation results</w:t>
      </w:r>
      <w:r w:rsidR="002C0D4A">
        <w:rPr>
          <w:lang w:val="en-CA"/>
        </w:rPr>
        <w:t xml:space="preserve"> of the proposed method</w:t>
      </w:r>
      <w:r w:rsidR="007F3C1D">
        <w:rPr>
          <w:lang w:val="en-CA"/>
        </w:rPr>
        <w:t xml:space="preserve"> on top of ECM4.0. For national content it shows</w:t>
      </w:r>
      <w:r w:rsidR="002C0D4A">
        <w:rPr>
          <w:lang w:val="en-CA"/>
        </w:rPr>
        <w:t xml:space="preserve"> average luma BD-rate savings of</w:t>
      </w:r>
      <w:r w:rsidR="007F3C1D">
        <w:rPr>
          <w:lang w:val="en-CA"/>
        </w:rPr>
        <w:t xml:space="preserve"> </w:t>
      </w:r>
      <w:r w:rsidR="002C0D4A">
        <w:rPr>
          <w:lang w:val="en-CA"/>
        </w:rPr>
        <w:t>0.14</w:t>
      </w:r>
      <w:r w:rsidR="007F3C1D">
        <w:rPr>
          <w:lang w:val="en-CA"/>
        </w:rPr>
        <w:t xml:space="preserve">% and </w:t>
      </w:r>
      <w:r w:rsidR="002C0D4A">
        <w:rPr>
          <w:lang w:val="en-CA"/>
        </w:rPr>
        <w:t>0.17</w:t>
      </w:r>
      <w:r w:rsidR="007F3C1D">
        <w:rPr>
          <w:lang w:val="en-CA"/>
        </w:rPr>
        <w:t>%</w:t>
      </w:r>
      <w:r w:rsidR="002C0D4A">
        <w:rPr>
          <w:lang w:val="en-CA"/>
        </w:rPr>
        <w:t xml:space="preserve"> </w:t>
      </w:r>
      <w:r w:rsidR="007F3C1D">
        <w:rPr>
          <w:lang w:val="en-CA"/>
        </w:rPr>
        <w:t xml:space="preserve">for RA and LDB, respectively. </w:t>
      </w:r>
      <w:r w:rsidR="002C0D4A">
        <w:rPr>
          <w:lang w:val="en-CA"/>
        </w:rPr>
        <w:t>For</w:t>
      </w:r>
      <w:r w:rsidR="00843C4E">
        <w:rPr>
          <w:lang w:val="en-CA"/>
        </w:rPr>
        <w:t xml:space="preserve"> TGM sequences, </w:t>
      </w:r>
      <w:r w:rsidR="002C0D4A">
        <w:rPr>
          <w:lang w:val="en-CA"/>
        </w:rPr>
        <w:t>the corresponding BD-rate savings are 1.90</w:t>
      </w:r>
      <w:r w:rsidR="00843C4E">
        <w:rPr>
          <w:lang w:val="en-CA"/>
        </w:rPr>
        <w:t xml:space="preserve">% and </w:t>
      </w:r>
      <w:r w:rsidR="002C0D4A">
        <w:rPr>
          <w:lang w:val="en-CA"/>
        </w:rPr>
        <w:t>2.61</w:t>
      </w:r>
      <w:r w:rsidR="00843C4E">
        <w:rPr>
          <w:lang w:val="en-CA"/>
        </w:rPr>
        <w:t>% for RA and LDB</w:t>
      </w:r>
      <w:r w:rsidR="00CA7C9F">
        <w:rPr>
          <w:lang w:val="en-CA"/>
        </w:rPr>
        <w:t>.</w:t>
      </w:r>
    </w:p>
    <w:p w14:paraId="1DAD6DF7" w14:textId="227E08AB" w:rsidR="00843C4E" w:rsidRPr="00CA7C9F" w:rsidRDefault="00843C4E" w:rsidP="00CA7C9F">
      <w:pPr>
        <w:jc w:val="center"/>
        <w:rPr>
          <w:b/>
          <w:bCs/>
          <w:lang w:val="en-CA"/>
        </w:rPr>
      </w:pPr>
      <w:r w:rsidRPr="00CA7C9F">
        <w:rPr>
          <w:b/>
          <w:bCs/>
          <w:lang w:val="en-CA"/>
        </w:rPr>
        <w:t>Table 1 Simulation results for the proposed method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237F7" w:rsidRPr="004237F7" w14:paraId="6E4C72EC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DA5C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2DB1B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237F7" w:rsidRPr="004237F7" w14:paraId="59C6DE0C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B8F4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12DCD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ECM3.1</w:t>
            </w:r>
          </w:p>
        </w:tc>
      </w:tr>
      <w:tr w:rsidR="004237F7" w:rsidRPr="004237F7" w14:paraId="2C0B7B74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64A0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E280B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2E045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B2B2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E4BA1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27CB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A7C9F" w:rsidRPr="004237F7" w14:paraId="537FA58F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BC969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AACB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0BEE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8FA9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3D4F" w14:textId="76ADD16A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BD4B" w14:textId="3042E775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C9F" w:rsidRPr="004237F7" w14:paraId="2D6EE766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F4B72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E3A50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1077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7362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3B62" w14:textId="178034A3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1511" w14:textId="63C68590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C9F" w:rsidRPr="004237F7" w14:paraId="7FCFEB9D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ECB4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7529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491B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9F40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3031" w14:textId="3573A748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FAEC1" w14:textId="6473E814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C9F" w:rsidRPr="004237F7" w14:paraId="2766E343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ED81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574A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7B2A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C675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6C4A" w14:textId="5742CD16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14167" w14:textId="1EF4F04D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7C9F" w:rsidRPr="004237F7" w14:paraId="4EFC69E5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48D3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8512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C2C7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31D2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23D9" w14:textId="41D92B29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11E84" w14:textId="61DF51A1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C9F" w:rsidRPr="004237F7" w14:paraId="2DA071E4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75C05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FFE3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79A8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2C33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7844" w14:textId="1C4BE1BB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0BD72" w14:textId="22DA2B9E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C9F" w:rsidRPr="004237F7" w14:paraId="17E2985A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E097F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4CE5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9521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E5B5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3EFA" w14:textId="63119623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7B7CA" w14:textId="5346C3EA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7C9F" w:rsidRPr="004237F7" w14:paraId="26168802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B719C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615C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F1A5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1E02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0F1E" w14:textId="37CE7CDF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A3F4" w14:textId="20D66053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7C9F" w:rsidRPr="004237F7" w14:paraId="35547762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C6953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1829F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CF610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97A7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EBB0" w14:textId="5EEE8386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488E4" w14:textId="3A9740C0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237F7" w:rsidRPr="004237F7" w14:paraId="6DA7746F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BB4E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4481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BFF0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2112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82EE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EB08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237F7" w:rsidRPr="004237F7" w14:paraId="75EA2F9C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C122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0041B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4237F7" w:rsidRPr="004237F7" w14:paraId="2B63C9F6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6F88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0719F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ECM3.1</w:t>
            </w:r>
          </w:p>
        </w:tc>
      </w:tr>
      <w:tr w:rsidR="004237F7" w:rsidRPr="004237F7" w14:paraId="42417B46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BD1B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E8D61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26A2D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1312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86166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D40F3" w14:textId="77777777" w:rsidR="004237F7" w:rsidRPr="004237F7" w:rsidRDefault="004237F7" w:rsidP="00423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A7C9F" w:rsidRPr="004237F7" w14:paraId="44DB90F1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13D4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9F55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4843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F7A5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75D1" w14:textId="7F4F049E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BCF3" w14:textId="3139B613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C9F" w:rsidRPr="004237F7" w14:paraId="5818B005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3F26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6739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EE6C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4A3F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48C1" w14:textId="4D7B974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BCDF" w14:textId="2B308280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C9F" w:rsidRPr="004237F7" w14:paraId="7920555F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59711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4C8E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B436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402E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DFE7" w14:textId="6D86FA94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8DCA" w14:textId="57B886EE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7C9F" w:rsidRPr="004237F7" w14:paraId="5DFD5614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194B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2EC8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9502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4C37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8F54" w14:textId="46D72659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6FF1" w14:textId="26A6302D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7C9F" w:rsidRPr="004237F7" w14:paraId="2D3983B1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1BD3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5055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AF30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83E7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08FC" w14:textId="305551A6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9A41A" w14:textId="702C881C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7C9F" w:rsidRPr="004237F7" w14:paraId="628FEF25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D5BA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EB6F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B0E7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74DF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63FB" w14:textId="6913E765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6D45" w14:textId="2B90A805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C9F" w:rsidRPr="004237F7" w14:paraId="24790C39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3AAE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EFB1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21E8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9B7F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2549" w14:textId="4CE6F603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4CAA" w14:textId="58C36CCD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7C9F" w:rsidRPr="004237F7" w14:paraId="78B01494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A0DA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A33D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1F0C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D891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F7E9" w14:textId="012E7D6C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7931" w14:textId="42E400CE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C9F" w:rsidRPr="004237F7" w14:paraId="50F46D4C" w14:textId="77777777" w:rsidTr="00CA7C9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726C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C4810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57BCF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808D" w14:textId="77777777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237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F7E96" w14:textId="5084D4B5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80067" w14:textId="5F3661D1" w:rsidR="00CA7C9F" w:rsidRPr="004237F7" w:rsidRDefault="00CA7C9F" w:rsidP="00CA7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81F5B11" w14:textId="7CDF3FE7" w:rsidR="000D319C" w:rsidRDefault="000D319C" w:rsidP="00A340F0">
      <w:pPr>
        <w:rPr>
          <w:lang w:val="en-CA"/>
        </w:rPr>
      </w:pPr>
    </w:p>
    <w:p w14:paraId="3D4AE27A" w14:textId="4C80F5FC" w:rsidR="00C37E74" w:rsidRDefault="00C37E74" w:rsidP="00A340F0">
      <w:pPr>
        <w:rPr>
          <w:lang w:val="en-CA"/>
        </w:rPr>
      </w:pPr>
      <w:r>
        <w:rPr>
          <w:lang w:val="en-CA"/>
        </w:rPr>
        <w:t xml:space="preserve">Additionally, Table 2 shows the simulation results of Class F and TGM sequences, where one high-level control flag is introduced in PPS to </w:t>
      </w:r>
      <w:r w:rsidR="00E96E5D">
        <w:rPr>
          <w:lang w:val="en-CA"/>
        </w:rPr>
        <w:t xml:space="preserve">completely </w:t>
      </w:r>
      <w:r>
        <w:rPr>
          <w:lang w:val="en-CA"/>
        </w:rPr>
        <w:t xml:space="preserve">disable the blending process (which is equivalent to set </w:t>
      </w:r>
      <m:oMath>
        <m:r>
          <w:rPr>
            <w:rFonts w:ascii="Cambria Math" w:hAnsi="Cambria Math"/>
            <w:lang w:val="en-CA"/>
          </w:rPr>
          <m:t>θ</m:t>
        </m:r>
      </m:oMath>
      <w:r>
        <w:rPr>
          <w:lang w:val="en-CA"/>
        </w:rPr>
        <w:t xml:space="preserve"> to 0) for the GPM</w:t>
      </w:r>
      <w:r w:rsidR="00E96E5D">
        <w:rPr>
          <w:lang w:val="en-CA"/>
        </w:rPr>
        <w:t xml:space="preserve"> CUs.</w:t>
      </w:r>
    </w:p>
    <w:p w14:paraId="1489EB20" w14:textId="69FD1ADA" w:rsidR="00C37E74" w:rsidRPr="00CA7C9F" w:rsidRDefault="00C37E74" w:rsidP="00C37E74">
      <w:pPr>
        <w:jc w:val="center"/>
        <w:rPr>
          <w:b/>
          <w:bCs/>
          <w:lang w:val="en-CA"/>
        </w:rPr>
      </w:pPr>
      <w:r w:rsidRPr="00CA7C9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CA7C9F">
        <w:rPr>
          <w:b/>
          <w:bCs/>
          <w:lang w:val="en-CA"/>
        </w:rPr>
        <w:t xml:space="preserve"> Simulation results </w:t>
      </w:r>
      <w:r>
        <w:rPr>
          <w:b/>
          <w:bCs/>
          <w:lang w:val="en-CA"/>
        </w:rPr>
        <w:t>of Class F and TGM sequences when one PPS flag is signaled to disable the blending for the GPM</w:t>
      </w:r>
    </w:p>
    <w:p w14:paraId="6E7E3936" w14:textId="0B4A9567" w:rsidR="00C37E74" w:rsidRDefault="00C37E74" w:rsidP="00A340F0">
      <w:pPr>
        <w:rPr>
          <w:lang w:val="en-CA"/>
        </w:rPr>
      </w:pP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060"/>
        <w:gridCol w:w="1060"/>
        <w:gridCol w:w="1060"/>
        <w:gridCol w:w="1060"/>
        <w:gridCol w:w="1060"/>
      </w:tblGrid>
      <w:tr w:rsidR="00A72632" w:rsidRPr="00A72632" w14:paraId="54B31EBC" w14:textId="77777777" w:rsidTr="00A72632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86A5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F3438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72632" w:rsidRPr="00A72632" w14:paraId="39683544" w14:textId="77777777" w:rsidTr="00A72632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FCB1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10FCF" w14:textId="2626A344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4.0</w:t>
            </w:r>
          </w:p>
        </w:tc>
      </w:tr>
      <w:tr w:rsidR="00A72632" w:rsidRPr="00A72632" w14:paraId="5239C353" w14:textId="77777777" w:rsidTr="00A72632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4CF7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582B5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45803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211D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02DF3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AA00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72632" w:rsidRPr="00A72632" w14:paraId="6EFB5941" w14:textId="77777777" w:rsidTr="00A72632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A01F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774F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1ECB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066C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2B50" w14:textId="626A759A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470E2" w14:textId="5DE78A4D" w:rsidR="00A72632" w:rsidRPr="00A72632" w:rsidRDefault="0006322A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A72632"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A72632" w:rsidRPr="00A72632" w14:paraId="33EF3410" w14:textId="77777777" w:rsidTr="00A72632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F392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C03AD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5E34E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10E9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B91DD" w14:textId="3442182B" w:rsidR="00A72632" w:rsidRPr="00A72632" w:rsidRDefault="0006322A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A72632"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8F3F" w14:textId="2FC1E1CD" w:rsidR="00A72632" w:rsidRPr="00A72632" w:rsidRDefault="0006322A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A72632"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071CB7E8" w14:textId="33523854" w:rsidR="00C37E74" w:rsidRDefault="00C37E74" w:rsidP="00A340F0">
      <w:pPr>
        <w:rPr>
          <w:lang w:val="en-CA"/>
        </w:rPr>
      </w:pP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060"/>
        <w:gridCol w:w="1060"/>
        <w:gridCol w:w="1060"/>
        <w:gridCol w:w="1060"/>
        <w:gridCol w:w="1060"/>
      </w:tblGrid>
      <w:tr w:rsidR="00A72632" w:rsidRPr="00A72632" w14:paraId="7484CDCF" w14:textId="77777777" w:rsidTr="00A72632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49F4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8CD9D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A72632" w:rsidRPr="00A72632" w14:paraId="67A0EC33" w14:textId="77777777" w:rsidTr="00A72632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6CDF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5656C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ECM3.1</w:t>
            </w:r>
          </w:p>
        </w:tc>
      </w:tr>
      <w:tr w:rsidR="00A72632" w:rsidRPr="00A72632" w14:paraId="30023386" w14:textId="77777777" w:rsidTr="00A72632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2460F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665A5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64D9F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AF11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50501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CB6F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72632" w:rsidRPr="00A72632" w14:paraId="601EFBBA" w14:textId="77777777" w:rsidTr="00A72632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0D69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4AA3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32B9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9F13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7AC4" w14:textId="1AEFA03F" w:rsidR="00A72632" w:rsidRPr="00A72632" w:rsidRDefault="00D578E5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A72632"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6308" w14:textId="6E29616A" w:rsidR="00A72632" w:rsidRPr="00A72632" w:rsidRDefault="00D578E5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A72632"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A72632" w:rsidRPr="00A72632" w14:paraId="6596264D" w14:textId="77777777" w:rsidTr="00A72632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F5E6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053E8A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D00A3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3227" w14:textId="77777777" w:rsidR="00A72632" w:rsidRPr="00A72632" w:rsidRDefault="00A72632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6B9D6" w14:textId="13B9E52E" w:rsidR="00A72632" w:rsidRPr="00A72632" w:rsidRDefault="00D578E5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A72632"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455E" w14:textId="56238AAE" w:rsidR="00A72632" w:rsidRPr="00A72632" w:rsidRDefault="00D578E5" w:rsidP="00A72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A72632" w:rsidRPr="00A72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3B89E17A" w14:textId="4E85FE4E" w:rsidR="006C3803" w:rsidRDefault="006C3803" w:rsidP="00151558">
      <w:pPr>
        <w:pStyle w:val="Heading1"/>
        <w:ind w:left="360" w:hanging="360"/>
        <w:rPr>
          <w:lang w:val="en-CA"/>
        </w:rPr>
      </w:pPr>
      <w:r w:rsidRPr="00151558">
        <w:rPr>
          <w:lang w:val="en-CA"/>
        </w:rPr>
        <w:t>References</w:t>
      </w:r>
    </w:p>
    <w:p w14:paraId="156FD6A9" w14:textId="75FF8B96" w:rsidR="006E7C1E" w:rsidRDefault="00954EB2" w:rsidP="006E7C1E">
      <w:pPr>
        <w:rPr>
          <w:lang w:val="en-CA"/>
        </w:rPr>
      </w:pPr>
      <w:r>
        <w:rPr>
          <w:lang w:val="en-CA"/>
        </w:rPr>
        <w:t xml:space="preserve">[1] </w:t>
      </w:r>
      <w:r w:rsidR="006E7C1E" w:rsidRPr="006E7C1E">
        <w:rPr>
          <w:lang w:val="en-CA"/>
        </w:rPr>
        <w:t>H. Gao, S. Esenlik, E. Alshina, A. M. Kotra, B. Wang, R.-L. Liao, J. Chen, Y. Ye, J. Luo, K. Reuzé, C.-C. Chen, H. Huang, W.-J. Chien, V. Seregin, Z. Deng, L. Zhang, H. Liu, K. Zhang, Y. Wang, J. Li, C. S. Lim, Y.-L. Hsiao, C.-C. Chen, C.-W. Hsu, Y.-W. Huang, S.-M. Lei, L.-F. Chen, X. Li, G. Li, S. Liu, L. P. Van, G. V. d. Auwera, A. K. Ramasubramonian, H. Huang, W.-J. Chien, M. Karczewicz, M. Bläser, J. Sauer, H. Chen, and H. Yang, “Integrated Text for GEO,” JVET, Brussels, BE, 17th meeting, document JVET-Q0806, Jan. 2020</w:t>
      </w:r>
    </w:p>
    <w:p w14:paraId="679AE786" w14:textId="3660857F" w:rsidR="006E7C1E" w:rsidRDefault="006E7C1E" w:rsidP="006E7C1E">
      <w:pPr>
        <w:rPr>
          <w:lang w:val="en-CA"/>
        </w:rPr>
      </w:pPr>
      <w:r w:rsidRPr="00CC4E10">
        <w:rPr>
          <w:lang w:val="en-CA"/>
        </w:rPr>
        <w:t>[2]</w:t>
      </w:r>
      <w:r w:rsidR="00CC4E10" w:rsidRPr="00CC4E10">
        <w:rPr>
          <w:lang w:val="en-CA"/>
        </w:rPr>
        <w:t xml:space="preserve"> X. Xiu, C.-W. Kuo, X. Wang, R.-L. Liao, Y. Ye, X. Li, J. Chen, Z. Deng, K. Zhang, L. Zhang, N. Zhang, Y. Wang, Y.-J. Chang, H. Huang, V. Seregin, C.-C. Chen, M. Karczewicz, “EE2-related: Combination of EE2-3.3, EE2-3.4 and EE2-3.5,”</w:t>
      </w:r>
      <w:r w:rsidR="008B43DD">
        <w:rPr>
          <w:lang w:val="en-CA"/>
        </w:rPr>
        <w:t xml:space="preserve"> </w:t>
      </w:r>
      <w:r w:rsidR="00CC4E10">
        <w:rPr>
          <w:lang w:val="en-CA"/>
        </w:rPr>
        <w:t>JVET Teleconference, 23</w:t>
      </w:r>
      <w:r w:rsidR="00CC4E10" w:rsidRPr="00CC4E10">
        <w:rPr>
          <w:vertAlign w:val="superscript"/>
          <w:lang w:val="en-CA"/>
        </w:rPr>
        <w:t>rd</w:t>
      </w:r>
      <w:r w:rsidR="00CC4E10">
        <w:rPr>
          <w:lang w:val="en-CA"/>
        </w:rPr>
        <w:t xml:space="preserve"> meeting, document JVET-W0097, Jul. 2021</w:t>
      </w:r>
    </w:p>
    <w:p w14:paraId="68DD0F59" w14:textId="1A10B9DB" w:rsidR="008B43DD" w:rsidRDefault="00CC4E10" w:rsidP="008B43DD">
      <w:pPr>
        <w:rPr>
          <w:lang w:val="en-CA"/>
        </w:rPr>
      </w:pPr>
      <w:r>
        <w:rPr>
          <w:lang w:val="en-CA"/>
        </w:rPr>
        <w:t>[3]</w:t>
      </w:r>
      <w:r w:rsidR="008B43DD">
        <w:rPr>
          <w:lang w:val="en-CA"/>
        </w:rPr>
        <w:t xml:space="preserve"> </w:t>
      </w:r>
      <w:r w:rsidR="008B43DD" w:rsidRPr="008B43DD">
        <w:rPr>
          <w:lang w:val="en-CA"/>
        </w:rPr>
        <w:t>Y. Kidani, H. Kato, K. Kawamura, H. Jang, S. Kim, J. Lim, Z. Deng, K. Zhang, L. Zhang</w:t>
      </w:r>
      <w:r w:rsidR="008B43DD">
        <w:rPr>
          <w:lang w:val="en-CA"/>
        </w:rPr>
        <w:t xml:space="preserve">, </w:t>
      </w:r>
      <w:r w:rsidR="008B43DD" w:rsidRPr="00CC4E10">
        <w:rPr>
          <w:lang w:val="en-CA"/>
        </w:rPr>
        <w:t>“</w:t>
      </w:r>
      <w:r w:rsidR="008B43DD" w:rsidRPr="008B43DD">
        <w:rPr>
          <w:lang w:val="en-CA"/>
        </w:rPr>
        <w:t>EE2-3.1: GPM with inter and intra prediction (JVET-X0166)</w:t>
      </w:r>
      <w:r w:rsidR="008B43DD" w:rsidRPr="00CC4E10">
        <w:rPr>
          <w:lang w:val="en-CA"/>
        </w:rPr>
        <w:t>”</w:t>
      </w:r>
      <w:r w:rsidR="008B43DD">
        <w:rPr>
          <w:lang w:val="en-CA"/>
        </w:rPr>
        <w:t xml:space="preserve"> JVET Teleconference, 25th meeting, document JVET-Y0065, Jan. 2022</w:t>
      </w:r>
    </w:p>
    <w:p w14:paraId="5F0CF8E4" w14:textId="520142E3" w:rsidR="001F2594" w:rsidRPr="005B217D" w:rsidRDefault="001F2594" w:rsidP="006E7C1E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3B9F6D" w:rsidR="00342FF4" w:rsidRPr="005B217D" w:rsidRDefault="00F219D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6CDE1" w14:textId="77777777" w:rsidR="00AC1A33" w:rsidRDefault="00AC1A33">
      <w:r>
        <w:separator/>
      </w:r>
    </w:p>
  </w:endnote>
  <w:endnote w:type="continuationSeparator" w:id="0">
    <w:p w14:paraId="6945FA86" w14:textId="77777777" w:rsidR="00AC1A33" w:rsidRDefault="00AC1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44096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322A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D56E0" w14:textId="77777777" w:rsidR="00AC1A33" w:rsidRDefault="00AC1A33">
      <w:r>
        <w:separator/>
      </w:r>
    </w:p>
  </w:footnote>
  <w:footnote w:type="continuationSeparator" w:id="0">
    <w:p w14:paraId="61CD1875" w14:textId="77777777" w:rsidR="00AC1A33" w:rsidRDefault="00AC1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9754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167591">
    <w:abstractNumId w:val="9"/>
  </w:num>
  <w:num w:numId="3" w16cid:durableId="571549102">
    <w:abstractNumId w:val="8"/>
  </w:num>
  <w:num w:numId="4" w16cid:durableId="719523061">
    <w:abstractNumId w:val="6"/>
  </w:num>
  <w:num w:numId="5" w16cid:durableId="933434942">
    <w:abstractNumId w:val="7"/>
  </w:num>
  <w:num w:numId="6" w16cid:durableId="1878665475">
    <w:abstractNumId w:val="4"/>
  </w:num>
  <w:num w:numId="7" w16cid:durableId="398328733">
    <w:abstractNumId w:val="5"/>
  </w:num>
  <w:num w:numId="8" w16cid:durableId="217480734">
    <w:abstractNumId w:val="4"/>
  </w:num>
  <w:num w:numId="9" w16cid:durableId="1767923893">
    <w:abstractNumId w:val="1"/>
  </w:num>
  <w:num w:numId="10" w16cid:durableId="85273977">
    <w:abstractNumId w:val="3"/>
  </w:num>
  <w:num w:numId="11" w16cid:durableId="1072195934">
    <w:abstractNumId w:val="2"/>
  </w:num>
  <w:num w:numId="12" w16cid:durableId="62261037">
    <w:abstractNumId w:val="4"/>
  </w:num>
  <w:num w:numId="13" w16cid:durableId="10870728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482"/>
    <w:rsid w:val="000308A3"/>
    <w:rsid w:val="0004543A"/>
    <w:rsid w:val="000458BC"/>
    <w:rsid w:val="00045C41"/>
    <w:rsid w:val="00046C03"/>
    <w:rsid w:val="0006322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319C"/>
    <w:rsid w:val="000E00F3"/>
    <w:rsid w:val="000F158C"/>
    <w:rsid w:val="00102F3D"/>
    <w:rsid w:val="00124E38"/>
    <w:rsid w:val="0012580B"/>
    <w:rsid w:val="0012700C"/>
    <w:rsid w:val="00131F90"/>
    <w:rsid w:val="0013458C"/>
    <w:rsid w:val="0013526E"/>
    <w:rsid w:val="00146152"/>
    <w:rsid w:val="00151300"/>
    <w:rsid w:val="0015155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2C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DE5"/>
    <w:rsid w:val="00280613"/>
    <w:rsid w:val="00291E36"/>
    <w:rsid w:val="00292257"/>
    <w:rsid w:val="002A54E0"/>
    <w:rsid w:val="002B1595"/>
    <w:rsid w:val="002B191D"/>
    <w:rsid w:val="002B2E83"/>
    <w:rsid w:val="002C0D4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059"/>
    <w:rsid w:val="00361552"/>
    <w:rsid w:val="003669EA"/>
    <w:rsid w:val="003706CC"/>
    <w:rsid w:val="00377710"/>
    <w:rsid w:val="0039503A"/>
    <w:rsid w:val="003A2D8E"/>
    <w:rsid w:val="003A7CE6"/>
    <w:rsid w:val="003C20E4"/>
    <w:rsid w:val="003D6342"/>
    <w:rsid w:val="003E6F90"/>
    <w:rsid w:val="003E73ED"/>
    <w:rsid w:val="003F565F"/>
    <w:rsid w:val="003F5D0F"/>
    <w:rsid w:val="00414101"/>
    <w:rsid w:val="004219CF"/>
    <w:rsid w:val="004234F0"/>
    <w:rsid w:val="004237F7"/>
    <w:rsid w:val="00427EEC"/>
    <w:rsid w:val="00433DDB"/>
    <w:rsid w:val="00435A29"/>
    <w:rsid w:val="00437619"/>
    <w:rsid w:val="00445CE5"/>
    <w:rsid w:val="00465A1E"/>
    <w:rsid w:val="0049445A"/>
    <w:rsid w:val="004957D9"/>
    <w:rsid w:val="00495D3C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7F5"/>
    <w:rsid w:val="00526FF7"/>
    <w:rsid w:val="00531AE9"/>
    <w:rsid w:val="00536188"/>
    <w:rsid w:val="00550A66"/>
    <w:rsid w:val="00567EC7"/>
    <w:rsid w:val="00570013"/>
    <w:rsid w:val="005753EC"/>
    <w:rsid w:val="005801A2"/>
    <w:rsid w:val="00581DFA"/>
    <w:rsid w:val="0058446A"/>
    <w:rsid w:val="005952A5"/>
    <w:rsid w:val="005A33A1"/>
    <w:rsid w:val="005B217D"/>
    <w:rsid w:val="005C385F"/>
    <w:rsid w:val="005C7C26"/>
    <w:rsid w:val="005E1AC6"/>
    <w:rsid w:val="005E3F2B"/>
    <w:rsid w:val="005F04B6"/>
    <w:rsid w:val="005F6F1B"/>
    <w:rsid w:val="00615995"/>
    <w:rsid w:val="00616155"/>
    <w:rsid w:val="00624B33"/>
    <w:rsid w:val="006275A7"/>
    <w:rsid w:val="0063041A"/>
    <w:rsid w:val="00630AA2"/>
    <w:rsid w:val="00631D8B"/>
    <w:rsid w:val="00646707"/>
    <w:rsid w:val="00651729"/>
    <w:rsid w:val="00657F7E"/>
    <w:rsid w:val="00662E58"/>
    <w:rsid w:val="006637F2"/>
    <w:rsid w:val="006642A5"/>
    <w:rsid w:val="00664DCF"/>
    <w:rsid w:val="006A0E5C"/>
    <w:rsid w:val="006A17D3"/>
    <w:rsid w:val="006A48E6"/>
    <w:rsid w:val="006C3803"/>
    <w:rsid w:val="006C5D39"/>
    <w:rsid w:val="006D6D9B"/>
    <w:rsid w:val="006E2810"/>
    <w:rsid w:val="006E5417"/>
    <w:rsid w:val="006E7C1E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D12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3C1D"/>
    <w:rsid w:val="007F6205"/>
    <w:rsid w:val="007F67A1"/>
    <w:rsid w:val="00801A7B"/>
    <w:rsid w:val="00811C05"/>
    <w:rsid w:val="008206C8"/>
    <w:rsid w:val="00843C4E"/>
    <w:rsid w:val="00845B70"/>
    <w:rsid w:val="0086387C"/>
    <w:rsid w:val="00874A6C"/>
    <w:rsid w:val="00875BF8"/>
    <w:rsid w:val="00876C65"/>
    <w:rsid w:val="00882F72"/>
    <w:rsid w:val="00893DC4"/>
    <w:rsid w:val="008A147E"/>
    <w:rsid w:val="008A4B4C"/>
    <w:rsid w:val="008B43DD"/>
    <w:rsid w:val="008C239F"/>
    <w:rsid w:val="008D30C2"/>
    <w:rsid w:val="008D33A1"/>
    <w:rsid w:val="008E45F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EB9"/>
    <w:rsid w:val="00937F03"/>
    <w:rsid w:val="0094659C"/>
    <w:rsid w:val="00947BF7"/>
    <w:rsid w:val="00950D30"/>
    <w:rsid w:val="00954EB2"/>
    <w:rsid w:val="00955F6D"/>
    <w:rsid w:val="009725F4"/>
    <w:rsid w:val="00977C16"/>
    <w:rsid w:val="0098551D"/>
    <w:rsid w:val="00985DCB"/>
    <w:rsid w:val="00987419"/>
    <w:rsid w:val="00993C59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40F0"/>
    <w:rsid w:val="00A37D3E"/>
    <w:rsid w:val="00A46843"/>
    <w:rsid w:val="00A56B97"/>
    <w:rsid w:val="00A6093D"/>
    <w:rsid w:val="00A703CE"/>
    <w:rsid w:val="00A72017"/>
    <w:rsid w:val="00A72632"/>
    <w:rsid w:val="00A767DC"/>
    <w:rsid w:val="00A76A6D"/>
    <w:rsid w:val="00A83253"/>
    <w:rsid w:val="00A94E83"/>
    <w:rsid w:val="00AA6E84"/>
    <w:rsid w:val="00AB1A1C"/>
    <w:rsid w:val="00AB4721"/>
    <w:rsid w:val="00AB7405"/>
    <w:rsid w:val="00AC1A33"/>
    <w:rsid w:val="00AD05A8"/>
    <w:rsid w:val="00AE341B"/>
    <w:rsid w:val="00AF51C5"/>
    <w:rsid w:val="00B01905"/>
    <w:rsid w:val="00B07CA7"/>
    <w:rsid w:val="00B10C6F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A30"/>
    <w:rsid w:val="00C26CCB"/>
    <w:rsid w:val="00C30249"/>
    <w:rsid w:val="00C35F74"/>
    <w:rsid w:val="00C3723B"/>
    <w:rsid w:val="00C37E74"/>
    <w:rsid w:val="00C42466"/>
    <w:rsid w:val="00C606C9"/>
    <w:rsid w:val="00C80288"/>
    <w:rsid w:val="00C836F0"/>
    <w:rsid w:val="00C84003"/>
    <w:rsid w:val="00C90650"/>
    <w:rsid w:val="00C97D78"/>
    <w:rsid w:val="00CA7C9F"/>
    <w:rsid w:val="00CC2AAE"/>
    <w:rsid w:val="00CC4E10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FEC"/>
    <w:rsid w:val="00D446EC"/>
    <w:rsid w:val="00D51BF0"/>
    <w:rsid w:val="00D531DB"/>
    <w:rsid w:val="00D55942"/>
    <w:rsid w:val="00D578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5A13"/>
    <w:rsid w:val="00E262D4"/>
    <w:rsid w:val="00E327A8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E5D"/>
    <w:rsid w:val="00EA5AE0"/>
    <w:rsid w:val="00EB2D9D"/>
    <w:rsid w:val="00EB56E1"/>
    <w:rsid w:val="00EB5873"/>
    <w:rsid w:val="00EB7AB1"/>
    <w:rsid w:val="00EC32BD"/>
    <w:rsid w:val="00EC565D"/>
    <w:rsid w:val="00ED229B"/>
    <w:rsid w:val="00EE7CD8"/>
    <w:rsid w:val="00EF37F6"/>
    <w:rsid w:val="00EF48CC"/>
    <w:rsid w:val="00F00801"/>
    <w:rsid w:val="00F219D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9C"/>
    <w:rsid w:val="00FC2405"/>
    <w:rsid w:val="00FC68E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9465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37</cp:revision>
  <cp:lastPrinted>1900-01-01T08:00:00Z</cp:lastPrinted>
  <dcterms:created xsi:type="dcterms:W3CDTF">2022-02-08T08:21:00Z</dcterms:created>
  <dcterms:modified xsi:type="dcterms:W3CDTF">2022-04-14T01:23:00Z</dcterms:modified>
</cp:coreProperties>
</file>