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56FAABB4">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119BCF4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F051FC">
              <w:rPr>
                <w:lang w:val="en-CA"/>
              </w:rPr>
              <w:t>0055</w:t>
            </w:r>
            <w:r w:rsidR="006A0E5C" w:rsidRPr="006A0E5C">
              <w:rPr>
                <w:lang w:val="en-CA"/>
              </w:rPr>
              <w:t>-v</w:t>
            </w:r>
            <w:r w:rsidR="00F051F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04B3D3B" w:rsidR="00E61DAC" w:rsidRPr="005B217D" w:rsidRDefault="0068253F" w:rsidP="009D7CE6">
            <w:pPr>
              <w:spacing w:before="60" w:after="60"/>
              <w:rPr>
                <w:b/>
                <w:szCs w:val="22"/>
                <w:lang w:val="en-CA"/>
              </w:rPr>
            </w:pPr>
            <w:r>
              <w:rPr>
                <w:b/>
                <w:szCs w:val="22"/>
                <w:lang w:val="en-CA"/>
              </w:rPr>
              <w:t>AHG1</w:t>
            </w:r>
            <w:r w:rsidR="003A281C">
              <w:rPr>
                <w:b/>
                <w:szCs w:val="22"/>
                <w:lang w:val="en-CA"/>
              </w:rPr>
              <w:t>2</w:t>
            </w:r>
            <w:r>
              <w:rPr>
                <w:b/>
                <w:szCs w:val="22"/>
                <w:lang w:val="en-CA"/>
              </w:rPr>
              <w:t xml:space="preserve">: </w:t>
            </w:r>
            <w:r w:rsidR="003A281C">
              <w:rPr>
                <w:b/>
                <w:szCs w:val="22"/>
                <w:lang w:val="en-CA"/>
              </w:rPr>
              <w:t>Slope adjustment for CCLM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FFAAC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47E079" w:rsidR="00E61DAC" w:rsidRPr="005B217D" w:rsidRDefault="00E61DAC" w:rsidP="005E1AC6">
            <w:pPr>
              <w:spacing w:before="60" w:after="60"/>
              <w:rPr>
                <w:szCs w:val="22"/>
                <w:lang w:val="en-CA"/>
              </w:rPr>
            </w:pPr>
            <w:r w:rsidRPr="005B217D">
              <w:rPr>
                <w:szCs w:val="22"/>
                <w:lang w:val="en-CA"/>
              </w:rPr>
              <w:t>Proposal</w:t>
            </w:r>
          </w:p>
        </w:tc>
      </w:tr>
      <w:tr w:rsidR="0068253F" w:rsidRPr="005B217D" w14:paraId="714CD808" w14:textId="77777777" w:rsidTr="000962AC">
        <w:tc>
          <w:tcPr>
            <w:tcW w:w="1458" w:type="dxa"/>
          </w:tcPr>
          <w:p w14:paraId="4DB59313" w14:textId="77777777" w:rsidR="0068253F" w:rsidRPr="005B217D" w:rsidRDefault="0068253F" w:rsidP="0068253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A317FC" w14:textId="49FBDD31" w:rsidR="0068253F" w:rsidRDefault="0068253F" w:rsidP="0068253F">
            <w:pPr>
              <w:spacing w:before="60" w:after="60"/>
              <w:rPr>
                <w:lang w:val="fi-FI"/>
              </w:rPr>
            </w:pPr>
            <w:r w:rsidRPr="23FC55C3">
              <w:rPr>
                <w:lang w:val="fi-FI"/>
              </w:rPr>
              <w:t xml:space="preserve">Jani </w:t>
            </w:r>
            <w:proofErr w:type="spellStart"/>
            <w:r w:rsidRPr="23FC55C3">
              <w:rPr>
                <w:lang w:val="fi-FI"/>
              </w:rPr>
              <w:t>Lainem</w:t>
            </w:r>
            <w:r w:rsidR="003A281C">
              <w:rPr>
                <w:lang w:val="fi-FI"/>
              </w:rPr>
              <w:t>a</w:t>
            </w:r>
            <w:proofErr w:type="spellEnd"/>
          </w:p>
          <w:p w14:paraId="5F1E8458" w14:textId="4DC302F2" w:rsidR="003A281C" w:rsidRDefault="003A281C" w:rsidP="0068253F">
            <w:pPr>
              <w:spacing w:before="60" w:after="60"/>
              <w:rPr>
                <w:lang w:val="fi-FI"/>
              </w:rPr>
            </w:pPr>
            <w:proofErr w:type="spellStart"/>
            <w:r>
              <w:rPr>
                <w:lang w:val="fi-FI"/>
              </w:rPr>
              <w:t>Alireza</w:t>
            </w:r>
            <w:proofErr w:type="spellEnd"/>
            <w:r>
              <w:rPr>
                <w:lang w:val="fi-FI"/>
              </w:rPr>
              <w:t xml:space="preserve"> </w:t>
            </w:r>
            <w:proofErr w:type="spellStart"/>
            <w:r>
              <w:rPr>
                <w:lang w:val="fi-FI"/>
              </w:rPr>
              <w:t>Aminlou</w:t>
            </w:r>
            <w:proofErr w:type="spellEnd"/>
          </w:p>
          <w:p w14:paraId="0D9F187B" w14:textId="77777777" w:rsidR="003A281C" w:rsidRDefault="003A281C" w:rsidP="0068253F">
            <w:pPr>
              <w:spacing w:before="60" w:after="60"/>
              <w:rPr>
                <w:lang w:val="fi-FI"/>
              </w:rPr>
            </w:pPr>
            <w:r>
              <w:rPr>
                <w:lang w:val="fi-FI"/>
              </w:rPr>
              <w:t xml:space="preserve">Pekka </w:t>
            </w:r>
            <w:proofErr w:type="spellStart"/>
            <w:r>
              <w:rPr>
                <w:lang w:val="fi-FI"/>
              </w:rPr>
              <w:t>Astola</w:t>
            </w:r>
            <w:proofErr w:type="spellEnd"/>
          </w:p>
          <w:p w14:paraId="0AE06AA2" w14:textId="497E4EBA" w:rsidR="0068253F" w:rsidRPr="002915C8" w:rsidRDefault="0068253F" w:rsidP="0068253F">
            <w:pPr>
              <w:spacing w:before="60" w:after="60"/>
              <w:rPr>
                <w:lang w:val="fi-FI"/>
              </w:rPr>
            </w:pPr>
            <w:r w:rsidRPr="002915C8">
              <w:rPr>
                <w:lang w:val="fi-FI"/>
              </w:rPr>
              <w:t xml:space="preserve">Ramin </w:t>
            </w:r>
            <w:r>
              <w:rPr>
                <w:lang w:val="fi-FI"/>
              </w:rPr>
              <w:t xml:space="preserve">G. </w:t>
            </w:r>
            <w:proofErr w:type="spellStart"/>
            <w:r w:rsidRPr="002915C8">
              <w:rPr>
                <w:lang w:val="fi-FI"/>
              </w:rPr>
              <w:t>Youvalari</w:t>
            </w:r>
            <w:proofErr w:type="spellEnd"/>
          </w:p>
          <w:p w14:paraId="49D81240" w14:textId="721CE320" w:rsidR="0068253F" w:rsidRPr="005C138E" w:rsidRDefault="0068253F" w:rsidP="0068253F">
            <w:pPr>
              <w:spacing w:before="60" w:after="60"/>
              <w:rPr>
                <w:szCs w:val="22"/>
                <w:lang w:val="fi-FI"/>
              </w:rPr>
            </w:pPr>
          </w:p>
        </w:tc>
        <w:tc>
          <w:tcPr>
            <w:tcW w:w="900" w:type="dxa"/>
          </w:tcPr>
          <w:p w14:paraId="0140ECA2" w14:textId="088A607B" w:rsidR="0068253F" w:rsidRPr="005B217D" w:rsidRDefault="0068253F" w:rsidP="0068253F">
            <w:pPr>
              <w:spacing w:before="60" w:after="60"/>
              <w:rPr>
                <w:szCs w:val="22"/>
                <w:lang w:val="en-CA"/>
              </w:rPr>
            </w:pPr>
            <w:r w:rsidRPr="005B217D">
              <w:rPr>
                <w:szCs w:val="22"/>
                <w:lang w:val="en-CA"/>
              </w:rPr>
              <w:t>Email:</w:t>
            </w:r>
          </w:p>
        </w:tc>
        <w:tc>
          <w:tcPr>
            <w:tcW w:w="3060" w:type="dxa"/>
          </w:tcPr>
          <w:p w14:paraId="32C2ABFD" w14:textId="65638616" w:rsidR="0068253F" w:rsidRPr="005B217D" w:rsidRDefault="003A281C" w:rsidP="0068253F">
            <w:pPr>
              <w:spacing w:before="60" w:after="60"/>
              <w:rPr>
                <w:szCs w:val="22"/>
                <w:lang w:val="en-CA"/>
              </w:rPr>
            </w:pPr>
            <w:proofErr w:type="spellStart"/>
            <w:r>
              <w:rPr>
                <w:lang w:val="fi-FI"/>
              </w:rPr>
              <w:t>firstname.lastname</w:t>
            </w:r>
            <w:proofErr w:type="spellEnd"/>
            <w:r w:rsidR="0068253F" w:rsidRPr="003A281C">
              <w:rPr>
                <w:lang w:val="en-GB"/>
              </w:rPr>
              <w:t>@nokia.com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832F766" w:rsidR="00E61DAC" w:rsidRPr="005B217D" w:rsidRDefault="00A725D8">
            <w:pPr>
              <w:spacing w:before="60" w:after="60"/>
              <w:rPr>
                <w:szCs w:val="22"/>
                <w:lang w:val="en-CA"/>
              </w:rPr>
            </w:pPr>
            <w:r>
              <w:rPr>
                <w:szCs w:val="22"/>
                <w:lang w:val="en-CA"/>
              </w:rPr>
              <w:t>Nokia</w:t>
            </w:r>
            <w:r w:rsidR="005C138E">
              <w:rPr>
                <w:szCs w:val="22"/>
                <w:lang w:val="en-CA"/>
              </w:rPr>
              <w:t xml:space="preserve"> Technologies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87A176E" w14:textId="74218DF8" w:rsidR="003A281C" w:rsidRDefault="005C138E" w:rsidP="005C138E">
      <w:pPr>
        <w:rPr>
          <w:lang w:val="en-CA"/>
        </w:rPr>
      </w:pPr>
      <w:r w:rsidRPr="443B0FE1">
        <w:rPr>
          <w:lang w:val="en-CA"/>
        </w:rPr>
        <w:t xml:space="preserve">This contribution </w:t>
      </w:r>
      <w:r w:rsidR="003A281C">
        <w:rPr>
          <w:lang w:val="en-CA"/>
        </w:rPr>
        <w:t xml:space="preserve">proposes to signal an adjustment for the slope parameter(s) used in cross-component linear model </w:t>
      </w:r>
      <w:r w:rsidR="00646486">
        <w:rPr>
          <w:lang w:val="en-CA"/>
        </w:rPr>
        <w:t xml:space="preserve">(CCLM) </w:t>
      </w:r>
      <w:r w:rsidR="003A281C">
        <w:rPr>
          <w:lang w:val="en-CA"/>
        </w:rPr>
        <w:t xml:space="preserve">prediction of ECM. </w:t>
      </w:r>
      <w:r w:rsidR="003D4D02">
        <w:rPr>
          <w:lang w:val="en-CA"/>
        </w:rPr>
        <w:t xml:space="preserve">The adjustment </w:t>
      </w:r>
      <w:r w:rsidR="006D74DF">
        <w:rPr>
          <w:lang w:val="en-CA"/>
        </w:rPr>
        <w:t>i</w:t>
      </w:r>
      <w:r w:rsidR="003E5F6B">
        <w:rPr>
          <w:lang w:val="en-CA"/>
        </w:rPr>
        <w:t>s</w:t>
      </w:r>
      <w:r w:rsidR="006D74DF">
        <w:rPr>
          <w:lang w:val="en-CA"/>
        </w:rPr>
        <w:t xml:space="preserve"> “tilting” the linear function </w:t>
      </w:r>
      <w:r w:rsidR="003E5F6B">
        <w:rPr>
          <w:lang w:val="en-CA"/>
        </w:rPr>
        <w:t xml:space="preserve">which </w:t>
      </w:r>
      <w:r w:rsidR="006D74DF">
        <w:rPr>
          <w:lang w:val="en-CA"/>
        </w:rPr>
        <w:t>map</w:t>
      </w:r>
      <w:r w:rsidR="003E5F6B">
        <w:rPr>
          <w:lang w:val="en-CA"/>
        </w:rPr>
        <w:t>s</w:t>
      </w:r>
      <w:r w:rsidR="006D74DF">
        <w:rPr>
          <w:lang w:val="en-CA"/>
        </w:rPr>
        <w:t xml:space="preserve"> luma values to chroma values with respect to </w:t>
      </w:r>
      <w:r w:rsidR="003E5F6B">
        <w:rPr>
          <w:lang w:val="en-CA"/>
        </w:rPr>
        <w:t>a</w:t>
      </w:r>
      <w:r w:rsidR="006D74DF">
        <w:rPr>
          <w:lang w:val="en-CA"/>
        </w:rPr>
        <w:t xml:space="preserve"> center point determined by the average luma value of the reference samples. The </w:t>
      </w:r>
      <w:r w:rsidR="003E5F6B">
        <w:rPr>
          <w:lang w:val="en-CA"/>
        </w:rPr>
        <w:t>encoder selectable</w:t>
      </w:r>
      <w:r w:rsidR="006D74DF">
        <w:rPr>
          <w:lang w:val="en-CA"/>
        </w:rPr>
        <w:t xml:space="preserve"> adjustment is proposed </w:t>
      </w:r>
      <w:r w:rsidR="003E5F6B">
        <w:rPr>
          <w:lang w:val="en-CA"/>
        </w:rPr>
        <w:t>to be an integer value</w:t>
      </w:r>
      <w:r w:rsidR="006D74DF">
        <w:rPr>
          <w:lang w:val="en-CA"/>
        </w:rPr>
        <w:t xml:space="preserve"> between -4 and 4 </w:t>
      </w:r>
      <w:r w:rsidR="003E5F6B">
        <w:rPr>
          <w:lang w:val="en-CA"/>
        </w:rPr>
        <w:t xml:space="preserve">in </w:t>
      </w:r>
      <w:r w:rsidR="006D74DF">
        <w:rPr>
          <w:lang w:val="en-CA"/>
        </w:rPr>
        <w:t>1/8</w:t>
      </w:r>
      <w:r w:rsidR="006D74DF" w:rsidRPr="006D74DF">
        <w:rPr>
          <w:vertAlign w:val="superscript"/>
          <w:lang w:val="en-CA"/>
        </w:rPr>
        <w:t>th</w:t>
      </w:r>
      <w:r w:rsidR="006D74DF">
        <w:rPr>
          <w:lang w:val="en-CA"/>
        </w:rPr>
        <w:t xml:space="preserve"> </w:t>
      </w:r>
      <w:r w:rsidR="003E5F6B">
        <w:rPr>
          <w:lang w:val="en-CA"/>
        </w:rPr>
        <w:t xml:space="preserve">sample units and is signalled </w:t>
      </w:r>
      <w:r w:rsidR="00CF12AF">
        <w:rPr>
          <w:lang w:val="en-CA"/>
        </w:rPr>
        <w:t xml:space="preserve">at the PU level </w:t>
      </w:r>
      <w:r w:rsidR="003E5F6B">
        <w:rPr>
          <w:lang w:val="en-CA"/>
        </w:rPr>
        <w:t>for each CCLM model which uses both top and left reference samples.</w:t>
      </w:r>
      <w:r w:rsidR="000B2B7F">
        <w:rPr>
          <w:lang w:val="en-CA"/>
        </w:rPr>
        <w:t xml:space="preserve"> It is reported that the proposed modification to ECM provides </w:t>
      </w:r>
      <w:r w:rsidR="00437D3A">
        <w:rPr>
          <w:lang w:val="en-CA"/>
        </w:rPr>
        <w:t xml:space="preserve">-0.05%, -1.10% and -0.98% BD-rate impact in AI configuration for Y, U and V, respectively. In RA configuration the impact is reportedly -0.01%, -0.44% and -0.48% for Y, U and V, respectively. Impact on encoder and decoder runtimes is </w:t>
      </w:r>
      <w:r w:rsidR="00C22894">
        <w:rPr>
          <w:lang w:val="en-CA"/>
        </w:rPr>
        <w:t>asserted</w:t>
      </w:r>
      <w:r w:rsidR="00437D3A">
        <w:rPr>
          <w:lang w:val="en-CA"/>
        </w:rPr>
        <w:t xml:space="preserve"> not significant.</w:t>
      </w:r>
    </w:p>
    <w:p w14:paraId="7D2AC1F0" w14:textId="1F60E2AD" w:rsidR="00745F6B" w:rsidRPr="005B217D" w:rsidRDefault="00745F6B" w:rsidP="00E11923">
      <w:pPr>
        <w:pStyle w:val="Heading1"/>
        <w:rPr>
          <w:lang w:val="en-CA"/>
        </w:rPr>
      </w:pPr>
      <w:r w:rsidRPr="005B217D">
        <w:rPr>
          <w:lang w:val="en-CA"/>
        </w:rPr>
        <w:t>Introduction</w:t>
      </w:r>
    </w:p>
    <w:p w14:paraId="0D43C7B5" w14:textId="231CFB7D" w:rsidR="005345EA" w:rsidRDefault="005345EA" w:rsidP="00E0590B">
      <w:pPr>
        <w:spacing w:line="259" w:lineRule="auto"/>
        <w:rPr>
          <w:lang w:val="en-GB" w:eastAsia="zh-CN"/>
        </w:rPr>
      </w:pPr>
      <w:r>
        <w:rPr>
          <w:lang w:val="en-GB" w:eastAsia="zh-CN"/>
        </w:rPr>
        <w:t>C</w:t>
      </w:r>
      <w:r w:rsidRPr="005345EA">
        <w:rPr>
          <w:lang w:val="en-GB" w:eastAsia="zh-CN"/>
        </w:rPr>
        <w:t xml:space="preserve">ross-component linear model prediction </w:t>
      </w:r>
      <w:r>
        <w:rPr>
          <w:lang w:val="en-GB" w:eastAsia="zh-CN"/>
        </w:rPr>
        <w:t>(CCLM) performs well</w:t>
      </w:r>
      <w:r w:rsidRPr="005345EA">
        <w:rPr>
          <w:lang w:val="en-GB" w:eastAsia="zh-CN"/>
        </w:rPr>
        <w:t xml:space="preserve"> if there is a strong linear correlation between the luma and chroma channels. However, the reference samples that are used to generate the linear model parameters can be noisy or those may not represent well the content inside the actual prediction block. In these cases</w:t>
      </w:r>
      <w:r>
        <w:rPr>
          <w:lang w:val="en-GB" w:eastAsia="zh-CN"/>
        </w:rPr>
        <w:t>,</w:t>
      </w:r>
      <w:r w:rsidRPr="005345EA">
        <w:rPr>
          <w:lang w:val="en-GB" w:eastAsia="zh-CN"/>
        </w:rPr>
        <w:t xml:space="preserve"> the prediction </w:t>
      </w:r>
      <w:r>
        <w:rPr>
          <w:lang w:val="en-GB" w:eastAsia="zh-CN"/>
        </w:rPr>
        <w:t>may fail</w:t>
      </w:r>
      <w:r w:rsidRPr="005345EA">
        <w:rPr>
          <w:lang w:val="en-GB" w:eastAsia="zh-CN"/>
        </w:rPr>
        <w:t xml:space="preserve"> and the process results in suboptimal coding efficiency.</w:t>
      </w:r>
    </w:p>
    <w:p w14:paraId="19BD283F" w14:textId="7CB426CA" w:rsidR="005345EA" w:rsidRDefault="005345EA" w:rsidP="00E0590B">
      <w:pPr>
        <w:spacing w:line="259" w:lineRule="auto"/>
        <w:rPr>
          <w:lang w:val="en-GB" w:eastAsia="zh-CN"/>
        </w:rPr>
      </w:pPr>
      <w:r>
        <w:rPr>
          <w:lang w:val="en-GB" w:eastAsia="zh-CN"/>
        </w:rPr>
        <w:t xml:space="preserve">This contribution attempts to address such issues by introducing an adjustment term that can be used to tune the </w:t>
      </w:r>
      <w:r w:rsidR="001F4D7A">
        <w:rPr>
          <w:lang w:val="en-GB" w:eastAsia="zh-CN"/>
        </w:rPr>
        <w:t xml:space="preserve">CCLM </w:t>
      </w:r>
      <w:r>
        <w:rPr>
          <w:lang w:val="en-GB" w:eastAsia="zh-CN"/>
        </w:rPr>
        <w:t xml:space="preserve">model to better fit the linear </w:t>
      </w:r>
      <w:r w:rsidR="00CF12AF">
        <w:rPr>
          <w:lang w:val="en-GB" w:eastAsia="zh-CN"/>
        </w:rPr>
        <w:t>mapping</w:t>
      </w:r>
      <w:r>
        <w:rPr>
          <w:lang w:val="en-GB" w:eastAsia="zh-CN"/>
        </w:rPr>
        <w:t xml:space="preserve"> to the content of the prediction block.</w:t>
      </w:r>
    </w:p>
    <w:p w14:paraId="1EBA9C5C" w14:textId="1E458BA1" w:rsidR="005345EA" w:rsidRDefault="005345EA" w:rsidP="00852F4E">
      <w:pPr>
        <w:pStyle w:val="Heading1"/>
      </w:pPr>
      <w:r>
        <w:t>Proposed approach</w:t>
      </w:r>
    </w:p>
    <w:p w14:paraId="4C406999" w14:textId="37E8EB27" w:rsidR="009E6B3A" w:rsidRPr="009E6B3A" w:rsidRDefault="009E6B3A" w:rsidP="005345EA">
      <w:pPr>
        <w:rPr>
          <w:b/>
          <w:bCs/>
        </w:rPr>
      </w:pPr>
      <w:r w:rsidRPr="009E6B3A">
        <w:rPr>
          <w:b/>
          <w:bCs/>
        </w:rPr>
        <w:t>Basic principle</w:t>
      </w:r>
    </w:p>
    <w:p w14:paraId="3C507AD2" w14:textId="1BF9683A" w:rsidR="001F4D7A" w:rsidRDefault="001F4D7A" w:rsidP="005345EA">
      <w:r>
        <w:t xml:space="preserve">CCLM uses a model with 2 parameters to map luma values to chroma values. The slope parameter </w:t>
      </w:r>
      <w:r w:rsidR="00EC47AC">
        <w:t>“</w:t>
      </w:r>
      <w:r>
        <w:t>a</w:t>
      </w:r>
      <w:r w:rsidR="00EC47AC">
        <w:t>”</w:t>
      </w:r>
      <w:r>
        <w:t xml:space="preserve"> and </w:t>
      </w:r>
      <w:r w:rsidR="00646486">
        <w:t xml:space="preserve">the </w:t>
      </w:r>
      <w:r>
        <w:t xml:space="preserve">bias parameter </w:t>
      </w:r>
      <w:r w:rsidR="00EC47AC">
        <w:t>“</w:t>
      </w:r>
      <w:r>
        <w:t>b</w:t>
      </w:r>
      <w:r w:rsidR="00EC47AC">
        <w:t>”</w:t>
      </w:r>
      <w:r>
        <w:t xml:space="preserve"> define the mapping as follows:</w:t>
      </w:r>
    </w:p>
    <w:p w14:paraId="2F5E542F" w14:textId="379686CE" w:rsidR="001F4D7A" w:rsidRDefault="001F4D7A" w:rsidP="005345EA">
      <w:proofErr w:type="spellStart"/>
      <w:r>
        <w:t>chromaVal</w:t>
      </w:r>
      <w:proofErr w:type="spellEnd"/>
      <w:r>
        <w:t xml:space="preserve"> = a * </w:t>
      </w:r>
      <w:proofErr w:type="spellStart"/>
      <w:r>
        <w:t>lumaVal</w:t>
      </w:r>
      <w:proofErr w:type="spellEnd"/>
      <w:r>
        <w:t xml:space="preserve"> + b</w:t>
      </w:r>
    </w:p>
    <w:p w14:paraId="24BE5DB0" w14:textId="0440B5B6" w:rsidR="001F4D7A" w:rsidRDefault="001F4D7A" w:rsidP="005345EA">
      <w:r>
        <w:t xml:space="preserve">It is proposed signal an adjustment </w:t>
      </w:r>
      <w:r w:rsidR="00EC47AC">
        <w:t xml:space="preserve">“u” </w:t>
      </w:r>
      <w:r>
        <w:t xml:space="preserve">to the slope parameter to update the model </w:t>
      </w:r>
      <w:r w:rsidR="00EC47AC">
        <w:t>to</w:t>
      </w:r>
      <w:r>
        <w:t xml:space="preserve"> the following </w:t>
      </w:r>
      <w:r w:rsidR="00EC47AC">
        <w:t>form:</w:t>
      </w:r>
    </w:p>
    <w:p w14:paraId="5F0BD6D2" w14:textId="60BE50E8" w:rsidR="00EC47AC" w:rsidRDefault="00EC47AC" w:rsidP="00EC47AC">
      <w:proofErr w:type="spellStart"/>
      <w:r>
        <w:t>chromaVal</w:t>
      </w:r>
      <w:proofErr w:type="spellEnd"/>
      <w:r>
        <w:t xml:space="preserve"> = a’ * </w:t>
      </w:r>
      <w:proofErr w:type="spellStart"/>
      <w:r>
        <w:t>lumaVal</w:t>
      </w:r>
      <w:proofErr w:type="spellEnd"/>
      <w:r>
        <w:t xml:space="preserve"> + b’</w:t>
      </w:r>
    </w:p>
    <w:p w14:paraId="4DFE8689" w14:textId="6B011980" w:rsidR="00EC47AC" w:rsidRDefault="00EC47AC" w:rsidP="005345EA">
      <w:proofErr w:type="gramStart"/>
      <w:r>
        <w:t>where</w:t>
      </w:r>
      <w:proofErr w:type="gramEnd"/>
    </w:p>
    <w:p w14:paraId="243C2728" w14:textId="4187BDBD" w:rsidR="00EC47AC" w:rsidRDefault="00EC47AC" w:rsidP="005345EA">
      <w:r>
        <w:lastRenderedPageBreak/>
        <w:t>a’ = a + u</w:t>
      </w:r>
    </w:p>
    <w:p w14:paraId="0F86E576" w14:textId="63132E4A" w:rsidR="00EC47AC" w:rsidRDefault="00EC47AC" w:rsidP="005345EA">
      <w:r>
        <w:t xml:space="preserve">b’ = b - u * </w:t>
      </w:r>
      <w:proofErr w:type="spellStart"/>
      <w:r>
        <w:t>y</w:t>
      </w:r>
      <w:r w:rsidRPr="00EC47AC">
        <w:rPr>
          <w:vertAlign w:val="subscript"/>
        </w:rPr>
        <w:t>r</w:t>
      </w:r>
      <w:proofErr w:type="spellEnd"/>
      <w:r>
        <w:t xml:space="preserve"> </w:t>
      </w:r>
    </w:p>
    <w:p w14:paraId="0B0ADE5D" w14:textId="4A202C8C" w:rsidR="00EC47AC" w:rsidRDefault="00EC47AC" w:rsidP="005345EA">
      <w:r>
        <w:t>With this selection the mapping function is tilted or rotated around the point with luminance value y</w:t>
      </w:r>
      <w:r w:rsidRPr="00EC47AC">
        <w:rPr>
          <w:vertAlign w:val="subscript"/>
        </w:rPr>
        <w:t>r</w:t>
      </w:r>
      <w:r>
        <w:t xml:space="preserve">. It is proposed to use the average of the reference luma samples used in the model creation as </w:t>
      </w:r>
      <w:proofErr w:type="spellStart"/>
      <w:r>
        <w:t>y</w:t>
      </w:r>
      <w:r w:rsidRPr="00EC47AC">
        <w:rPr>
          <w:vertAlign w:val="subscript"/>
        </w:rPr>
        <w:t>r</w:t>
      </w:r>
      <w:proofErr w:type="spellEnd"/>
      <w:r>
        <w:t xml:space="preserve"> in order to </w:t>
      </w:r>
      <w:r w:rsidR="009E6B3A">
        <w:t>provide</w:t>
      </w:r>
      <w:r>
        <w:t xml:space="preserve"> a meaningful </w:t>
      </w:r>
      <w:r w:rsidR="009E6B3A">
        <w:t>modification to the model. Picture below illustrates the process.</w:t>
      </w:r>
    </w:p>
    <w:p w14:paraId="4F59C888" w14:textId="426EE2CC" w:rsidR="00646486" w:rsidRDefault="00646486" w:rsidP="005345EA"/>
    <w:p w14:paraId="32FF7A56" w14:textId="188BF811" w:rsidR="00646486" w:rsidRDefault="00646486" w:rsidP="00646486">
      <w:pPr>
        <w:jc w:val="left"/>
      </w:pPr>
      <w:r w:rsidRPr="00646486">
        <w:rPr>
          <w:noProof/>
        </w:rPr>
        <w:drawing>
          <wp:inline distT="0" distB="0" distL="0" distR="0" wp14:anchorId="4CB85135" wp14:editId="35D5BA46">
            <wp:extent cx="5943600" cy="187769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1877695"/>
                    </a:xfrm>
                    <a:prstGeom prst="rect">
                      <a:avLst/>
                    </a:prstGeom>
                  </pic:spPr>
                </pic:pic>
              </a:graphicData>
            </a:graphic>
          </wp:inline>
        </w:drawing>
      </w:r>
    </w:p>
    <w:p w14:paraId="66D1A24E" w14:textId="71D448E8" w:rsidR="00155538" w:rsidRDefault="00646486" w:rsidP="00646486">
      <w:pPr>
        <w:jc w:val="center"/>
      </w:pPr>
      <w:r>
        <w:t xml:space="preserve">Figure 1: Illustration of the effect of the slope adjustment parameter “u”. Left: model </w:t>
      </w:r>
      <w:r w:rsidR="004D06CE">
        <w:t xml:space="preserve">created </w:t>
      </w:r>
      <w:r>
        <w:t xml:space="preserve">with </w:t>
      </w:r>
      <w:r w:rsidR="004D06CE">
        <w:t>the current CCLM. Right: model updated as proposed.</w:t>
      </w:r>
    </w:p>
    <w:p w14:paraId="023AAB79" w14:textId="77777777" w:rsidR="00646486" w:rsidRPr="005345EA" w:rsidRDefault="00646486" w:rsidP="005345EA"/>
    <w:p w14:paraId="2B90A2D1" w14:textId="16209E16" w:rsidR="009E6B3A" w:rsidRPr="009E6B3A" w:rsidRDefault="009E6B3A" w:rsidP="009E6B3A">
      <w:pPr>
        <w:rPr>
          <w:b/>
          <w:bCs/>
        </w:rPr>
      </w:pPr>
      <w:r w:rsidRPr="009E6B3A">
        <w:rPr>
          <w:b/>
          <w:bCs/>
        </w:rPr>
        <w:t>Implementation</w:t>
      </w:r>
    </w:p>
    <w:p w14:paraId="30D11F63" w14:textId="085F9E01" w:rsidR="009E6B3A" w:rsidRDefault="009E6B3A" w:rsidP="009E6B3A">
      <w:r>
        <w:t xml:space="preserve">Slope adjustment parameter is provided as an integer between -4 and 4, inclusive, and signaled in the bitstream. </w:t>
      </w:r>
      <w:r w:rsidR="00D81DAE">
        <w:t>The</w:t>
      </w:r>
      <w:r>
        <w:t xml:space="preserve"> unit of </w:t>
      </w:r>
      <w:r w:rsidR="00F70F6D">
        <w:t>the slope adjustment parameter is 1/8</w:t>
      </w:r>
      <w:r w:rsidR="00F70F6D" w:rsidRPr="00F70F6D">
        <w:rPr>
          <w:vertAlign w:val="superscript"/>
        </w:rPr>
        <w:t>th</w:t>
      </w:r>
      <w:r w:rsidR="00F70F6D">
        <w:t xml:space="preserve"> of a</w:t>
      </w:r>
      <w:r w:rsidR="00921C48">
        <w:t xml:space="preserve"> chroma</w:t>
      </w:r>
      <w:r w:rsidR="00F70F6D">
        <w:t xml:space="preserve"> sample value</w:t>
      </w:r>
      <w:r w:rsidR="00921C48">
        <w:t xml:space="preserve"> per one luma sample value (for 10-bit content). </w:t>
      </w:r>
    </w:p>
    <w:p w14:paraId="088D3F29" w14:textId="3046CEAB" w:rsidR="00921C48" w:rsidRDefault="00921C48" w:rsidP="009E6B3A">
      <w:r>
        <w:t>Adjustment is available for the CCLM models that are using reference samples both above and left of the block (“</w:t>
      </w:r>
      <w:r w:rsidRPr="00921C48">
        <w:t>LM_CHROMA_IDX</w:t>
      </w:r>
      <w:r>
        <w:t>” and “</w:t>
      </w:r>
      <w:r w:rsidRPr="00921C48">
        <w:t>MMLM_CHROMA_IDX</w:t>
      </w:r>
      <w:r>
        <w:t>”), but not for the “single side” modes. This selection is based on coding efficiency vs. complexity trade-off considerations.</w:t>
      </w:r>
    </w:p>
    <w:p w14:paraId="079751A9" w14:textId="14BD0BD7" w:rsidR="00921C48" w:rsidRDefault="004F2352" w:rsidP="009E6B3A">
      <w:r>
        <w:t xml:space="preserve">When slope adjustment is applied for a multimode CCLM model, both models can be adjusted and thus </w:t>
      </w:r>
      <w:r w:rsidR="00272C27">
        <w:t xml:space="preserve">up to </w:t>
      </w:r>
      <w:r>
        <w:t>two slope updates are signaled for a single chroma block.</w:t>
      </w:r>
    </w:p>
    <w:p w14:paraId="6308724D" w14:textId="1C923583" w:rsidR="009E6B3A" w:rsidRPr="009E6B3A" w:rsidRDefault="009E6B3A" w:rsidP="009E6B3A">
      <w:pPr>
        <w:rPr>
          <w:b/>
          <w:bCs/>
        </w:rPr>
      </w:pPr>
      <w:r w:rsidRPr="009E6B3A">
        <w:rPr>
          <w:b/>
          <w:bCs/>
        </w:rPr>
        <w:t>Encoder approach</w:t>
      </w:r>
    </w:p>
    <w:p w14:paraId="5234BD9E" w14:textId="0A7F705D" w:rsidR="009E6B3A" w:rsidRDefault="004F2352" w:rsidP="009E6B3A">
      <w:r>
        <w:t>The p</w:t>
      </w:r>
      <w:r w:rsidR="00921C48">
        <w:t xml:space="preserve">roposed encoder </w:t>
      </w:r>
      <w:r>
        <w:t xml:space="preserve">approach </w:t>
      </w:r>
      <w:r w:rsidR="00D81DAE">
        <w:t>performs an</w:t>
      </w:r>
      <w:r w:rsidR="00921C48">
        <w:t xml:space="preserve"> SATD based search for the best value of the </w:t>
      </w:r>
      <w:r>
        <w:t xml:space="preserve">slope update for Cr and </w:t>
      </w:r>
      <w:r w:rsidR="00D81DAE">
        <w:t xml:space="preserve">a </w:t>
      </w:r>
      <w:r>
        <w:t xml:space="preserve">similar SATD based search for </w:t>
      </w:r>
      <w:proofErr w:type="spellStart"/>
      <w:r>
        <w:t>Cb</w:t>
      </w:r>
      <w:proofErr w:type="spellEnd"/>
      <w:r>
        <w:t xml:space="preserve">. If either one results as a non-zero slope adjustment parameter, the combined slope adjustment pair (SATD based update for Cr, SATD based update for </w:t>
      </w:r>
      <w:proofErr w:type="spellStart"/>
      <w:r>
        <w:t>Cb</w:t>
      </w:r>
      <w:proofErr w:type="spellEnd"/>
      <w:r>
        <w:t>) is included in the list of RD checks for the TU.</w:t>
      </w:r>
    </w:p>
    <w:p w14:paraId="5CA56871" w14:textId="50A4983B" w:rsidR="00C61AE4" w:rsidRDefault="00C61AE4" w:rsidP="009E6B3A"/>
    <w:p w14:paraId="5570FFD3" w14:textId="6B132D2C" w:rsidR="00C61AE4" w:rsidRDefault="00C61AE4" w:rsidP="009E6B3A"/>
    <w:p w14:paraId="59B8E3EC" w14:textId="250CC727" w:rsidR="00C61AE4" w:rsidRDefault="00C61AE4" w:rsidP="009E6B3A"/>
    <w:p w14:paraId="7640E4A7" w14:textId="3290D16E" w:rsidR="00C61AE4" w:rsidRDefault="00C61AE4" w:rsidP="009E6B3A"/>
    <w:p w14:paraId="78BF3F0D" w14:textId="5BE2CA9C" w:rsidR="00C61AE4" w:rsidRDefault="00C61AE4" w:rsidP="009E6B3A"/>
    <w:p w14:paraId="2683AA4D" w14:textId="24290778" w:rsidR="00C61AE4" w:rsidRDefault="00C61AE4" w:rsidP="009E6B3A"/>
    <w:p w14:paraId="5510429C" w14:textId="6BD84777" w:rsidR="00C61AE4" w:rsidRDefault="00C61AE4" w:rsidP="009E6B3A"/>
    <w:p w14:paraId="633A968A" w14:textId="77777777" w:rsidR="00C61AE4" w:rsidRPr="009E6B3A" w:rsidRDefault="00C61AE4" w:rsidP="009E6B3A"/>
    <w:p w14:paraId="0097E3CE" w14:textId="7D9211E7" w:rsidR="007746A7" w:rsidRDefault="007746A7" w:rsidP="00852F4E">
      <w:pPr>
        <w:pStyle w:val="Heading1"/>
      </w:pPr>
      <w:r>
        <w:lastRenderedPageBreak/>
        <w:t>Experimental results</w:t>
      </w:r>
    </w:p>
    <w:p w14:paraId="2AD58C52" w14:textId="491A91B5" w:rsidR="00277545" w:rsidRDefault="00277545" w:rsidP="00852F4E">
      <w:r>
        <w:t>Tables below summarize the coding efficiency impact for AI and RA configurations.</w:t>
      </w:r>
      <w:r w:rsidR="00C61AE4">
        <w:t xml:space="preserve"> </w:t>
      </w:r>
      <w:proofErr w:type="spellStart"/>
      <w:r w:rsidR="00C61AE4">
        <w:t>Decodings</w:t>
      </w:r>
      <w:proofErr w:type="spellEnd"/>
      <w:r w:rsidR="00C61AE4">
        <w:t xml:space="preserve"> have been done under similar cluster loads and thus decoder runtimes can be considered relatively reliable. During encodings cluster loads have varied and runtimes should not be considered accurate.</w:t>
      </w:r>
    </w:p>
    <w:p w14:paraId="18B05098" w14:textId="77777777" w:rsidR="00C61AE4" w:rsidRDefault="00C61AE4" w:rsidP="00852F4E"/>
    <w:tbl>
      <w:tblPr>
        <w:tblW w:w="6360" w:type="dxa"/>
        <w:tblLook w:val="04A0" w:firstRow="1" w:lastRow="0" w:firstColumn="1" w:lastColumn="0" w:noHBand="0" w:noVBand="1"/>
      </w:tblPr>
      <w:tblGrid>
        <w:gridCol w:w="1060"/>
        <w:gridCol w:w="1144"/>
        <w:gridCol w:w="1143"/>
        <w:gridCol w:w="1143"/>
        <w:gridCol w:w="935"/>
        <w:gridCol w:w="935"/>
      </w:tblGrid>
      <w:tr w:rsidR="00C61AE4" w:rsidRPr="00C61AE4" w14:paraId="5EE1F8C8" w14:textId="77777777" w:rsidTr="00C61AE4">
        <w:trPr>
          <w:trHeight w:val="255"/>
        </w:trPr>
        <w:tc>
          <w:tcPr>
            <w:tcW w:w="1060" w:type="dxa"/>
            <w:tcBorders>
              <w:top w:val="nil"/>
              <w:left w:val="nil"/>
              <w:bottom w:val="nil"/>
              <w:right w:val="nil"/>
            </w:tcBorders>
            <w:shd w:val="clear" w:color="auto" w:fill="auto"/>
            <w:noWrap/>
            <w:vAlign w:val="center"/>
            <w:hideMark/>
          </w:tcPr>
          <w:p w14:paraId="7837070C"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FI"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165C5B"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C61AE4">
              <w:rPr>
                <w:rFonts w:ascii="Arial" w:hAnsi="Arial" w:cs="Arial"/>
                <w:b/>
                <w:bCs/>
                <w:color w:val="000000"/>
                <w:sz w:val="18"/>
                <w:szCs w:val="18"/>
                <w:lang w:val="en-FI" w:eastAsia="en-GB"/>
              </w:rPr>
              <w:t xml:space="preserve">All Intra Main10 </w:t>
            </w:r>
          </w:p>
        </w:tc>
      </w:tr>
      <w:tr w:rsidR="00C61AE4" w:rsidRPr="00C61AE4" w14:paraId="15954CF9" w14:textId="77777777" w:rsidTr="00C61AE4">
        <w:trPr>
          <w:trHeight w:val="255"/>
        </w:trPr>
        <w:tc>
          <w:tcPr>
            <w:tcW w:w="1060" w:type="dxa"/>
            <w:tcBorders>
              <w:top w:val="nil"/>
              <w:left w:val="nil"/>
              <w:bottom w:val="nil"/>
              <w:right w:val="nil"/>
            </w:tcBorders>
            <w:shd w:val="clear" w:color="auto" w:fill="auto"/>
            <w:noWrap/>
            <w:vAlign w:val="center"/>
            <w:hideMark/>
          </w:tcPr>
          <w:p w14:paraId="1E11F5E3"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12C827"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C61AE4">
              <w:rPr>
                <w:rFonts w:ascii="Arial" w:hAnsi="Arial" w:cs="Arial"/>
                <w:b/>
                <w:bCs/>
                <w:color w:val="000000"/>
                <w:sz w:val="18"/>
                <w:szCs w:val="18"/>
                <w:lang w:val="en-FI" w:eastAsia="en-GB"/>
              </w:rPr>
              <w:t>Over ECM-3.0</w:t>
            </w:r>
          </w:p>
        </w:tc>
      </w:tr>
      <w:tr w:rsidR="00C61AE4" w:rsidRPr="00C61AE4" w14:paraId="72960ED7" w14:textId="77777777" w:rsidTr="00C61AE4">
        <w:trPr>
          <w:trHeight w:val="255"/>
        </w:trPr>
        <w:tc>
          <w:tcPr>
            <w:tcW w:w="1060" w:type="dxa"/>
            <w:tcBorders>
              <w:top w:val="nil"/>
              <w:left w:val="nil"/>
              <w:bottom w:val="nil"/>
              <w:right w:val="nil"/>
            </w:tcBorders>
            <w:shd w:val="clear" w:color="auto" w:fill="auto"/>
            <w:noWrap/>
            <w:vAlign w:val="center"/>
            <w:hideMark/>
          </w:tcPr>
          <w:p w14:paraId="1BB6A6E7"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492DB978"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Y</w:t>
            </w:r>
          </w:p>
        </w:tc>
        <w:tc>
          <w:tcPr>
            <w:tcW w:w="1143" w:type="dxa"/>
            <w:tcBorders>
              <w:top w:val="nil"/>
              <w:left w:val="nil"/>
              <w:bottom w:val="single" w:sz="8" w:space="0" w:color="auto"/>
              <w:right w:val="nil"/>
            </w:tcBorders>
            <w:shd w:val="clear" w:color="auto" w:fill="auto"/>
            <w:noWrap/>
            <w:vAlign w:val="center"/>
            <w:hideMark/>
          </w:tcPr>
          <w:p w14:paraId="7A310A5B"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U</w:t>
            </w:r>
          </w:p>
        </w:tc>
        <w:tc>
          <w:tcPr>
            <w:tcW w:w="1143" w:type="dxa"/>
            <w:tcBorders>
              <w:top w:val="nil"/>
              <w:left w:val="nil"/>
              <w:bottom w:val="single" w:sz="8" w:space="0" w:color="auto"/>
              <w:right w:val="single" w:sz="4" w:space="0" w:color="auto"/>
            </w:tcBorders>
            <w:shd w:val="clear" w:color="auto" w:fill="auto"/>
            <w:noWrap/>
            <w:vAlign w:val="center"/>
            <w:hideMark/>
          </w:tcPr>
          <w:p w14:paraId="46673620"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V</w:t>
            </w:r>
          </w:p>
        </w:tc>
        <w:tc>
          <w:tcPr>
            <w:tcW w:w="935" w:type="dxa"/>
            <w:tcBorders>
              <w:top w:val="nil"/>
              <w:left w:val="nil"/>
              <w:bottom w:val="single" w:sz="8" w:space="0" w:color="auto"/>
              <w:right w:val="nil"/>
            </w:tcBorders>
            <w:shd w:val="clear" w:color="auto" w:fill="auto"/>
            <w:noWrap/>
            <w:vAlign w:val="center"/>
            <w:hideMark/>
          </w:tcPr>
          <w:p w14:paraId="00944737"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537CB76F"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DecT</w:t>
            </w:r>
          </w:p>
        </w:tc>
      </w:tr>
      <w:tr w:rsidR="00C61AE4" w:rsidRPr="00C61AE4" w14:paraId="4A2E3D58" w14:textId="77777777" w:rsidTr="00C61AE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1C43A88"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Class A1</w:t>
            </w:r>
          </w:p>
        </w:tc>
        <w:tc>
          <w:tcPr>
            <w:tcW w:w="1144" w:type="dxa"/>
            <w:tcBorders>
              <w:top w:val="nil"/>
              <w:left w:val="nil"/>
              <w:bottom w:val="nil"/>
              <w:right w:val="nil"/>
            </w:tcBorders>
            <w:shd w:val="clear" w:color="auto" w:fill="auto"/>
            <w:noWrap/>
            <w:vAlign w:val="center"/>
            <w:hideMark/>
          </w:tcPr>
          <w:p w14:paraId="60062096"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-0.03 %</w:t>
            </w:r>
          </w:p>
        </w:tc>
        <w:tc>
          <w:tcPr>
            <w:tcW w:w="1143" w:type="dxa"/>
            <w:tcBorders>
              <w:top w:val="nil"/>
              <w:left w:val="nil"/>
              <w:bottom w:val="nil"/>
              <w:right w:val="nil"/>
            </w:tcBorders>
            <w:shd w:val="clear" w:color="auto" w:fill="auto"/>
            <w:noWrap/>
            <w:vAlign w:val="center"/>
            <w:hideMark/>
          </w:tcPr>
          <w:p w14:paraId="661D08A3"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-1.79 %</w:t>
            </w:r>
          </w:p>
        </w:tc>
        <w:tc>
          <w:tcPr>
            <w:tcW w:w="1143" w:type="dxa"/>
            <w:tcBorders>
              <w:top w:val="nil"/>
              <w:left w:val="nil"/>
              <w:bottom w:val="nil"/>
              <w:right w:val="single" w:sz="4" w:space="0" w:color="auto"/>
            </w:tcBorders>
            <w:shd w:val="clear" w:color="auto" w:fill="auto"/>
            <w:noWrap/>
            <w:vAlign w:val="center"/>
            <w:hideMark/>
          </w:tcPr>
          <w:p w14:paraId="02E14683"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-1.64 %</w:t>
            </w:r>
          </w:p>
        </w:tc>
        <w:tc>
          <w:tcPr>
            <w:tcW w:w="935" w:type="dxa"/>
            <w:tcBorders>
              <w:top w:val="nil"/>
              <w:left w:val="nil"/>
              <w:bottom w:val="nil"/>
              <w:right w:val="nil"/>
            </w:tcBorders>
            <w:shd w:val="clear" w:color="auto" w:fill="auto"/>
            <w:noWrap/>
            <w:vAlign w:val="center"/>
            <w:hideMark/>
          </w:tcPr>
          <w:p w14:paraId="175AB548"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101 %</w:t>
            </w:r>
          </w:p>
        </w:tc>
        <w:tc>
          <w:tcPr>
            <w:tcW w:w="935" w:type="dxa"/>
            <w:tcBorders>
              <w:top w:val="nil"/>
              <w:left w:val="nil"/>
              <w:bottom w:val="nil"/>
              <w:right w:val="single" w:sz="8" w:space="0" w:color="auto"/>
            </w:tcBorders>
            <w:shd w:val="clear" w:color="auto" w:fill="auto"/>
            <w:noWrap/>
            <w:vAlign w:val="center"/>
            <w:hideMark/>
          </w:tcPr>
          <w:p w14:paraId="0DE94CA6"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100 %</w:t>
            </w:r>
          </w:p>
        </w:tc>
      </w:tr>
      <w:tr w:rsidR="00C61AE4" w:rsidRPr="00C61AE4" w14:paraId="185C966A" w14:textId="77777777" w:rsidTr="00C61A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AF425EB"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Class A2</w:t>
            </w:r>
          </w:p>
        </w:tc>
        <w:tc>
          <w:tcPr>
            <w:tcW w:w="1144" w:type="dxa"/>
            <w:tcBorders>
              <w:top w:val="nil"/>
              <w:left w:val="nil"/>
              <w:bottom w:val="nil"/>
              <w:right w:val="nil"/>
            </w:tcBorders>
            <w:shd w:val="clear" w:color="auto" w:fill="auto"/>
            <w:noWrap/>
            <w:vAlign w:val="center"/>
            <w:hideMark/>
          </w:tcPr>
          <w:p w14:paraId="335F971E"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-0.06 %</w:t>
            </w:r>
          </w:p>
        </w:tc>
        <w:tc>
          <w:tcPr>
            <w:tcW w:w="1143" w:type="dxa"/>
            <w:tcBorders>
              <w:top w:val="nil"/>
              <w:left w:val="nil"/>
              <w:bottom w:val="nil"/>
              <w:right w:val="nil"/>
            </w:tcBorders>
            <w:shd w:val="clear" w:color="auto" w:fill="auto"/>
            <w:noWrap/>
            <w:vAlign w:val="center"/>
            <w:hideMark/>
          </w:tcPr>
          <w:p w14:paraId="75351F5B"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-1.19 %</w:t>
            </w:r>
          </w:p>
        </w:tc>
        <w:tc>
          <w:tcPr>
            <w:tcW w:w="1143" w:type="dxa"/>
            <w:tcBorders>
              <w:top w:val="nil"/>
              <w:left w:val="nil"/>
              <w:bottom w:val="nil"/>
              <w:right w:val="single" w:sz="4" w:space="0" w:color="auto"/>
            </w:tcBorders>
            <w:shd w:val="clear" w:color="auto" w:fill="auto"/>
            <w:noWrap/>
            <w:vAlign w:val="center"/>
            <w:hideMark/>
          </w:tcPr>
          <w:p w14:paraId="1200CE83"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-0.48 %</w:t>
            </w:r>
          </w:p>
        </w:tc>
        <w:tc>
          <w:tcPr>
            <w:tcW w:w="935" w:type="dxa"/>
            <w:tcBorders>
              <w:top w:val="nil"/>
              <w:left w:val="nil"/>
              <w:bottom w:val="nil"/>
              <w:right w:val="nil"/>
            </w:tcBorders>
            <w:shd w:val="clear" w:color="auto" w:fill="auto"/>
            <w:noWrap/>
            <w:vAlign w:val="center"/>
            <w:hideMark/>
          </w:tcPr>
          <w:p w14:paraId="43FF3328"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102 %</w:t>
            </w:r>
          </w:p>
        </w:tc>
        <w:tc>
          <w:tcPr>
            <w:tcW w:w="935" w:type="dxa"/>
            <w:tcBorders>
              <w:top w:val="nil"/>
              <w:left w:val="nil"/>
              <w:bottom w:val="nil"/>
              <w:right w:val="single" w:sz="8" w:space="0" w:color="auto"/>
            </w:tcBorders>
            <w:shd w:val="clear" w:color="auto" w:fill="auto"/>
            <w:noWrap/>
            <w:vAlign w:val="center"/>
            <w:hideMark/>
          </w:tcPr>
          <w:p w14:paraId="305A6EE2"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101 %</w:t>
            </w:r>
          </w:p>
        </w:tc>
      </w:tr>
      <w:tr w:rsidR="00C61AE4" w:rsidRPr="00C61AE4" w14:paraId="737DB751" w14:textId="77777777" w:rsidTr="00C61A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30330D5"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Class B</w:t>
            </w:r>
          </w:p>
        </w:tc>
        <w:tc>
          <w:tcPr>
            <w:tcW w:w="1144" w:type="dxa"/>
            <w:tcBorders>
              <w:top w:val="nil"/>
              <w:left w:val="nil"/>
              <w:bottom w:val="nil"/>
              <w:right w:val="nil"/>
            </w:tcBorders>
            <w:shd w:val="clear" w:color="auto" w:fill="auto"/>
            <w:noWrap/>
            <w:vAlign w:val="center"/>
            <w:hideMark/>
          </w:tcPr>
          <w:p w14:paraId="1C752A6E"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-0.05 %</w:t>
            </w:r>
          </w:p>
        </w:tc>
        <w:tc>
          <w:tcPr>
            <w:tcW w:w="1143" w:type="dxa"/>
            <w:tcBorders>
              <w:top w:val="nil"/>
              <w:left w:val="nil"/>
              <w:bottom w:val="nil"/>
              <w:right w:val="nil"/>
            </w:tcBorders>
            <w:shd w:val="clear" w:color="auto" w:fill="auto"/>
            <w:noWrap/>
            <w:vAlign w:val="center"/>
            <w:hideMark/>
          </w:tcPr>
          <w:p w14:paraId="55E989A3"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-1.34 %</w:t>
            </w:r>
          </w:p>
        </w:tc>
        <w:tc>
          <w:tcPr>
            <w:tcW w:w="1143" w:type="dxa"/>
            <w:tcBorders>
              <w:top w:val="nil"/>
              <w:left w:val="nil"/>
              <w:bottom w:val="nil"/>
              <w:right w:val="single" w:sz="4" w:space="0" w:color="auto"/>
            </w:tcBorders>
            <w:shd w:val="clear" w:color="auto" w:fill="auto"/>
            <w:noWrap/>
            <w:vAlign w:val="center"/>
            <w:hideMark/>
          </w:tcPr>
          <w:p w14:paraId="7B521D95"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-1.38 %</w:t>
            </w:r>
          </w:p>
        </w:tc>
        <w:tc>
          <w:tcPr>
            <w:tcW w:w="935" w:type="dxa"/>
            <w:tcBorders>
              <w:top w:val="nil"/>
              <w:left w:val="nil"/>
              <w:bottom w:val="nil"/>
              <w:right w:val="nil"/>
            </w:tcBorders>
            <w:shd w:val="clear" w:color="auto" w:fill="auto"/>
            <w:noWrap/>
            <w:vAlign w:val="center"/>
            <w:hideMark/>
          </w:tcPr>
          <w:p w14:paraId="1845E880"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100 %</w:t>
            </w:r>
          </w:p>
        </w:tc>
        <w:tc>
          <w:tcPr>
            <w:tcW w:w="935" w:type="dxa"/>
            <w:tcBorders>
              <w:top w:val="nil"/>
              <w:left w:val="nil"/>
              <w:bottom w:val="nil"/>
              <w:right w:val="single" w:sz="8" w:space="0" w:color="auto"/>
            </w:tcBorders>
            <w:shd w:val="clear" w:color="auto" w:fill="auto"/>
            <w:noWrap/>
            <w:vAlign w:val="center"/>
            <w:hideMark/>
          </w:tcPr>
          <w:p w14:paraId="4CF52448"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99 %</w:t>
            </w:r>
          </w:p>
        </w:tc>
      </w:tr>
      <w:tr w:rsidR="00C61AE4" w:rsidRPr="00C61AE4" w14:paraId="1A6124ED" w14:textId="77777777" w:rsidTr="00C61A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8EEA479"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Class C</w:t>
            </w:r>
          </w:p>
        </w:tc>
        <w:tc>
          <w:tcPr>
            <w:tcW w:w="1144" w:type="dxa"/>
            <w:tcBorders>
              <w:top w:val="nil"/>
              <w:left w:val="nil"/>
              <w:bottom w:val="nil"/>
              <w:right w:val="nil"/>
            </w:tcBorders>
            <w:shd w:val="clear" w:color="auto" w:fill="auto"/>
            <w:noWrap/>
            <w:vAlign w:val="center"/>
            <w:hideMark/>
          </w:tcPr>
          <w:p w14:paraId="36288E26"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-0.06 %</w:t>
            </w:r>
          </w:p>
        </w:tc>
        <w:tc>
          <w:tcPr>
            <w:tcW w:w="1143" w:type="dxa"/>
            <w:tcBorders>
              <w:top w:val="nil"/>
              <w:left w:val="nil"/>
              <w:bottom w:val="nil"/>
              <w:right w:val="nil"/>
            </w:tcBorders>
            <w:shd w:val="clear" w:color="auto" w:fill="auto"/>
            <w:noWrap/>
            <w:vAlign w:val="center"/>
            <w:hideMark/>
          </w:tcPr>
          <w:p w14:paraId="4CE219A0"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-0.87 %</w:t>
            </w:r>
          </w:p>
        </w:tc>
        <w:tc>
          <w:tcPr>
            <w:tcW w:w="1143" w:type="dxa"/>
            <w:tcBorders>
              <w:top w:val="nil"/>
              <w:left w:val="nil"/>
              <w:bottom w:val="nil"/>
              <w:right w:val="single" w:sz="4" w:space="0" w:color="auto"/>
            </w:tcBorders>
            <w:shd w:val="clear" w:color="auto" w:fill="auto"/>
            <w:noWrap/>
            <w:vAlign w:val="center"/>
            <w:hideMark/>
          </w:tcPr>
          <w:p w14:paraId="18FDF674"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-0.94 %</w:t>
            </w:r>
          </w:p>
        </w:tc>
        <w:tc>
          <w:tcPr>
            <w:tcW w:w="935" w:type="dxa"/>
            <w:tcBorders>
              <w:top w:val="nil"/>
              <w:left w:val="nil"/>
              <w:bottom w:val="nil"/>
              <w:right w:val="nil"/>
            </w:tcBorders>
            <w:shd w:val="clear" w:color="auto" w:fill="auto"/>
            <w:noWrap/>
            <w:vAlign w:val="center"/>
            <w:hideMark/>
          </w:tcPr>
          <w:p w14:paraId="61E4861F"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99 %</w:t>
            </w:r>
          </w:p>
        </w:tc>
        <w:tc>
          <w:tcPr>
            <w:tcW w:w="935" w:type="dxa"/>
            <w:tcBorders>
              <w:top w:val="nil"/>
              <w:left w:val="nil"/>
              <w:bottom w:val="nil"/>
              <w:right w:val="single" w:sz="8" w:space="0" w:color="auto"/>
            </w:tcBorders>
            <w:shd w:val="clear" w:color="auto" w:fill="auto"/>
            <w:noWrap/>
            <w:vAlign w:val="center"/>
            <w:hideMark/>
          </w:tcPr>
          <w:p w14:paraId="16FA4621"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99 %</w:t>
            </w:r>
          </w:p>
        </w:tc>
      </w:tr>
      <w:tr w:rsidR="00C61AE4" w:rsidRPr="00C61AE4" w14:paraId="17F93275" w14:textId="77777777" w:rsidTr="00C61A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BD24FC6"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Class E</w:t>
            </w:r>
          </w:p>
        </w:tc>
        <w:tc>
          <w:tcPr>
            <w:tcW w:w="1144" w:type="dxa"/>
            <w:tcBorders>
              <w:top w:val="nil"/>
              <w:left w:val="nil"/>
              <w:bottom w:val="nil"/>
              <w:right w:val="nil"/>
            </w:tcBorders>
            <w:shd w:val="clear" w:color="auto" w:fill="auto"/>
            <w:noWrap/>
            <w:vAlign w:val="center"/>
            <w:hideMark/>
          </w:tcPr>
          <w:p w14:paraId="6E4B10D4"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-0.02 %</w:t>
            </w:r>
          </w:p>
        </w:tc>
        <w:tc>
          <w:tcPr>
            <w:tcW w:w="1143" w:type="dxa"/>
            <w:tcBorders>
              <w:top w:val="nil"/>
              <w:left w:val="nil"/>
              <w:bottom w:val="nil"/>
              <w:right w:val="nil"/>
            </w:tcBorders>
            <w:shd w:val="clear" w:color="auto" w:fill="auto"/>
            <w:noWrap/>
            <w:vAlign w:val="center"/>
            <w:hideMark/>
          </w:tcPr>
          <w:p w14:paraId="50D1942B"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-0.23 %</w:t>
            </w:r>
          </w:p>
        </w:tc>
        <w:tc>
          <w:tcPr>
            <w:tcW w:w="1143" w:type="dxa"/>
            <w:tcBorders>
              <w:top w:val="nil"/>
              <w:left w:val="nil"/>
              <w:bottom w:val="nil"/>
              <w:right w:val="single" w:sz="4" w:space="0" w:color="auto"/>
            </w:tcBorders>
            <w:shd w:val="clear" w:color="auto" w:fill="auto"/>
            <w:noWrap/>
            <w:vAlign w:val="center"/>
            <w:hideMark/>
          </w:tcPr>
          <w:p w14:paraId="132E18E7"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-0.20 %</w:t>
            </w:r>
          </w:p>
        </w:tc>
        <w:tc>
          <w:tcPr>
            <w:tcW w:w="935" w:type="dxa"/>
            <w:tcBorders>
              <w:top w:val="nil"/>
              <w:left w:val="nil"/>
              <w:bottom w:val="nil"/>
              <w:right w:val="nil"/>
            </w:tcBorders>
            <w:shd w:val="clear" w:color="auto" w:fill="auto"/>
            <w:noWrap/>
            <w:vAlign w:val="center"/>
            <w:hideMark/>
          </w:tcPr>
          <w:p w14:paraId="6A7E233E"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100 %</w:t>
            </w:r>
          </w:p>
        </w:tc>
        <w:tc>
          <w:tcPr>
            <w:tcW w:w="935" w:type="dxa"/>
            <w:tcBorders>
              <w:top w:val="nil"/>
              <w:left w:val="nil"/>
              <w:bottom w:val="nil"/>
              <w:right w:val="single" w:sz="8" w:space="0" w:color="auto"/>
            </w:tcBorders>
            <w:shd w:val="clear" w:color="auto" w:fill="auto"/>
            <w:noWrap/>
            <w:vAlign w:val="center"/>
            <w:hideMark/>
          </w:tcPr>
          <w:p w14:paraId="041AECC0"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99 %</w:t>
            </w:r>
          </w:p>
        </w:tc>
      </w:tr>
      <w:tr w:rsidR="00C61AE4" w:rsidRPr="00C61AE4" w14:paraId="468A7303" w14:textId="77777777" w:rsidTr="00C61AE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E116887"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C61AE4">
              <w:rPr>
                <w:rFonts w:ascii="Arial" w:hAnsi="Arial" w:cs="Arial"/>
                <w:b/>
                <w:bCs/>
                <w:color w:val="000000"/>
                <w:sz w:val="18"/>
                <w:szCs w:val="18"/>
                <w:lang w:val="en-FI"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0CE3DB76"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-0.05 %</w:t>
            </w:r>
          </w:p>
        </w:tc>
        <w:tc>
          <w:tcPr>
            <w:tcW w:w="1143" w:type="dxa"/>
            <w:tcBorders>
              <w:top w:val="single" w:sz="8" w:space="0" w:color="auto"/>
              <w:left w:val="nil"/>
              <w:bottom w:val="nil"/>
              <w:right w:val="nil"/>
            </w:tcBorders>
            <w:shd w:val="clear" w:color="auto" w:fill="auto"/>
            <w:noWrap/>
            <w:vAlign w:val="center"/>
            <w:hideMark/>
          </w:tcPr>
          <w:p w14:paraId="1C66FE3C"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-1.10 %</w:t>
            </w:r>
          </w:p>
        </w:tc>
        <w:tc>
          <w:tcPr>
            <w:tcW w:w="1143" w:type="dxa"/>
            <w:tcBorders>
              <w:top w:val="single" w:sz="8" w:space="0" w:color="auto"/>
              <w:left w:val="nil"/>
              <w:bottom w:val="nil"/>
              <w:right w:val="single" w:sz="4" w:space="0" w:color="auto"/>
            </w:tcBorders>
            <w:shd w:val="clear" w:color="auto" w:fill="auto"/>
            <w:noWrap/>
            <w:vAlign w:val="center"/>
            <w:hideMark/>
          </w:tcPr>
          <w:p w14:paraId="3633F866"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-0.98 %</w:t>
            </w:r>
          </w:p>
        </w:tc>
        <w:tc>
          <w:tcPr>
            <w:tcW w:w="935" w:type="dxa"/>
            <w:tcBorders>
              <w:top w:val="single" w:sz="8" w:space="0" w:color="auto"/>
              <w:left w:val="nil"/>
              <w:bottom w:val="nil"/>
              <w:right w:val="nil"/>
            </w:tcBorders>
            <w:shd w:val="clear" w:color="auto" w:fill="auto"/>
            <w:noWrap/>
            <w:vAlign w:val="center"/>
            <w:hideMark/>
          </w:tcPr>
          <w:p w14:paraId="02CD282A"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100 %</w:t>
            </w:r>
          </w:p>
        </w:tc>
        <w:tc>
          <w:tcPr>
            <w:tcW w:w="935" w:type="dxa"/>
            <w:tcBorders>
              <w:top w:val="single" w:sz="8" w:space="0" w:color="auto"/>
              <w:left w:val="nil"/>
              <w:bottom w:val="nil"/>
              <w:right w:val="single" w:sz="8" w:space="0" w:color="auto"/>
            </w:tcBorders>
            <w:shd w:val="clear" w:color="auto" w:fill="auto"/>
            <w:noWrap/>
            <w:vAlign w:val="center"/>
            <w:hideMark/>
          </w:tcPr>
          <w:p w14:paraId="138A9533"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100 %</w:t>
            </w:r>
          </w:p>
        </w:tc>
      </w:tr>
      <w:tr w:rsidR="00C61AE4" w:rsidRPr="00C61AE4" w14:paraId="2D1FCF0F" w14:textId="77777777" w:rsidTr="00C61AE4">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486B0E62"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Class D</w:t>
            </w:r>
          </w:p>
        </w:tc>
        <w:tc>
          <w:tcPr>
            <w:tcW w:w="1144" w:type="dxa"/>
            <w:tcBorders>
              <w:top w:val="single" w:sz="8" w:space="0" w:color="auto"/>
              <w:left w:val="nil"/>
              <w:right w:val="nil"/>
            </w:tcBorders>
            <w:shd w:val="clear" w:color="auto" w:fill="auto"/>
            <w:noWrap/>
            <w:vAlign w:val="center"/>
            <w:hideMark/>
          </w:tcPr>
          <w:p w14:paraId="4E13ACB4"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-0.04 %</w:t>
            </w:r>
          </w:p>
        </w:tc>
        <w:tc>
          <w:tcPr>
            <w:tcW w:w="1143" w:type="dxa"/>
            <w:tcBorders>
              <w:top w:val="single" w:sz="8" w:space="0" w:color="auto"/>
              <w:left w:val="nil"/>
              <w:right w:val="nil"/>
            </w:tcBorders>
            <w:shd w:val="clear" w:color="auto" w:fill="auto"/>
            <w:noWrap/>
            <w:vAlign w:val="center"/>
            <w:hideMark/>
          </w:tcPr>
          <w:p w14:paraId="63D54CD5"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-0.62 %</w:t>
            </w:r>
          </w:p>
        </w:tc>
        <w:tc>
          <w:tcPr>
            <w:tcW w:w="1143" w:type="dxa"/>
            <w:tcBorders>
              <w:top w:val="single" w:sz="8" w:space="0" w:color="auto"/>
              <w:left w:val="nil"/>
              <w:right w:val="single" w:sz="4" w:space="0" w:color="auto"/>
            </w:tcBorders>
            <w:shd w:val="clear" w:color="auto" w:fill="auto"/>
            <w:noWrap/>
            <w:vAlign w:val="center"/>
            <w:hideMark/>
          </w:tcPr>
          <w:p w14:paraId="08F1603F"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-0.57 %</w:t>
            </w:r>
          </w:p>
        </w:tc>
        <w:tc>
          <w:tcPr>
            <w:tcW w:w="935" w:type="dxa"/>
            <w:tcBorders>
              <w:top w:val="single" w:sz="8" w:space="0" w:color="auto"/>
              <w:left w:val="nil"/>
              <w:right w:val="nil"/>
            </w:tcBorders>
            <w:shd w:val="clear" w:color="auto" w:fill="auto"/>
            <w:noWrap/>
            <w:vAlign w:val="center"/>
            <w:hideMark/>
          </w:tcPr>
          <w:p w14:paraId="2F0614B3"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101 %</w:t>
            </w:r>
          </w:p>
        </w:tc>
        <w:tc>
          <w:tcPr>
            <w:tcW w:w="935" w:type="dxa"/>
            <w:tcBorders>
              <w:top w:val="single" w:sz="8" w:space="0" w:color="auto"/>
              <w:left w:val="nil"/>
              <w:right w:val="single" w:sz="8" w:space="0" w:color="auto"/>
            </w:tcBorders>
            <w:shd w:val="clear" w:color="auto" w:fill="auto"/>
            <w:noWrap/>
            <w:vAlign w:val="center"/>
            <w:hideMark/>
          </w:tcPr>
          <w:p w14:paraId="1754D944"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99 %</w:t>
            </w:r>
          </w:p>
        </w:tc>
      </w:tr>
      <w:tr w:rsidR="00C61AE4" w:rsidRPr="00C61AE4" w14:paraId="6A90CDB9" w14:textId="77777777" w:rsidTr="00C61AE4">
        <w:trPr>
          <w:trHeight w:val="255"/>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3857459F"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Class F</w:t>
            </w:r>
          </w:p>
        </w:tc>
        <w:tc>
          <w:tcPr>
            <w:tcW w:w="1144" w:type="dxa"/>
            <w:tcBorders>
              <w:top w:val="nil"/>
              <w:left w:val="nil"/>
              <w:bottom w:val="single" w:sz="4" w:space="0" w:color="auto"/>
              <w:right w:val="nil"/>
            </w:tcBorders>
            <w:shd w:val="clear" w:color="auto" w:fill="auto"/>
            <w:noWrap/>
            <w:vAlign w:val="center"/>
            <w:hideMark/>
          </w:tcPr>
          <w:p w14:paraId="0716B012"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-0.10 %</w:t>
            </w:r>
          </w:p>
        </w:tc>
        <w:tc>
          <w:tcPr>
            <w:tcW w:w="1143" w:type="dxa"/>
            <w:tcBorders>
              <w:top w:val="nil"/>
              <w:left w:val="nil"/>
              <w:bottom w:val="single" w:sz="4" w:space="0" w:color="auto"/>
              <w:right w:val="nil"/>
            </w:tcBorders>
            <w:shd w:val="clear" w:color="auto" w:fill="auto"/>
            <w:noWrap/>
            <w:vAlign w:val="center"/>
            <w:hideMark/>
          </w:tcPr>
          <w:p w14:paraId="0C6D44B6"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-0.71 %</w:t>
            </w:r>
          </w:p>
        </w:tc>
        <w:tc>
          <w:tcPr>
            <w:tcW w:w="1143" w:type="dxa"/>
            <w:tcBorders>
              <w:top w:val="nil"/>
              <w:left w:val="nil"/>
              <w:bottom w:val="single" w:sz="4" w:space="0" w:color="auto"/>
              <w:right w:val="single" w:sz="4" w:space="0" w:color="auto"/>
            </w:tcBorders>
            <w:shd w:val="clear" w:color="auto" w:fill="auto"/>
            <w:noWrap/>
            <w:vAlign w:val="center"/>
            <w:hideMark/>
          </w:tcPr>
          <w:p w14:paraId="56F1A700"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-0.96 %</w:t>
            </w:r>
          </w:p>
        </w:tc>
        <w:tc>
          <w:tcPr>
            <w:tcW w:w="935" w:type="dxa"/>
            <w:tcBorders>
              <w:top w:val="nil"/>
              <w:left w:val="nil"/>
              <w:bottom w:val="single" w:sz="4" w:space="0" w:color="auto"/>
              <w:right w:val="nil"/>
            </w:tcBorders>
            <w:shd w:val="clear" w:color="auto" w:fill="auto"/>
            <w:noWrap/>
            <w:vAlign w:val="center"/>
            <w:hideMark/>
          </w:tcPr>
          <w:p w14:paraId="0FA07D46"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100 %</w:t>
            </w:r>
          </w:p>
        </w:tc>
        <w:tc>
          <w:tcPr>
            <w:tcW w:w="935" w:type="dxa"/>
            <w:tcBorders>
              <w:top w:val="nil"/>
              <w:left w:val="nil"/>
              <w:bottom w:val="single" w:sz="4" w:space="0" w:color="auto"/>
              <w:right w:val="single" w:sz="8" w:space="0" w:color="auto"/>
            </w:tcBorders>
            <w:shd w:val="clear" w:color="auto" w:fill="auto"/>
            <w:noWrap/>
            <w:vAlign w:val="center"/>
            <w:hideMark/>
          </w:tcPr>
          <w:p w14:paraId="1AF2AAD8"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98 %</w:t>
            </w:r>
          </w:p>
        </w:tc>
      </w:tr>
      <w:tr w:rsidR="00C61AE4" w:rsidRPr="00C61AE4" w14:paraId="5927082B" w14:textId="77777777" w:rsidTr="00C61AE4">
        <w:trPr>
          <w:trHeight w:val="255"/>
        </w:trPr>
        <w:tc>
          <w:tcPr>
            <w:tcW w:w="1060" w:type="dxa"/>
            <w:tcBorders>
              <w:top w:val="single" w:sz="4" w:space="0" w:color="auto"/>
              <w:left w:val="nil"/>
              <w:bottom w:val="nil"/>
              <w:right w:val="nil"/>
            </w:tcBorders>
            <w:shd w:val="clear" w:color="auto" w:fill="auto"/>
            <w:noWrap/>
            <w:vAlign w:val="center"/>
            <w:hideMark/>
          </w:tcPr>
          <w:p w14:paraId="3CF7BE66"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144" w:type="dxa"/>
            <w:tcBorders>
              <w:top w:val="single" w:sz="4" w:space="0" w:color="auto"/>
              <w:left w:val="nil"/>
              <w:bottom w:val="nil"/>
              <w:right w:val="nil"/>
            </w:tcBorders>
            <w:shd w:val="clear" w:color="auto" w:fill="auto"/>
            <w:noWrap/>
            <w:vAlign w:val="center"/>
            <w:hideMark/>
          </w:tcPr>
          <w:p w14:paraId="07503662"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143" w:type="dxa"/>
            <w:tcBorders>
              <w:top w:val="single" w:sz="4" w:space="0" w:color="auto"/>
              <w:left w:val="nil"/>
              <w:bottom w:val="nil"/>
              <w:right w:val="nil"/>
            </w:tcBorders>
            <w:shd w:val="clear" w:color="auto" w:fill="auto"/>
            <w:noWrap/>
            <w:vAlign w:val="center"/>
            <w:hideMark/>
          </w:tcPr>
          <w:p w14:paraId="2B431396"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143" w:type="dxa"/>
            <w:tcBorders>
              <w:top w:val="single" w:sz="4" w:space="0" w:color="auto"/>
              <w:left w:val="nil"/>
              <w:bottom w:val="nil"/>
              <w:right w:val="nil"/>
            </w:tcBorders>
            <w:shd w:val="clear" w:color="auto" w:fill="auto"/>
            <w:noWrap/>
            <w:vAlign w:val="center"/>
            <w:hideMark/>
          </w:tcPr>
          <w:p w14:paraId="47532DFE"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935" w:type="dxa"/>
            <w:tcBorders>
              <w:top w:val="single" w:sz="4" w:space="0" w:color="auto"/>
              <w:left w:val="nil"/>
              <w:bottom w:val="nil"/>
              <w:right w:val="nil"/>
            </w:tcBorders>
            <w:shd w:val="clear" w:color="auto" w:fill="auto"/>
            <w:noWrap/>
            <w:vAlign w:val="center"/>
            <w:hideMark/>
          </w:tcPr>
          <w:p w14:paraId="5D185492"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935" w:type="dxa"/>
            <w:tcBorders>
              <w:top w:val="single" w:sz="4" w:space="0" w:color="auto"/>
              <w:left w:val="nil"/>
              <w:bottom w:val="nil"/>
              <w:right w:val="nil"/>
            </w:tcBorders>
            <w:shd w:val="clear" w:color="auto" w:fill="auto"/>
            <w:noWrap/>
            <w:vAlign w:val="center"/>
            <w:hideMark/>
          </w:tcPr>
          <w:p w14:paraId="09714314"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r>
      <w:tr w:rsidR="00C61AE4" w:rsidRPr="00C61AE4" w14:paraId="3DE4480E" w14:textId="77777777" w:rsidTr="00C61AE4">
        <w:trPr>
          <w:trHeight w:val="255"/>
        </w:trPr>
        <w:tc>
          <w:tcPr>
            <w:tcW w:w="1060" w:type="dxa"/>
            <w:tcBorders>
              <w:top w:val="nil"/>
              <w:left w:val="nil"/>
              <w:bottom w:val="nil"/>
              <w:right w:val="nil"/>
            </w:tcBorders>
            <w:shd w:val="clear" w:color="auto" w:fill="auto"/>
            <w:noWrap/>
            <w:vAlign w:val="center"/>
            <w:hideMark/>
          </w:tcPr>
          <w:p w14:paraId="49713269"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A7C95A"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C61AE4">
              <w:rPr>
                <w:rFonts w:ascii="Arial" w:hAnsi="Arial" w:cs="Arial"/>
                <w:b/>
                <w:bCs/>
                <w:color w:val="000000"/>
                <w:sz w:val="18"/>
                <w:szCs w:val="18"/>
                <w:lang w:val="en-FI" w:eastAsia="en-GB"/>
              </w:rPr>
              <w:t>Random Access Main 10</w:t>
            </w:r>
          </w:p>
        </w:tc>
      </w:tr>
      <w:tr w:rsidR="00C61AE4" w:rsidRPr="00C61AE4" w14:paraId="778F98A1" w14:textId="77777777" w:rsidTr="00C61AE4">
        <w:trPr>
          <w:trHeight w:val="255"/>
        </w:trPr>
        <w:tc>
          <w:tcPr>
            <w:tcW w:w="1060" w:type="dxa"/>
            <w:tcBorders>
              <w:top w:val="nil"/>
              <w:left w:val="nil"/>
              <w:bottom w:val="nil"/>
              <w:right w:val="nil"/>
            </w:tcBorders>
            <w:shd w:val="clear" w:color="auto" w:fill="auto"/>
            <w:noWrap/>
            <w:vAlign w:val="center"/>
            <w:hideMark/>
          </w:tcPr>
          <w:p w14:paraId="79AD0A10"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6804DD"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C61AE4">
              <w:rPr>
                <w:rFonts w:ascii="Arial" w:hAnsi="Arial" w:cs="Arial"/>
                <w:b/>
                <w:bCs/>
                <w:color w:val="000000"/>
                <w:sz w:val="18"/>
                <w:szCs w:val="18"/>
                <w:lang w:val="en-FI" w:eastAsia="en-GB"/>
              </w:rPr>
              <w:t>Over ECM-3.0</w:t>
            </w:r>
          </w:p>
        </w:tc>
      </w:tr>
      <w:tr w:rsidR="00C61AE4" w:rsidRPr="00C61AE4" w14:paraId="7732954E" w14:textId="77777777" w:rsidTr="00C61AE4">
        <w:trPr>
          <w:trHeight w:val="255"/>
        </w:trPr>
        <w:tc>
          <w:tcPr>
            <w:tcW w:w="1060" w:type="dxa"/>
            <w:tcBorders>
              <w:top w:val="nil"/>
              <w:left w:val="nil"/>
              <w:bottom w:val="nil"/>
              <w:right w:val="nil"/>
            </w:tcBorders>
            <w:shd w:val="clear" w:color="auto" w:fill="auto"/>
            <w:noWrap/>
            <w:vAlign w:val="center"/>
            <w:hideMark/>
          </w:tcPr>
          <w:p w14:paraId="5ADF4C8D"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4388A500"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Y</w:t>
            </w:r>
          </w:p>
        </w:tc>
        <w:tc>
          <w:tcPr>
            <w:tcW w:w="1143" w:type="dxa"/>
            <w:tcBorders>
              <w:top w:val="nil"/>
              <w:left w:val="nil"/>
              <w:bottom w:val="single" w:sz="8" w:space="0" w:color="auto"/>
              <w:right w:val="nil"/>
            </w:tcBorders>
            <w:shd w:val="clear" w:color="auto" w:fill="auto"/>
            <w:noWrap/>
            <w:vAlign w:val="center"/>
            <w:hideMark/>
          </w:tcPr>
          <w:p w14:paraId="6C2EBA6D"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U</w:t>
            </w:r>
          </w:p>
        </w:tc>
        <w:tc>
          <w:tcPr>
            <w:tcW w:w="1143" w:type="dxa"/>
            <w:tcBorders>
              <w:top w:val="nil"/>
              <w:left w:val="nil"/>
              <w:bottom w:val="single" w:sz="8" w:space="0" w:color="auto"/>
              <w:right w:val="single" w:sz="4" w:space="0" w:color="auto"/>
            </w:tcBorders>
            <w:shd w:val="clear" w:color="auto" w:fill="auto"/>
            <w:noWrap/>
            <w:vAlign w:val="center"/>
            <w:hideMark/>
          </w:tcPr>
          <w:p w14:paraId="57B2E819"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V</w:t>
            </w:r>
          </w:p>
        </w:tc>
        <w:tc>
          <w:tcPr>
            <w:tcW w:w="935" w:type="dxa"/>
            <w:tcBorders>
              <w:top w:val="nil"/>
              <w:left w:val="nil"/>
              <w:bottom w:val="single" w:sz="8" w:space="0" w:color="auto"/>
              <w:right w:val="nil"/>
            </w:tcBorders>
            <w:shd w:val="clear" w:color="auto" w:fill="auto"/>
            <w:noWrap/>
            <w:vAlign w:val="center"/>
            <w:hideMark/>
          </w:tcPr>
          <w:p w14:paraId="057EF4B5"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727E6D43"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DecT</w:t>
            </w:r>
          </w:p>
        </w:tc>
      </w:tr>
      <w:tr w:rsidR="00C61AE4" w:rsidRPr="00C61AE4" w14:paraId="57E8287A" w14:textId="77777777" w:rsidTr="00C61AE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A96B5D0"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Class A1</w:t>
            </w:r>
          </w:p>
        </w:tc>
        <w:tc>
          <w:tcPr>
            <w:tcW w:w="1144" w:type="dxa"/>
            <w:tcBorders>
              <w:top w:val="nil"/>
              <w:left w:val="nil"/>
              <w:bottom w:val="nil"/>
              <w:right w:val="nil"/>
            </w:tcBorders>
            <w:shd w:val="clear" w:color="auto" w:fill="auto"/>
            <w:noWrap/>
            <w:vAlign w:val="center"/>
            <w:hideMark/>
          </w:tcPr>
          <w:p w14:paraId="32C9DCBB"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0.01 %</w:t>
            </w:r>
          </w:p>
        </w:tc>
        <w:tc>
          <w:tcPr>
            <w:tcW w:w="1143" w:type="dxa"/>
            <w:tcBorders>
              <w:top w:val="nil"/>
              <w:left w:val="nil"/>
              <w:bottom w:val="nil"/>
              <w:right w:val="nil"/>
            </w:tcBorders>
            <w:shd w:val="clear" w:color="auto" w:fill="auto"/>
            <w:noWrap/>
            <w:vAlign w:val="center"/>
            <w:hideMark/>
          </w:tcPr>
          <w:p w14:paraId="0525C88E"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-0.65 %</w:t>
            </w:r>
          </w:p>
        </w:tc>
        <w:tc>
          <w:tcPr>
            <w:tcW w:w="1143" w:type="dxa"/>
            <w:tcBorders>
              <w:top w:val="nil"/>
              <w:left w:val="nil"/>
              <w:bottom w:val="nil"/>
              <w:right w:val="single" w:sz="4" w:space="0" w:color="auto"/>
            </w:tcBorders>
            <w:shd w:val="clear" w:color="auto" w:fill="auto"/>
            <w:noWrap/>
            <w:vAlign w:val="center"/>
            <w:hideMark/>
          </w:tcPr>
          <w:p w14:paraId="158BA22A"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-0.81 %</w:t>
            </w:r>
          </w:p>
        </w:tc>
        <w:tc>
          <w:tcPr>
            <w:tcW w:w="935" w:type="dxa"/>
            <w:tcBorders>
              <w:top w:val="nil"/>
              <w:left w:val="nil"/>
              <w:bottom w:val="nil"/>
              <w:right w:val="nil"/>
            </w:tcBorders>
            <w:shd w:val="clear" w:color="auto" w:fill="auto"/>
            <w:noWrap/>
            <w:vAlign w:val="center"/>
            <w:hideMark/>
          </w:tcPr>
          <w:p w14:paraId="28D8F00A"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98 %</w:t>
            </w:r>
          </w:p>
        </w:tc>
        <w:tc>
          <w:tcPr>
            <w:tcW w:w="935" w:type="dxa"/>
            <w:tcBorders>
              <w:top w:val="nil"/>
              <w:left w:val="nil"/>
              <w:bottom w:val="nil"/>
              <w:right w:val="single" w:sz="8" w:space="0" w:color="auto"/>
            </w:tcBorders>
            <w:shd w:val="clear" w:color="auto" w:fill="auto"/>
            <w:noWrap/>
            <w:vAlign w:val="center"/>
            <w:hideMark/>
          </w:tcPr>
          <w:p w14:paraId="257D6DC0"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100 %</w:t>
            </w:r>
          </w:p>
        </w:tc>
      </w:tr>
      <w:tr w:rsidR="00C61AE4" w:rsidRPr="00C61AE4" w14:paraId="23055742" w14:textId="77777777" w:rsidTr="00C61A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065C656"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Class A2</w:t>
            </w:r>
          </w:p>
        </w:tc>
        <w:tc>
          <w:tcPr>
            <w:tcW w:w="1144" w:type="dxa"/>
            <w:tcBorders>
              <w:top w:val="nil"/>
              <w:left w:val="nil"/>
              <w:bottom w:val="nil"/>
              <w:right w:val="nil"/>
            </w:tcBorders>
            <w:shd w:val="clear" w:color="auto" w:fill="auto"/>
            <w:noWrap/>
            <w:vAlign w:val="center"/>
            <w:hideMark/>
          </w:tcPr>
          <w:p w14:paraId="5B7687F0"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-0.02 %</w:t>
            </w:r>
          </w:p>
        </w:tc>
        <w:tc>
          <w:tcPr>
            <w:tcW w:w="1143" w:type="dxa"/>
            <w:tcBorders>
              <w:top w:val="nil"/>
              <w:left w:val="nil"/>
              <w:bottom w:val="nil"/>
              <w:right w:val="nil"/>
            </w:tcBorders>
            <w:shd w:val="clear" w:color="auto" w:fill="auto"/>
            <w:noWrap/>
            <w:vAlign w:val="center"/>
            <w:hideMark/>
          </w:tcPr>
          <w:p w14:paraId="6D49F2F4"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-0.34 %</w:t>
            </w:r>
          </w:p>
        </w:tc>
        <w:tc>
          <w:tcPr>
            <w:tcW w:w="1143" w:type="dxa"/>
            <w:tcBorders>
              <w:top w:val="nil"/>
              <w:left w:val="nil"/>
              <w:bottom w:val="nil"/>
              <w:right w:val="single" w:sz="4" w:space="0" w:color="auto"/>
            </w:tcBorders>
            <w:shd w:val="clear" w:color="auto" w:fill="auto"/>
            <w:noWrap/>
            <w:vAlign w:val="center"/>
            <w:hideMark/>
          </w:tcPr>
          <w:p w14:paraId="48FA7107"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-0.09 %</w:t>
            </w:r>
          </w:p>
        </w:tc>
        <w:tc>
          <w:tcPr>
            <w:tcW w:w="935" w:type="dxa"/>
            <w:tcBorders>
              <w:top w:val="nil"/>
              <w:left w:val="nil"/>
              <w:bottom w:val="nil"/>
              <w:right w:val="nil"/>
            </w:tcBorders>
            <w:shd w:val="clear" w:color="auto" w:fill="auto"/>
            <w:noWrap/>
            <w:vAlign w:val="center"/>
            <w:hideMark/>
          </w:tcPr>
          <w:p w14:paraId="4ACEF315"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97 %</w:t>
            </w:r>
          </w:p>
        </w:tc>
        <w:tc>
          <w:tcPr>
            <w:tcW w:w="935" w:type="dxa"/>
            <w:tcBorders>
              <w:top w:val="nil"/>
              <w:left w:val="nil"/>
              <w:bottom w:val="nil"/>
              <w:right w:val="single" w:sz="8" w:space="0" w:color="auto"/>
            </w:tcBorders>
            <w:shd w:val="clear" w:color="auto" w:fill="auto"/>
            <w:noWrap/>
            <w:vAlign w:val="center"/>
            <w:hideMark/>
          </w:tcPr>
          <w:p w14:paraId="005048CB"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101 %</w:t>
            </w:r>
          </w:p>
        </w:tc>
      </w:tr>
      <w:tr w:rsidR="00C61AE4" w:rsidRPr="00C61AE4" w14:paraId="23A657AA" w14:textId="77777777" w:rsidTr="00C61A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EF14BB5"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Class B</w:t>
            </w:r>
          </w:p>
        </w:tc>
        <w:tc>
          <w:tcPr>
            <w:tcW w:w="1144" w:type="dxa"/>
            <w:tcBorders>
              <w:top w:val="nil"/>
              <w:left w:val="nil"/>
              <w:bottom w:val="nil"/>
              <w:right w:val="nil"/>
            </w:tcBorders>
            <w:shd w:val="clear" w:color="auto" w:fill="auto"/>
            <w:noWrap/>
            <w:vAlign w:val="center"/>
            <w:hideMark/>
          </w:tcPr>
          <w:p w14:paraId="29F2209E"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0.01 %</w:t>
            </w:r>
          </w:p>
        </w:tc>
        <w:tc>
          <w:tcPr>
            <w:tcW w:w="1143" w:type="dxa"/>
            <w:tcBorders>
              <w:top w:val="nil"/>
              <w:left w:val="nil"/>
              <w:bottom w:val="nil"/>
              <w:right w:val="nil"/>
            </w:tcBorders>
            <w:shd w:val="clear" w:color="auto" w:fill="auto"/>
            <w:noWrap/>
            <w:vAlign w:val="center"/>
            <w:hideMark/>
          </w:tcPr>
          <w:p w14:paraId="48DA1A46"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-0.66 %</w:t>
            </w:r>
          </w:p>
        </w:tc>
        <w:tc>
          <w:tcPr>
            <w:tcW w:w="1143" w:type="dxa"/>
            <w:tcBorders>
              <w:top w:val="nil"/>
              <w:left w:val="nil"/>
              <w:bottom w:val="nil"/>
              <w:right w:val="single" w:sz="4" w:space="0" w:color="auto"/>
            </w:tcBorders>
            <w:shd w:val="clear" w:color="auto" w:fill="auto"/>
            <w:noWrap/>
            <w:vAlign w:val="center"/>
            <w:hideMark/>
          </w:tcPr>
          <w:p w14:paraId="722ED734"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-0.75 %</w:t>
            </w:r>
          </w:p>
        </w:tc>
        <w:tc>
          <w:tcPr>
            <w:tcW w:w="935" w:type="dxa"/>
            <w:tcBorders>
              <w:top w:val="nil"/>
              <w:left w:val="nil"/>
              <w:bottom w:val="nil"/>
              <w:right w:val="nil"/>
            </w:tcBorders>
            <w:shd w:val="clear" w:color="auto" w:fill="auto"/>
            <w:noWrap/>
            <w:vAlign w:val="center"/>
            <w:hideMark/>
          </w:tcPr>
          <w:p w14:paraId="0A02D5B0"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99 %</w:t>
            </w:r>
          </w:p>
        </w:tc>
        <w:tc>
          <w:tcPr>
            <w:tcW w:w="935" w:type="dxa"/>
            <w:tcBorders>
              <w:top w:val="nil"/>
              <w:left w:val="nil"/>
              <w:bottom w:val="nil"/>
              <w:right w:val="single" w:sz="8" w:space="0" w:color="auto"/>
            </w:tcBorders>
            <w:shd w:val="clear" w:color="auto" w:fill="auto"/>
            <w:noWrap/>
            <w:vAlign w:val="center"/>
            <w:hideMark/>
          </w:tcPr>
          <w:p w14:paraId="29CC74B7"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100 %</w:t>
            </w:r>
          </w:p>
        </w:tc>
      </w:tr>
      <w:tr w:rsidR="00C61AE4" w:rsidRPr="00C61AE4" w14:paraId="6A270247" w14:textId="77777777" w:rsidTr="00C61A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F7DDDAA"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Class C</w:t>
            </w:r>
          </w:p>
        </w:tc>
        <w:tc>
          <w:tcPr>
            <w:tcW w:w="1144" w:type="dxa"/>
            <w:tcBorders>
              <w:top w:val="nil"/>
              <w:left w:val="nil"/>
              <w:bottom w:val="nil"/>
              <w:right w:val="nil"/>
            </w:tcBorders>
            <w:shd w:val="clear" w:color="auto" w:fill="auto"/>
            <w:noWrap/>
            <w:vAlign w:val="center"/>
            <w:hideMark/>
          </w:tcPr>
          <w:p w14:paraId="5AAD927B"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-0.02 %</w:t>
            </w:r>
          </w:p>
        </w:tc>
        <w:tc>
          <w:tcPr>
            <w:tcW w:w="1143" w:type="dxa"/>
            <w:tcBorders>
              <w:top w:val="nil"/>
              <w:left w:val="nil"/>
              <w:bottom w:val="nil"/>
              <w:right w:val="nil"/>
            </w:tcBorders>
            <w:shd w:val="clear" w:color="auto" w:fill="auto"/>
            <w:noWrap/>
            <w:vAlign w:val="center"/>
            <w:hideMark/>
          </w:tcPr>
          <w:p w14:paraId="4FD95CB6"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-0.09 %</w:t>
            </w:r>
          </w:p>
        </w:tc>
        <w:tc>
          <w:tcPr>
            <w:tcW w:w="1143" w:type="dxa"/>
            <w:tcBorders>
              <w:top w:val="nil"/>
              <w:left w:val="nil"/>
              <w:bottom w:val="nil"/>
              <w:right w:val="single" w:sz="4" w:space="0" w:color="auto"/>
            </w:tcBorders>
            <w:shd w:val="clear" w:color="auto" w:fill="auto"/>
            <w:noWrap/>
            <w:vAlign w:val="center"/>
            <w:hideMark/>
          </w:tcPr>
          <w:p w14:paraId="60C69EC3"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-0.18 %</w:t>
            </w:r>
          </w:p>
        </w:tc>
        <w:tc>
          <w:tcPr>
            <w:tcW w:w="935" w:type="dxa"/>
            <w:tcBorders>
              <w:top w:val="nil"/>
              <w:left w:val="nil"/>
              <w:bottom w:val="nil"/>
              <w:right w:val="nil"/>
            </w:tcBorders>
            <w:shd w:val="clear" w:color="auto" w:fill="auto"/>
            <w:noWrap/>
            <w:vAlign w:val="center"/>
            <w:hideMark/>
          </w:tcPr>
          <w:p w14:paraId="3EC58737"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98 %</w:t>
            </w:r>
          </w:p>
        </w:tc>
        <w:tc>
          <w:tcPr>
            <w:tcW w:w="935" w:type="dxa"/>
            <w:tcBorders>
              <w:top w:val="nil"/>
              <w:left w:val="nil"/>
              <w:bottom w:val="nil"/>
              <w:right w:val="single" w:sz="8" w:space="0" w:color="auto"/>
            </w:tcBorders>
            <w:shd w:val="clear" w:color="auto" w:fill="auto"/>
            <w:noWrap/>
            <w:vAlign w:val="center"/>
            <w:hideMark/>
          </w:tcPr>
          <w:p w14:paraId="3AE123CB"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100 %</w:t>
            </w:r>
          </w:p>
        </w:tc>
      </w:tr>
      <w:tr w:rsidR="00C61AE4" w:rsidRPr="00C61AE4" w14:paraId="375D5D63" w14:textId="77777777" w:rsidTr="00C61A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58F4E55"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Class E</w:t>
            </w:r>
          </w:p>
        </w:tc>
        <w:tc>
          <w:tcPr>
            <w:tcW w:w="1144" w:type="dxa"/>
            <w:tcBorders>
              <w:top w:val="nil"/>
              <w:left w:val="nil"/>
              <w:bottom w:val="nil"/>
              <w:right w:val="nil"/>
            </w:tcBorders>
            <w:shd w:val="clear" w:color="auto" w:fill="auto"/>
            <w:noWrap/>
            <w:vAlign w:val="center"/>
            <w:hideMark/>
          </w:tcPr>
          <w:p w14:paraId="15BD0C57"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 </w:t>
            </w:r>
          </w:p>
        </w:tc>
        <w:tc>
          <w:tcPr>
            <w:tcW w:w="1143" w:type="dxa"/>
            <w:tcBorders>
              <w:top w:val="nil"/>
              <w:left w:val="nil"/>
              <w:bottom w:val="nil"/>
              <w:right w:val="nil"/>
            </w:tcBorders>
            <w:shd w:val="clear" w:color="auto" w:fill="auto"/>
            <w:noWrap/>
            <w:vAlign w:val="center"/>
            <w:hideMark/>
          </w:tcPr>
          <w:p w14:paraId="108F2A05"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143" w:type="dxa"/>
            <w:tcBorders>
              <w:top w:val="nil"/>
              <w:left w:val="nil"/>
              <w:bottom w:val="nil"/>
              <w:right w:val="single" w:sz="4" w:space="0" w:color="auto"/>
            </w:tcBorders>
            <w:shd w:val="clear" w:color="auto" w:fill="auto"/>
            <w:noWrap/>
            <w:vAlign w:val="center"/>
            <w:hideMark/>
          </w:tcPr>
          <w:p w14:paraId="5F4BAF12"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 </w:t>
            </w:r>
          </w:p>
        </w:tc>
        <w:tc>
          <w:tcPr>
            <w:tcW w:w="935" w:type="dxa"/>
            <w:tcBorders>
              <w:top w:val="nil"/>
              <w:left w:val="nil"/>
              <w:bottom w:val="nil"/>
              <w:right w:val="nil"/>
            </w:tcBorders>
            <w:shd w:val="clear" w:color="auto" w:fill="auto"/>
            <w:noWrap/>
            <w:vAlign w:val="center"/>
            <w:hideMark/>
          </w:tcPr>
          <w:p w14:paraId="75883AA6"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 </w:t>
            </w:r>
          </w:p>
        </w:tc>
        <w:tc>
          <w:tcPr>
            <w:tcW w:w="935" w:type="dxa"/>
            <w:tcBorders>
              <w:top w:val="nil"/>
              <w:left w:val="nil"/>
              <w:bottom w:val="nil"/>
              <w:right w:val="single" w:sz="8" w:space="0" w:color="auto"/>
            </w:tcBorders>
            <w:shd w:val="clear" w:color="auto" w:fill="auto"/>
            <w:noWrap/>
            <w:vAlign w:val="center"/>
            <w:hideMark/>
          </w:tcPr>
          <w:p w14:paraId="063EEED7"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 </w:t>
            </w:r>
          </w:p>
        </w:tc>
      </w:tr>
      <w:tr w:rsidR="00C61AE4" w:rsidRPr="00C61AE4" w14:paraId="71C855EF" w14:textId="77777777" w:rsidTr="00C61AE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3D46A0C"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C61AE4">
              <w:rPr>
                <w:rFonts w:ascii="Arial" w:hAnsi="Arial" w:cs="Arial"/>
                <w:b/>
                <w:bCs/>
                <w:color w:val="000000"/>
                <w:sz w:val="18"/>
                <w:szCs w:val="18"/>
                <w:lang w:val="en-FI" w:eastAsia="en-GB"/>
              </w:rPr>
              <w:t>Overall</w:t>
            </w:r>
          </w:p>
        </w:tc>
        <w:tc>
          <w:tcPr>
            <w:tcW w:w="1144" w:type="dxa"/>
            <w:tcBorders>
              <w:top w:val="single" w:sz="8" w:space="0" w:color="auto"/>
              <w:left w:val="nil"/>
              <w:bottom w:val="nil"/>
              <w:right w:val="nil"/>
            </w:tcBorders>
            <w:shd w:val="clear" w:color="auto" w:fill="auto"/>
            <w:noWrap/>
            <w:vAlign w:val="center"/>
            <w:hideMark/>
          </w:tcPr>
          <w:p w14:paraId="56F501FC"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-0.01 %</w:t>
            </w:r>
          </w:p>
        </w:tc>
        <w:tc>
          <w:tcPr>
            <w:tcW w:w="1143" w:type="dxa"/>
            <w:tcBorders>
              <w:top w:val="single" w:sz="8" w:space="0" w:color="auto"/>
              <w:left w:val="nil"/>
              <w:bottom w:val="nil"/>
              <w:right w:val="nil"/>
            </w:tcBorders>
            <w:shd w:val="clear" w:color="auto" w:fill="auto"/>
            <w:noWrap/>
            <w:vAlign w:val="center"/>
            <w:hideMark/>
          </w:tcPr>
          <w:p w14:paraId="105A0029"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-0.44 %</w:t>
            </w:r>
          </w:p>
        </w:tc>
        <w:tc>
          <w:tcPr>
            <w:tcW w:w="1143" w:type="dxa"/>
            <w:tcBorders>
              <w:top w:val="single" w:sz="8" w:space="0" w:color="auto"/>
              <w:left w:val="nil"/>
              <w:bottom w:val="nil"/>
              <w:right w:val="single" w:sz="4" w:space="0" w:color="auto"/>
            </w:tcBorders>
            <w:shd w:val="clear" w:color="auto" w:fill="auto"/>
            <w:noWrap/>
            <w:vAlign w:val="center"/>
            <w:hideMark/>
          </w:tcPr>
          <w:p w14:paraId="67C4CFAD"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-0.48 %</w:t>
            </w:r>
          </w:p>
        </w:tc>
        <w:tc>
          <w:tcPr>
            <w:tcW w:w="935" w:type="dxa"/>
            <w:tcBorders>
              <w:top w:val="single" w:sz="8" w:space="0" w:color="auto"/>
              <w:left w:val="nil"/>
              <w:bottom w:val="nil"/>
              <w:right w:val="nil"/>
            </w:tcBorders>
            <w:shd w:val="clear" w:color="auto" w:fill="auto"/>
            <w:noWrap/>
            <w:vAlign w:val="center"/>
            <w:hideMark/>
          </w:tcPr>
          <w:p w14:paraId="04601530"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98 %</w:t>
            </w:r>
          </w:p>
        </w:tc>
        <w:tc>
          <w:tcPr>
            <w:tcW w:w="935" w:type="dxa"/>
            <w:tcBorders>
              <w:top w:val="single" w:sz="8" w:space="0" w:color="auto"/>
              <w:left w:val="nil"/>
              <w:bottom w:val="nil"/>
              <w:right w:val="single" w:sz="8" w:space="0" w:color="auto"/>
            </w:tcBorders>
            <w:shd w:val="clear" w:color="auto" w:fill="auto"/>
            <w:noWrap/>
            <w:vAlign w:val="center"/>
            <w:hideMark/>
          </w:tcPr>
          <w:p w14:paraId="75199725"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100 %</w:t>
            </w:r>
          </w:p>
        </w:tc>
      </w:tr>
      <w:tr w:rsidR="00C61AE4" w:rsidRPr="00C61AE4" w14:paraId="2C4C2512" w14:textId="77777777" w:rsidTr="00C61AE4">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2D959674"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Class D</w:t>
            </w:r>
          </w:p>
        </w:tc>
        <w:tc>
          <w:tcPr>
            <w:tcW w:w="1144" w:type="dxa"/>
            <w:tcBorders>
              <w:top w:val="single" w:sz="8" w:space="0" w:color="auto"/>
              <w:left w:val="nil"/>
              <w:right w:val="nil"/>
            </w:tcBorders>
            <w:shd w:val="clear" w:color="auto" w:fill="auto"/>
            <w:noWrap/>
            <w:vAlign w:val="center"/>
            <w:hideMark/>
          </w:tcPr>
          <w:p w14:paraId="5EB9B7E1"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0.04 %</w:t>
            </w:r>
          </w:p>
        </w:tc>
        <w:tc>
          <w:tcPr>
            <w:tcW w:w="1143" w:type="dxa"/>
            <w:tcBorders>
              <w:top w:val="single" w:sz="8" w:space="0" w:color="auto"/>
              <w:left w:val="nil"/>
              <w:right w:val="nil"/>
            </w:tcBorders>
            <w:shd w:val="clear" w:color="auto" w:fill="auto"/>
            <w:noWrap/>
            <w:vAlign w:val="center"/>
            <w:hideMark/>
          </w:tcPr>
          <w:p w14:paraId="15D0277B"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-0.30 %</w:t>
            </w:r>
          </w:p>
        </w:tc>
        <w:tc>
          <w:tcPr>
            <w:tcW w:w="1143" w:type="dxa"/>
            <w:tcBorders>
              <w:top w:val="single" w:sz="8" w:space="0" w:color="auto"/>
              <w:left w:val="nil"/>
              <w:right w:val="single" w:sz="4" w:space="0" w:color="auto"/>
            </w:tcBorders>
            <w:shd w:val="clear" w:color="auto" w:fill="auto"/>
            <w:noWrap/>
            <w:vAlign w:val="center"/>
            <w:hideMark/>
          </w:tcPr>
          <w:p w14:paraId="6D874D02"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-0.13 %</w:t>
            </w:r>
          </w:p>
        </w:tc>
        <w:tc>
          <w:tcPr>
            <w:tcW w:w="935" w:type="dxa"/>
            <w:tcBorders>
              <w:top w:val="single" w:sz="8" w:space="0" w:color="auto"/>
              <w:left w:val="nil"/>
              <w:right w:val="nil"/>
            </w:tcBorders>
            <w:shd w:val="clear" w:color="auto" w:fill="auto"/>
            <w:noWrap/>
            <w:vAlign w:val="center"/>
            <w:hideMark/>
          </w:tcPr>
          <w:p w14:paraId="7AA22FD2"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99 %</w:t>
            </w:r>
          </w:p>
        </w:tc>
        <w:tc>
          <w:tcPr>
            <w:tcW w:w="935" w:type="dxa"/>
            <w:tcBorders>
              <w:top w:val="single" w:sz="8" w:space="0" w:color="auto"/>
              <w:left w:val="nil"/>
              <w:right w:val="single" w:sz="8" w:space="0" w:color="auto"/>
            </w:tcBorders>
            <w:shd w:val="clear" w:color="auto" w:fill="auto"/>
            <w:noWrap/>
            <w:vAlign w:val="center"/>
            <w:hideMark/>
          </w:tcPr>
          <w:p w14:paraId="3B119349"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100 %</w:t>
            </w:r>
          </w:p>
        </w:tc>
      </w:tr>
      <w:tr w:rsidR="00C61AE4" w:rsidRPr="00C61AE4" w14:paraId="4C9CFD7F" w14:textId="77777777" w:rsidTr="00C61AE4">
        <w:trPr>
          <w:trHeight w:val="255"/>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0036FD4F"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Class F</w:t>
            </w:r>
          </w:p>
        </w:tc>
        <w:tc>
          <w:tcPr>
            <w:tcW w:w="1144" w:type="dxa"/>
            <w:tcBorders>
              <w:top w:val="nil"/>
              <w:left w:val="nil"/>
              <w:bottom w:val="single" w:sz="4" w:space="0" w:color="auto"/>
              <w:right w:val="nil"/>
            </w:tcBorders>
            <w:shd w:val="clear" w:color="auto" w:fill="auto"/>
            <w:noWrap/>
            <w:vAlign w:val="center"/>
            <w:hideMark/>
          </w:tcPr>
          <w:p w14:paraId="58A0640A"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-0.01 %</w:t>
            </w:r>
          </w:p>
        </w:tc>
        <w:tc>
          <w:tcPr>
            <w:tcW w:w="1143" w:type="dxa"/>
            <w:tcBorders>
              <w:top w:val="nil"/>
              <w:left w:val="nil"/>
              <w:bottom w:val="single" w:sz="4" w:space="0" w:color="auto"/>
              <w:right w:val="nil"/>
            </w:tcBorders>
            <w:shd w:val="clear" w:color="auto" w:fill="auto"/>
            <w:noWrap/>
            <w:vAlign w:val="center"/>
            <w:hideMark/>
          </w:tcPr>
          <w:p w14:paraId="1C2AB126"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-0.30 %</w:t>
            </w:r>
          </w:p>
        </w:tc>
        <w:tc>
          <w:tcPr>
            <w:tcW w:w="1143" w:type="dxa"/>
            <w:tcBorders>
              <w:top w:val="nil"/>
              <w:left w:val="nil"/>
              <w:bottom w:val="single" w:sz="4" w:space="0" w:color="auto"/>
              <w:right w:val="single" w:sz="4" w:space="0" w:color="auto"/>
            </w:tcBorders>
            <w:shd w:val="clear" w:color="auto" w:fill="auto"/>
            <w:noWrap/>
            <w:vAlign w:val="center"/>
            <w:hideMark/>
          </w:tcPr>
          <w:p w14:paraId="2CDAB4AE"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-0.52 %</w:t>
            </w:r>
          </w:p>
        </w:tc>
        <w:tc>
          <w:tcPr>
            <w:tcW w:w="935" w:type="dxa"/>
            <w:tcBorders>
              <w:top w:val="nil"/>
              <w:left w:val="nil"/>
              <w:bottom w:val="single" w:sz="4" w:space="0" w:color="auto"/>
              <w:right w:val="nil"/>
            </w:tcBorders>
            <w:shd w:val="clear" w:color="auto" w:fill="auto"/>
            <w:noWrap/>
            <w:vAlign w:val="center"/>
            <w:hideMark/>
          </w:tcPr>
          <w:p w14:paraId="5D5241B0"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99 %</w:t>
            </w:r>
          </w:p>
        </w:tc>
        <w:tc>
          <w:tcPr>
            <w:tcW w:w="935" w:type="dxa"/>
            <w:tcBorders>
              <w:top w:val="nil"/>
              <w:left w:val="nil"/>
              <w:bottom w:val="single" w:sz="4" w:space="0" w:color="auto"/>
              <w:right w:val="single" w:sz="8" w:space="0" w:color="auto"/>
            </w:tcBorders>
            <w:shd w:val="clear" w:color="auto" w:fill="auto"/>
            <w:noWrap/>
            <w:vAlign w:val="center"/>
            <w:hideMark/>
          </w:tcPr>
          <w:p w14:paraId="37AEEBE8" w14:textId="77777777" w:rsidR="00C61AE4" w:rsidRPr="00C61AE4" w:rsidRDefault="00C61AE4" w:rsidP="00C61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C61AE4">
              <w:rPr>
                <w:rFonts w:ascii="Arial" w:hAnsi="Arial" w:cs="Arial"/>
                <w:color w:val="000000"/>
                <w:sz w:val="18"/>
                <w:szCs w:val="18"/>
                <w:lang w:val="en-FI" w:eastAsia="en-GB"/>
              </w:rPr>
              <w:t>99 %</w:t>
            </w:r>
          </w:p>
        </w:tc>
      </w:tr>
    </w:tbl>
    <w:p w14:paraId="78E7BD5C" w14:textId="77777777" w:rsidR="00C61AE4" w:rsidRDefault="00C61AE4" w:rsidP="00852F4E"/>
    <w:p w14:paraId="619D1748" w14:textId="12367F92" w:rsidR="004D06CE" w:rsidRDefault="00277545" w:rsidP="00852F4E">
      <w:r>
        <w:t xml:space="preserve">Full simulation results are provided in the attached Excel sheet. </w:t>
      </w:r>
    </w:p>
    <w:p w14:paraId="4FC8B09F" w14:textId="77777777" w:rsidR="004D06CE" w:rsidRDefault="004D06CE" w:rsidP="00852F4E"/>
    <w:p w14:paraId="0FDBDBD3" w14:textId="4B302CE1" w:rsidR="00277545" w:rsidRDefault="004D06CE" w:rsidP="00277545">
      <w:pPr>
        <w:pStyle w:val="Heading1"/>
      </w:pPr>
      <w:r>
        <w:t>Requested action</w:t>
      </w:r>
    </w:p>
    <w:p w14:paraId="3CB4C9A7" w14:textId="76D71E85" w:rsidR="004D06CE" w:rsidRDefault="00277545" w:rsidP="007746A7">
      <w:r>
        <w:t>It is proposed to include the proposed technique to the next round of Exploration Experiments on e</w:t>
      </w:r>
      <w:r w:rsidRPr="00277545">
        <w:t>nhanced compression beyond VVC capability</w:t>
      </w:r>
      <w:r>
        <w:t>.</w:t>
      </w:r>
    </w:p>
    <w:p w14:paraId="08170994" w14:textId="77777777" w:rsidR="004D06CE" w:rsidRDefault="004D06CE" w:rsidP="007746A7"/>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9332DB5" w:rsidR="007F1F8B" w:rsidRPr="005B217D" w:rsidRDefault="00A725D8"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8B995" w14:textId="77777777" w:rsidR="00AA4083" w:rsidRDefault="00AA4083">
      <w:r>
        <w:separator/>
      </w:r>
    </w:p>
  </w:endnote>
  <w:endnote w:type="continuationSeparator" w:id="0">
    <w:p w14:paraId="0D644A51" w14:textId="77777777" w:rsidR="00AA4083" w:rsidRDefault="00AA4083">
      <w:r>
        <w:continuationSeparator/>
      </w:r>
    </w:p>
  </w:endnote>
  <w:endnote w:type="continuationNotice" w:id="1">
    <w:p w14:paraId="69DA4ABF" w14:textId="77777777" w:rsidR="00AA4083" w:rsidRDefault="00AA408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6AAAFF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F12AF">
      <w:rPr>
        <w:rStyle w:val="PageNumber"/>
        <w:noProof/>
      </w:rPr>
      <w:t>2022-01-04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A60A0" w14:textId="77777777" w:rsidR="00AA4083" w:rsidRDefault="00AA4083">
      <w:r>
        <w:separator/>
      </w:r>
    </w:p>
  </w:footnote>
  <w:footnote w:type="continuationSeparator" w:id="0">
    <w:p w14:paraId="02E24C42" w14:textId="77777777" w:rsidR="00AA4083" w:rsidRDefault="00AA4083">
      <w:r>
        <w:continuationSeparator/>
      </w:r>
    </w:p>
  </w:footnote>
  <w:footnote w:type="continuationNotice" w:id="1">
    <w:p w14:paraId="54FFCC67" w14:textId="77777777" w:rsidR="00AA4083" w:rsidRDefault="00AA408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720" w:hanging="36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9AE2242"/>
    <w:multiLevelType w:val="hybridMultilevel"/>
    <w:tmpl w:val="026C4828"/>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2B7F"/>
    <w:rsid w:val="000B4142"/>
    <w:rsid w:val="000B4FF9"/>
    <w:rsid w:val="000C09AC"/>
    <w:rsid w:val="000C2BAA"/>
    <w:rsid w:val="000E00F3"/>
    <w:rsid w:val="000F0025"/>
    <w:rsid w:val="000F158C"/>
    <w:rsid w:val="00102F3D"/>
    <w:rsid w:val="001126AA"/>
    <w:rsid w:val="00124E38"/>
    <w:rsid w:val="0012580B"/>
    <w:rsid w:val="00131F90"/>
    <w:rsid w:val="0013458C"/>
    <w:rsid w:val="0013526E"/>
    <w:rsid w:val="00146152"/>
    <w:rsid w:val="00155526"/>
    <w:rsid w:val="00155538"/>
    <w:rsid w:val="00171371"/>
    <w:rsid w:val="00175A24"/>
    <w:rsid w:val="00187E58"/>
    <w:rsid w:val="001A297E"/>
    <w:rsid w:val="001A368E"/>
    <w:rsid w:val="001A7329"/>
    <w:rsid w:val="001A792F"/>
    <w:rsid w:val="001B4E28"/>
    <w:rsid w:val="001C3525"/>
    <w:rsid w:val="001C3AFB"/>
    <w:rsid w:val="001C5EED"/>
    <w:rsid w:val="001D07F0"/>
    <w:rsid w:val="001D1BD2"/>
    <w:rsid w:val="001E0248"/>
    <w:rsid w:val="001E02BE"/>
    <w:rsid w:val="001E0CD5"/>
    <w:rsid w:val="001E3B37"/>
    <w:rsid w:val="001F2594"/>
    <w:rsid w:val="001F4D7A"/>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19BE"/>
    <w:rsid w:val="00263398"/>
    <w:rsid w:val="00263B99"/>
    <w:rsid w:val="002647D8"/>
    <w:rsid w:val="00266F06"/>
    <w:rsid w:val="0027032B"/>
    <w:rsid w:val="00272C27"/>
    <w:rsid w:val="00275BCF"/>
    <w:rsid w:val="00277545"/>
    <w:rsid w:val="00280613"/>
    <w:rsid w:val="00291E36"/>
    <w:rsid w:val="00292257"/>
    <w:rsid w:val="002A54E0"/>
    <w:rsid w:val="002B1595"/>
    <w:rsid w:val="002B191D"/>
    <w:rsid w:val="002B2E83"/>
    <w:rsid w:val="002B71A1"/>
    <w:rsid w:val="002B756C"/>
    <w:rsid w:val="002D0AF6"/>
    <w:rsid w:val="002D3096"/>
    <w:rsid w:val="002D424D"/>
    <w:rsid w:val="002F164D"/>
    <w:rsid w:val="003021BC"/>
    <w:rsid w:val="00306206"/>
    <w:rsid w:val="00317D85"/>
    <w:rsid w:val="00322009"/>
    <w:rsid w:val="00327C56"/>
    <w:rsid w:val="003315A1"/>
    <w:rsid w:val="003373EC"/>
    <w:rsid w:val="00342FF4"/>
    <w:rsid w:val="00344E5A"/>
    <w:rsid w:val="00346148"/>
    <w:rsid w:val="003669EA"/>
    <w:rsid w:val="003706CC"/>
    <w:rsid w:val="00377710"/>
    <w:rsid w:val="003A281C"/>
    <w:rsid w:val="003A2D8E"/>
    <w:rsid w:val="003A7CE6"/>
    <w:rsid w:val="003C0EFB"/>
    <w:rsid w:val="003C20E4"/>
    <w:rsid w:val="003D4D02"/>
    <w:rsid w:val="003D6342"/>
    <w:rsid w:val="003E5F6B"/>
    <w:rsid w:val="003E6F90"/>
    <w:rsid w:val="003E73ED"/>
    <w:rsid w:val="003F5D0F"/>
    <w:rsid w:val="00414101"/>
    <w:rsid w:val="004219CF"/>
    <w:rsid w:val="004234F0"/>
    <w:rsid w:val="00427EEC"/>
    <w:rsid w:val="00433DDB"/>
    <w:rsid w:val="00435A29"/>
    <w:rsid w:val="00437619"/>
    <w:rsid w:val="00437D3A"/>
    <w:rsid w:val="004444E3"/>
    <w:rsid w:val="00456CE0"/>
    <w:rsid w:val="00465A1E"/>
    <w:rsid w:val="0049445A"/>
    <w:rsid w:val="004957D9"/>
    <w:rsid w:val="004A2A63"/>
    <w:rsid w:val="004B210C"/>
    <w:rsid w:val="004B6170"/>
    <w:rsid w:val="004D06CE"/>
    <w:rsid w:val="004D405F"/>
    <w:rsid w:val="004E4F4F"/>
    <w:rsid w:val="004E6789"/>
    <w:rsid w:val="004F2352"/>
    <w:rsid w:val="004F61E3"/>
    <w:rsid w:val="00502E10"/>
    <w:rsid w:val="0050354E"/>
    <w:rsid w:val="0051015C"/>
    <w:rsid w:val="00516CF1"/>
    <w:rsid w:val="0053165C"/>
    <w:rsid w:val="00531AE9"/>
    <w:rsid w:val="005345EA"/>
    <w:rsid w:val="00536188"/>
    <w:rsid w:val="00550A66"/>
    <w:rsid w:val="00551B24"/>
    <w:rsid w:val="00567EC7"/>
    <w:rsid w:val="00570013"/>
    <w:rsid w:val="005753EC"/>
    <w:rsid w:val="005801A2"/>
    <w:rsid w:val="005952A5"/>
    <w:rsid w:val="005A33A1"/>
    <w:rsid w:val="005B217D"/>
    <w:rsid w:val="005B7DA2"/>
    <w:rsid w:val="005C138E"/>
    <w:rsid w:val="005C385F"/>
    <w:rsid w:val="005C7C26"/>
    <w:rsid w:val="005E1AC6"/>
    <w:rsid w:val="005E3F2B"/>
    <w:rsid w:val="005F6F1B"/>
    <w:rsid w:val="00615995"/>
    <w:rsid w:val="00616155"/>
    <w:rsid w:val="00624B33"/>
    <w:rsid w:val="0063041A"/>
    <w:rsid w:val="00630AA2"/>
    <w:rsid w:val="00631D8B"/>
    <w:rsid w:val="00646486"/>
    <w:rsid w:val="00646707"/>
    <w:rsid w:val="00657F7E"/>
    <w:rsid w:val="00662E58"/>
    <w:rsid w:val="006637F2"/>
    <w:rsid w:val="006642A5"/>
    <w:rsid w:val="00664DCF"/>
    <w:rsid w:val="0068253F"/>
    <w:rsid w:val="006A0E5C"/>
    <w:rsid w:val="006A48E6"/>
    <w:rsid w:val="006C5D39"/>
    <w:rsid w:val="006D6D9B"/>
    <w:rsid w:val="006D74DF"/>
    <w:rsid w:val="006E2810"/>
    <w:rsid w:val="006E5417"/>
    <w:rsid w:val="006F0794"/>
    <w:rsid w:val="006F7528"/>
    <w:rsid w:val="007023DE"/>
    <w:rsid w:val="00712F60"/>
    <w:rsid w:val="00720E3B"/>
    <w:rsid w:val="00741232"/>
    <w:rsid w:val="0074393F"/>
    <w:rsid w:val="00745F6B"/>
    <w:rsid w:val="0075175B"/>
    <w:rsid w:val="0075585E"/>
    <w:rsid w:val="00761A2B"/>
    <w:rsid w:val="00770571"/>
    <w:rsid w:val="007746A7"/>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52F4E"/>
    <w:rsid w:val="0086387C"/>
    <w:rsid w:val="00874A6C"/>
    <w:rsid w:val="00876C65"/>
    <w:rsid w:val="00882F72"/>
    <w:rsid w:val="00893DC4"/>
    <w:rsid w:val="008A4B4C"/>
    <w:rsid w:val="008C239F"/>
    <w:rsid w:val="008E480C"/>
    <w:rsid w:val="00907757"/>
    <w:rsid w:val="009212B0"/>
    <w:rsid w:val="00921C48"/>
    <w:rsid w:val="00921FA1"/>
    <w:rsid w:val="009234A5"/>
    <w:rsid w:val="00933453"/>
    <w:rsid w:val="009336F7"/>
    <w:rsid w:val="0093636C"/>
    <w:rsid w:val="009374A7"/>
    <w:rsid w:val="00937F03"/>
    <w:rsid w:val="00950E48"/>
    <w:rsid w:val="00955F6D"/>
    <w:rsid w:val="00977C16"/>
    <w:rsid w:val="0098551D"/>
    <w:rsid w:val="00985DCB"/>
    <w:rsid w:val="0099518F"/>
    <w:rsid w:val="009A25E1"/>
    <w:rsid w:val="009A523D"/>
    <w:rsid w:val="009B02A1"/>
    <w:rsid w:val="009B3361"/>
    <w:rsid w:val="009B7F3F"/>
    <w:rsid w:val="009C3884"/>
    <w:rsid w:val="009D7CE6"/>
    <w:rsid w:val="009E448E"/>
    <w:rsid w:val="009E6B3A"/>
    <w:rsid w:val="009F496B"/>
    <w:rsid w:val="00A01439"/>
    <w:rsid w:val="00A02E61"/>
    <w:rsid w:val="00A05CFF"/>
    <w:rsid w:val="00A13048"/>
    <w:rsid w:val="00A46843"/>
    <w:rsid w:val="00A56B97"/>
    <w:rsid w:val="00A6093D"/>
    <w:rsid w:val="00A703CE"/>
    <w:rsid w:val="00A72017"/>
    <w:rsid w:val="00A725D8"/>
    <w:rsid w:val="00A767DC"/>
    <w:rsid w:val="00A76A6D"/>
    <w:rsid w:val="00A82911"/>
    <w:rsid w:val="00A83253"/>
    <w:rsid w:val="00AA07F2"/>
    <w:rsid w:val="00AA4083"/>
    <w:rsid w:val="00AA6E84"/>
    <w:rsid w:val="00AB1A1C"/>
    <w:rsid w:val="00AB4721"/>
    <w:rsid w:val="00AB7405"/>
    <w:rsid w:val="00AD05A8"/>
    <w:rsid w:val="00AD38E1"/>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2894"/>
    <w:rsid w:val="00C26CCB"/>
    <w:rsid w:val="00C30249"/>
    <w:rsid w:val="00C3723B"/>
    <w:rsid w:val="00C42466"/>
    <w:rsid w:val="00C606C9"/>
    <w:rsid w:val="00C61AE4"/>
    <w:rsid w:val="00C718C5"/>
    <w:rsid w:val="00C80288"/>
    <w:rsid w:val="00C836F0"/>
    <w:rsid w:val="00C84003"/>
    <w:rsid w:val="00C90650"/>
    <w:rsid w:val="00C97D78"/>
    <w:rsid w:val="00CC2AAE"/>
    <w:rsid w:val="00CC5A42"/>
    <w:rsid w:val="00CD0EAB"/>
    <w:rsid w:val="00CE5E02"/>
    <w:rsid w:val="00CF12AF"/>
    <w:rsid w:val="00CF34DB"/>
    <w:rsid w:val="00CF3917"/>
    <w:rsid w:val="00CF558F"/>
    <w:rsid w:val="00D010C0"/>
    <w:rsid w:val="00D028CC"/>
    <w:rsid w:val="00D06B8B"/>
    <w:rsid w:val="00D073E2"/>
    <w:rsid w:val="00D1555A"/>
    <w:rsid w:val="00D375A5"/>
    <w:rsid w:val="00D446EC"/>
    <w:rsid w:val="00D51BF0"/>
    <w:rsid w:val="00D531DB"/>
    <w:rsid w:val="00D55942"/>
    <w:rsid w:val="00D807BF"/>
    <w:rsid w:val="00D81DAE"/>
    <w:rsid w:val="00D82FCC"/>
    <w:rsid w:val="00DA17FC"/>
    <w:rsid w:val="00DA7887"/>
    <w:rsid w:val="00DB2C26"/>
    <w:rsid w:val="00DB45C3"/>
    <w:rsid w:val="00DD02F4"/>
    <w:rsid w:val="00DD6622"/>
    <w:rsid w:val="00DD6C32"/>
    <w:rsid w:val="00DE1C7C"/>
    <w:rsid w:val="00DE6B43"/>
    <w:rsid w:val="00E0590B"/>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C47AC"/>
    <w:rsid w:val="00EC57EF"/>
    <w:rsid w:val="00EE7CD8"/>
    <w:rsid w:val="00EF37F6"/>
    <w:rsid w:val="00EF48CC"/>
    <w:rsid w:val="00F00801"/>
    <w:rsid w:val="00F04516"/>
    <w:rsid w:val="00F051FC"/>
    <w:rsid w:val="00F2488D"/>
    <w:rsid w:val="00F601A0"/>
    <w:rsid w:val="00F70F6D"/>
    <w:rsid w:val="00F712E9"/>
    <w:rsid w:val="00F73032"/>
    <w:rsid w:val="00F848FC"/>
    <w:rsid w:val="00F906F6"/>
    <w:rsid w:val="00F9282A"/>
    <w:rsid w:val="00F95D75"/>
    <w:rsid w:val="00F96BAD"/>
    <w:rsid w:val="00FA139D"/>
    <w:rsid w:val="00FA530F"/>
    <w:rsid w:val="00FA60F5"/>
    <w:rsid w:val="00FB0E84"/>
    <w:rsid w:val="00FC2405"/>
    <w:rsid w:val="00FD01C2"/>
    <w:rsid w:val="00FE595C"/>
    <w:rsid w:val="00FF0CE3"/>
    <w:rsid w:val="00FF514B"/>
    <w:rsid w:val="00FF544C"/>
    <w:rsid w:val="2A6CBAEA"/>
    <w:rsid w:val="6B372ECD"/>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DD6C32"/>
    <w:pPr>
      <w:ind w:left="720"/>
      <w:contextualSpacing/>
    </w:pPr>
  </w:style>
  <w:style w:type="character" w:styleId="UnresolvedMention">
    <w:name w:val="Unresolved Mention"/>
    <w:basedOn w:val="DefaultParagraphFont"/>
    <w:uiPriority w:val="99"/>
    <w:semiHidden/>
    <w:unhideWhenUsed/>
    <w:rsid w:val="002B756C"/>
    <w:rPr>
      <w:color w:val="605E5C"/>
      <w:shd w:val="clear" w:color="auto" w:fill="E1DFDD"/>
    </w:rPr>
  </w:style>
  <w:style w:type="paragraph" w:styleId="Caption">
    <w:name w:val="caption"/>
    <w:basedOn w:val="Normal"/>
    <w:next w:val="Normal"/>
    <w:unhideWhenUsed/>
    <w:qFormat/>
    <w:rsid w:val="009C3884"/>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065863">
      <w:bodyDiv w:val="1"/>
      <w:marLeft w:val="0"/>
      <w:marRight w:val="0"/>
      <w:marTop w:val="0"/>
      <w:marBottom w:val="0"/>
      <w:divBdr>
        <w:top w:val="none" w:sz="0" w:space="0" w:color="auto"/>
        <w:left w:val="none" w:sz="0" w:space="0" w:color="auto"/>
        <w:bottom w:val="none" w:sz="0" w:space="0" w:color="auto"/>
        <w:right w:val="none" w:sz="0" w:space="0" w:color="auto"/>
      </w:divBdr>
    </w:div>
    <w:div w:id="623925517">
      <w:bodyDiv w:val="1"/>
      <w:marLeft w:val="0"/>
      <w:marRight w:val="0"/>
      <w:marTop w:val="0"/>
      <w:marBottom w:val="0"/>
      <w:divBdr>
        <w:top w:val="none" w:sz="0" w:space="0" w:color="auto"/>
        <w:left w:val="none" w:sz="0" w:space="0" w:color="auto"/>
        <w:bottom w:val="none" w:sz="0" w:space="0" w:color="auto"/>
        <w:right w:val="none" w:sz="0" w:space="0" w:color="auto"/>
      </w:divBdr>
    </w:div>
    <w:div w:id="726343398">
      <w:bodyDiv w:val="1"/>
      <w:marLeft w:val="0"/>
      <w:marRight w:val="0"/>
      <w:marTop w:val="0"/>
      <w:marBottom w:val="0"/>
      <w:divBdr>
        <w:top w:val="none" w:sz="0" w:space="0" w:color="auto"/>
        <w:left w:val="none" w:sz="0" w:space="0" w:color="auto"/>
        <w:bottom w:val="none" w:sz="0" w:space="0" w:color="auto"/>
        <w:right w:val="none" w:sz="0" w:space="0" w:color="auto"/>
      </w:divBdr>
    </w:div>
    <w:div w:id="747265921">
      <w:bodyDiv w:val="1"/>
      <w:marLeft w:val="0"/>
      <w:marRight w:val="0"/>
      <w:marTop w:val="0"/>
      <w:marBottom w:val="0"/>
      <w:divBdr>
        <w:top w:val="none" w:sz="0" w:space="0" w:color="auto"/>
        <w:left w:val="none" w:sz="0" w:space="0" w:color="auto"/>
        <w:bottom w:val="none" w:sz="0" w:space="0" w:color="auto"/>
        <w:right w:val="none" w:sz="0" w:space="0" w:color="auto"/>
      </w:divBdr>
    </w:div>
    <w:div w:id="12366697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6896515">
      <w:bodyDiv w:val="1"/>
      <w:marLeft w:val="0"/>
      <w:marRight w:val="0"/>
      <w:marTop w:val="0"/>
      <w:marBottom w:val="0"/>
      <w:divBdr>
        <w:top w:val="none" w:sz="0" w:space="0" w:color="auto"/>
        <w:left w:val="none" w:sz="0" w:space="0" w:color="auto"/>
        <w:bottom w:val="none" w:sz="0" w:space="0" w:color="auto"/>
        <w:right w:val="none" w:sz="0" w:space="0" w:color="auto"/>
      </w:divBdr>
    </w:div>
    <w:div w:id="177867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781A05F-0807-40E8-B8E4-4669AEF10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3</Pages>
  <Words>835</Words>
  <Characters>4763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Lainema, Jani (Nokia - FI/Tampere)</cp:lastModifiedBy>
  <cp:revision>38</cp:revision>
  <cp:lastPrinted>1900-01-01T07:59:11Z</cp:lastPrinted>
  <dcterms:created xsi:type="dcterms:W3CDTF">2021-08-25T19:17:00Z</dcterms:created>
  <dcterms:modified xsi:type="dcterms:W3CDTF">2022-01-05T10:48:00Z</dcterms:modified>
</cp:coreProperties>
</file>