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CF138F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357C51" w:rsidRPr="00357C51">
              <w:rPr>
                <w:lang w:val="en-CA"/>
              </w:rPr>
              <w:t>0</w:t>
            </w:r>
            <w:r w:rsidR="00A4378F">
              <w:rPr>
                <w:rFonts w:hint="eastAsia"/>
                <w:lang w:val="en-CA" w:eastAsia="zh-TW"/>
              </w:rPr>
              <w:t>169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4C43CF" w:rsidR="00E61DAC" w:rsidRPr="005B217D" w:rsidRDefault="00A4378F" w:rsidP="009D7CE6">
            <w:pPr>
              <w:spacing w:before="60" w:after="60"/>
              <w:rPr>
                <w:b/>
                <w:szCs w:val="22"/>
                <w:lang w:val="en-CA"/>
              </w:rPr>
            </w:pPr>
            <w:r w:rsidRPr="00A4378F">
              <w:rPr>
                <w:b/>
                <w:szCs w:val="22"/>
                <w:lang w:val="en-CA"/>
              </w:rPr>
              <w:t>Crosscheck of JVET-X0048 (CE: Film Grain Synthesis (test CE2.1 and CE2.2))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7D9CD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021315" w:rsidR="00E61DAC" w:rsidRPr="005B217D" w:rsidRDefault="00A4378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B237D7" w:rsidR="00E61DAC" w:rsidRPr="005B217D" w:rsidRDefault="00384622">
            <w:pPr>
              <w:spacing w:before="60" w:after="60"/>
              <w:rPr>
                <w:szCs w:val="22"/>
                <w:lang w:val="en-CA"/>
              </w:rPr>
            </w:pPr>
            <w:r>
              <w:rPr>
                <w:szCs w:val="22"/>
                <w:lang w:val="en-CA"/>
              </w:rPr>
              <w:t>Ru-Ling Liao</w:t>
            </w:r>
            <w:r w:rsidR="00A4378F" w:rsidRPr="005B217D">
              <w:rPr>
                <w:szCs w:val="22"/>
                <w:lang w:val="en-CA"/>
              </w:rPr>
              <w:t xml:space="preserve"> </w:t>
            </w:r>
            <w:r w:rsidR="00E61DAC" w:rsidRPr="005B217D">
              <w:rPr>
                <w:szCs w:val="22"/>
                <w:lang w:val="en-CA"/>
              </w:rPr>
              <w:br/>
            </w:r>
          </w:p>
        </w:tc>
        <w:tc>
          <w:tcPr>
            <w:tcW w:w="900" w:type="dxa"/>
          </w:tcPr>
          <w:p w14:paraId="0140ECA2" w14:textId="5CF7D46B"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EA05F98" w:rsidR="00E61DAC" w:rsidRPr="005B217D" w:rsidRDefault="00E61DAC" w:rsidP="005952A5">
            <w:pPr>
              <w:spacing w:before="60" w:after="60"/>
              <w:rPr>
                <w:szCs w:val="22"/>
                <w:lang w:val="en-CA"/>
              </w:rPr>
            </w:pPr>
            <w:r w:rsidRPr="005B217D">
              <w:rPr>
                <w:szCs w:val="22"/>
                <w:lang w:val="en-CA"/>
              </w:rPr>
              <w:br/>
            </w:r>
            <w:r w:rsidR="00384622">
              <w:rPr>
                <w:szCs w:val="22"/>
                <w:lang w:val="en-CA"/>
              </w:rPr>
              <w:t>ruling.lrl@alibaba-inc.com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DD26F2" w:rsidR="00E61DAC" w:rsidRPr="005B217D" w:rsidRDefault="00384622">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DFC6F6B" w:rsidR="00275BCF" w:rsidRDefault="00275BCF" w:rsidP="009234A5">
      <w:pPr>
        <w:pStyle w:val="1"/>
        <w:numPr>
          <w:ilvl w:val="0"/>
          <w:numId w:val="0"/>
        </w:numPr>
        <w:ind w:left="432" w:hanging="432"/>
        <w:rPr>
          <w:lang w:val="en-CA"/>
        </w:rPr>
      </w:pPr>
      <w:r w:rsidRPr="005B217D">
        <w:rPr>
          <w:lang w:val="en-CA"/>
        </w:rPr>
        <w:t>Abstract</w:t>
      </w:r>
    </w:p>
    <w:p w14:paraId="027D20D5" w14:textId="35C03557" w:rsidR="00A4378F" w:rsidRPr="00507EFD" w:rsidRDefault="00507EFD" w:rsidP="00A4378F">
      <w:pPr>
        <w:rPr>
          <w:lang w:val="en-CA"/>
        </w:rPr>
      </w:pPr>
      <w:r>
        <w:rPr>
          <w:lang w:val="en-CA"/>
        </w:rPr>
        <w:t>This contribution</w:t>
      </w:r>
      <w:r w:rsidR="00A4378F">
        <w:rPr>
          <w:lang w:val="en-CA"/>
        </w:rPr>
        <w:t xml:space="preserve"> reports the crosscheck results of JVET-X0048 on CE2.1.</w:t>
      </w:r>
      <w:r w:rsidR="00AD18E9">
        <w:rPr>
          <w:lang w:val="en-CA"/>
        </w:rPr>
        <w:t xml:space="preserve"> It is confirmed that the crosscheck results match with the results from the proponents.</w:t>
      </w:r>
      <w:r w:rsidR="00A4378F">
        <w:rPr>
          <w:lang w:val="en-CA"/>
        </w:rPr>
        <w:t xml:space="preserve"> </w:t>
      </w:r>
      <w:r w:rsidR="00AD18E9">
        <w:rPr>
          <w:lang w:val="en-CA"/>
        </w:rPr>
        <w:t>For complexity test, the 4K</w:t>
      </w:r>
      <w:r w:rsidR="00791201">
        <w:rPr>
          <w:lang w:val="en-CA"/>
        </w:rPr>
        <w:t xml:space="preserve"> and 8K</w:t>
      </w:r>
      <w:r w:rsidR="00AD18E9">
        <w:rPr>
          <w:lang w:val="en-CA"/>
        </w:rPr>
        <w:t xml:space="preserve"> sequences are encoded and the MD5 of these bitstreams are confirmed. Both anchor and CE2.1 bitstreams are decoded with SIMD on and SIMD off options. It is reported that for both SIMD on and SIMD off options, more than 30% and 40% decoding time reduction is observed for 4K and 8K sequences, respectively. For subjective test, decoded YUV of anchor and CE2.1 are viewed. Similar visual quality is observed</w:t>
      </w:r>
      <w:r w:rsidR="002A639C">
        <w:rPr>
          <w:lang w:val="en-CA"/>
        </w:rPr>
        <w:t xml:space="preserve"> for CE2.1 compared with the anchor</w:t>
      </w:r>
      <w:r w:rsidR="00AD18E9">
        <w:rPr>
          <w:lang w:val="en-CA"/>
        </w:rPr>
        <w:t>.</w:t>
      </w:r>
      <w:bookmarkStart w:id="0" w:name="_GoBack"/>
      <w:bookmarkEnd w:id="0"/>
    </w:p>
    <w:p w14:paraId="6F2156C1" w14:textId="18934396" w:rsidR="00C6618A" w:rsidRDefault="00C6618A" w:rsidP="00C6618A">
      <w:pPr>
        <w:pStyle w:val="1"/>
        <w:rPr>
          <w:lang w:val="en-CA"/>
        </w:rPr>
      </w:pPr>
      <w:r>
        <w:rPr>
          <w:lang w:val="en-CA"/>
        </w:rPr>
        <w:t>Simulation results</w:t>
      </w:r>
    </w:p>
    <w:p w14:paraId="28E966F0" w14:textId="10E71AB8" w:rsidR="00C6618A" w:rsidRDefault="00AD18E9" w:rsidP="00905635">
      <w:pPr>
        <w:rPr>
          <w:lang w:val="en-CA"/>
        </w:rPr>
      </w:pPr>
      <w:r>
        <w:rPr>
          <w:lang w:val="en-CA"/>
        </w:rPr>
        <w:t>For complexity test, the decoding runtime</w:t>
      </w:r>
      <w:r w:rsidR="00791201">
        <w:rPr>
          <w:lang w:val="en-CA"/>
        </w:rPr>
        <w:t xml:space="preserve"> shown in </w:t>
      </w:r>
      <w:r w:rsidR="00791201">
        <w:rPr>
          <w:lang w:val="en-CA"/>
        </w:rPr>
        <w:fldChar w:fldCharType="begin"/>
      </w:r>
      <w:r w:rsidR="00791201">
        <w:rPr>
          <w:lang w:val="en-CA"/>
        </w:rPr>
        <w:instrText xml:space="preserve"> REF _Ref84420415 \h </w:instrText>
      </w:r>
      <w:r w:rsidR="00791201">
        <w:rPr>
          <w:lang w:val="en-CA"/>
        </w:rPr>
      </w:r>
      <w:r w:rsidR="00791201">
        <w:rPr>
          <w:lang w:val="en-CA"/>
        </w:rPr>
        <w:fldChar w:fldCharType="separate"/>
      </w:r>
      <w:r w:rsidR="00791201" w:rsidRPr="00A965C1">
        <w:rPr>
          <w:lang w:val="en-CA"/>
        </w:rPr>
        <w:t>Table 1</w:t>
      </w:r>
      <w:r w:rsidR="00791201">
        <w:rPr>
          <w:lang w:val="en-CA"/>
        </w:rPr>
        <w:fldChar w:fldCharType="end"/>
      </w:r>
      <w:r>
        <w:rPr>
          <w:lang w:val="en-CA"/>
        </w:rPr>
        <w:t xml:space="preserve"> is obtained by decoding the bitstreams of anchor and CE2.1 three times and averaging </w:t>
      </w:r>
      <w:r w:rsidR="00F70547">
        <w:rPr>
          <w:lang w:val="en-CA"/>
        </w:rPr>
        <w:t>the runtime.</w:t>
      </w:r>
      <w:r w:rsidR="00791201">
        <w:rPr>
          <w:lang w:val="en-CA"/>
        </w:rPr>
        <w:t xml:space="preserve"> </w:t>
      </w:r>
    </w:p>
    <w:p w14:paraId="607EC8EE" w14:textId="7F225AC5" w:rsidR="00791201" w:rsidRPr="00A965C1" w:rsidRDefault="00791201" w:rsidP="00791201">
      <w:pPr>
        <w:pStyle w:val="ae"/>
        <w:keepNext/>
        <w:spacing w:before="200" w:after="0"/>
        <w:jc w:val="center"/>
        <w:rPr>
          <w:i w:val="0"/>
          <w:iCs w:val="0"/>
          <w:color w:val="auto"/>
          <w:sz w:val="22"/>
          <w:szCs w:val="20"/>
          <w:lang w:val="en-CA"/>
        </w:rPr>
      </w:pPr>
      <w:bookmarkStart w:id="1" w:name="_Ref84420415"/>
      <w:r w:rsidRPr="00A965C1">
        <w:rPr>
          <w:i w:val="0"/>
          <w:iCs w:val="0"/>
          <w:color w:val="auto"/>
          <w:sz w:val="22"/>
          <w:szCs w:val="20"/>
          <w:lang w:val="en-CA"/>
        </w:rPr>
        <w:t xml:space="preserve">Table </w:t>
      </w:r>
      <w:r w:rsidRPr="00A965C1">
        <w:rPr>
          <w:i w:val="0"/>
          <w:iCs w:val="0"/>
          <w:color w:val="auto"/>
          <w:sz w:val="22"/>
          <w:szCs w:val="20"/>
          <w:lang w:val="en-CA"/>
        </w:rPr>
        <w:fldChar w:fldCharType="begin"/>
      </w:r>
      <w:r w:rsidRPr="00A965C1">
        <w:rPr>
          <w:i w:val="0"/>
          <w:iCs w:val="0"/>
          <w:color w:val="auto"/>
          <w:sz w:val="22"/>
          <w:szCs w:val="20"/>
          <w:lang w:val="en-CA"/>
        </w:rPr>
        <w:instrText xml:space="preserve"> SEQ Table \* ARABIC </w:instrText>
      </w:r>
      <w:r w:rsidRPr="00A965C1">
        <w:rPr>
          <w:i w:val="0"/>
          <w:iCs w:val="0"/>
          <w:color w:val="auto"/>
          <w:sz w:val="22"/>
          <w:szCs w:val="20"/>
          <w:lang w:val="en-CA"/>
        </w:rPr>
        <w:fldChar w:fldCharType="separate"/>
      </w:r>
      <w:r w:rsidRPr="00A965C1">
        <w:rPr>
          <w:i w:val="0"/>
          <w:iCs w:val="0"/>
          <w:color w:val="auto"/>
          <w:sz w:val="22"/>
          <w:szCs w:val="20"/>
          <w:lang w:val="en-CA"/>
        </w:rPr>
        <w:t>1</w:t>
      </w:r>
      <w:r w:rsidRPr="00A965C1">
        <w:rPr>
          <w:i w:val="0"/>
          <w:iCs w:val="0"/>
          <w:color w:val="auto"/>
          <w:sz w:val="22"/>
          <w:szCs w:val="20"/>
          <w:lang w:val="en-CA"/>
        </w:rPr>
        <w:fldChar w:fldCharType="end"/>
      </w:r>
      <w:bookmarkEnd w:id="1"/>
      <w:r w:rsidRPr="00A965C1">
        <w:rPr>
          <w:i w:val="0"/>
          <w:iCs w:val="0"/>
          <w:color w:val="auto"/>
          <w:sz w:val="22"/>
          <w:szCs w:val="20"/>
          <w:lang w:val="en-CA"/>
        </w:rPr>
        <w:t xml:space="preserve">. </w:t>
      </w:r>
      <w:r>
        <w:rPr>
          <w:i w:val="0"/>
          <w:iCs w:val="0"/>
          <w:color w:val="auto"/>
          <w:sz w:val="22"/>
          <w:szCs w:val="20"/>
          <w:lang w:val="en-CA"/>
        </w:rPr>
        <w:t>S</w:t>
      </w:r>
      <w:r w:rsidRPr="00A965C1">
        <w:rPr>
          <w:i w:val="0"/>
          <w:iCs w:val="0"/>
          <w:color w:val="auto"/>
          <w:sz w:val="22"/>
          <w:szCs w:val="20"/>
          <w:lang w:val="en-CA"/>
        </w:rPr>
        <w:t xml:space="preserve">imulation results of </w:t>
      </w:r>
      <w:r>
        <w:rPr>
          <w:i w:val="0"/>
          <w:iCs w:val="0"/>
          <w:color w:val="auto"/>
          <w:sz w:val="22"/>
          <w:szCs w:val="20"/>
          <w:lang w:val="en-CA"/>
        </w:rPr>
        <w:t>CE2.1</w:t>
      </w:r>
    </w:p>
    <w:tbl>
      <w:tblPr>
        <w:tblW w:w="8564" w:type="dxa"/>
        <w:tblLook w:val="04A0" w:firstRow="1" w:lastRow="0" w:firstColumn="1" w:lastColumn="0" w:noHBand="0" w:noVBand="1"/>
      </w:tblPr>
      <w:tblGrid>
        <w:gridCol w:w="1000"/>
        <w:gridCol w:w="1564"/>
        <w:gridCol w:w="1000"/>
        <w:gridCol w:w="1000"/>
        <w:gridCol w:w="1000"/>
        <w:gridCol w:w="1000"/>
        <w:gridCol w:w="1000"/>
        <w:gridCol w:w="1000"/>
      </w:tblGrid>
      <w:tr w:rsidR="00F70547" w:rsidRPr="00F70547" w14:paraId="3F1D6671" w14:textId="77777777" w:rsidTr="00791201">
        <w:trPr>
          <w:trHeight w:val="293"/>
        </w:trPr>
        <w:tc>
          <w:tcPr>
            <w:tcW w:w="1000" w:type="dxa"/>
            <w:tcBorders>
              <w:top w:val="nil"/>
              <w:left w:val="nil"/>
              <w:bottom w:val="nil"/>
              <w:right w:val="nil"/>
            </w:tcBorders>
            <w:shd w:val="clear" w:color="auto" w:fill="auto"/>
            <w:noWrap/>
            <w:vAlign w:val="bottom"/>
            <w:hideMark/>
          </w:tcPr>
          <w:p w14:paraId="5EE3AFB6"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564" w:type="dxa"/>
            <w:tcBorders>
              <w:top w:val="nil"/>
              <w:left w:val="nil"/>
              <w:bottom w:val="nil"/>
              <w:right w:val="nil"/>
            </w:tcBorders>
            <w:shd w:val="clear" w:color="auto" w:fill="auto"/>
            <w:noWrap/>
            <w:vAlign w:val="bottom"/>
            <w:hideMark/>
          </w:tcPr>
          <w:p w14:paraId="5FD8B474"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00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78FB018"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SIMD off</w:t>
            </w:r>
          </w:p>
        </w:tc>
        <w:tc>
          <w:tcPr>
            <w:tcW w:w="3000" w:type="dxa"/>
            <w:gridSpan w:val="3"/>
            <w:tcBorders>
              <w:top w:val="single" w:sz="8" w:space="0" w:color="auto"/>
              <w:left w:val="nil"/>
              <w:bottom w:val="single" w:sz="8" w:space="0" w:color="auto"/>
              <w:right w:val="single" w:sz="8" w:space="0" w:color="000000"/>
            </w:tcBorders>
            <w:shd w:val="clear" w:color="auto" w:fill="auto"/>
            <w:vAlign w:val="center"/>
            <w:hideMark/>
          </w:tcPr>
          <w:p w14:paraId="7E63360C"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SIMD on</w:t>
            </w:r>
          </w:p>
        </w:tc>
      </w:tr>
      <w:tr w:rsidR="00F70547" w:rsidRPr="00F70547" w14:paraId="52B7EED7" w14:textId="77777777" w:rsidTr="00791201">
        <w:trPr>
          <w:trHeight w:val="578"/>
        </w:trPr>
        <w:tc>
          <w:tcPr>
            <w:tcW w:w="1000" w:type="dxa"/>
            <w:tcBorders>
              <w:top w:val="nil"/>
              <w:left w:val="nil"/>
              <w:bottom w:val="nil"/>
              <w:right w:val="nil"/>
            </w:tcBorders>
            <w:shd w:val="clear" w:color="auto" w:fill="auto"/>
            <w:noWrap/>
            <w:vAlign w:val="bottom"/>
            <w:hideMark/>
          </w:tcPr>
          <w:p w14:paraId="65EFCF18"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p>
        </w:tc>
        <w:tc>
          <w:tcPr>
            <w:tcW w:w="1564" w:type="dxa"/>
            <w:tcBorders>
              <w:top w:val="nil"/>
              <w:left w:val="nil"/>
              <w:bottom w:val="nil"/>
              <w:right w:val="nil"/>
            </w:tcBorders>
            <w:shd w:val="clear" w:color="auto" w:fill="auto"/>
            <w:noWrap/>
            <w:vAlign w:val="bottom"/>
            <w:hideMark/>
          </w:tcPr>
          <w:p w14:paraId="3BE8C7F3"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00" w:type="dxa"/>
            <w:tcBorders>
              <w:top w:val="nil"/>
              <w:left w:val="single" w:sz="8" w:space="0" w:color="auto"/>
              <w:bottom w:val="nil"/>
              <w:right w:val="nil"/>
            </w:tcBorders>
            <w:shd w:val="clear" w:color="auto" w:fill="auto"/>
            <w:vAlign w:val="center"/>
            <w:hideMark/>
          </w:tcPr>
          <w:p w14:paraId="6C4B9542"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Anchor</w:t>
            </w:r>
          </w:p>
        </w:tc>
        <w:tc>
          <w:tcPr>
            <w:tcW w:w="1000" w:type="dxa"/>
            <w:tcBorders>
              <w:top w:val="nil"/>
              <w:left w:val="nil"/>
              <w:bottom w:val="nil"/>
              <w:right w:val="nil"/>
            </w:tcBorders>
            <w:shd w:val="clear" w:color="auto" w:fill="auto"/>
            <w:vAlign w:val="center"/>
            <w:hideMark/>
          </w:tcPr>
          <w:p w14:paraId="2AA9F8F8"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CE2.1</w:t>
            </w:r>
          </w:p>
        </w:tc>
        <w:tc>
          <w:tcPr>
            <w:tcW w:w="1000" w:type="dxa"/>
            <w:tcBorders>
              <w:top w:val="nil"/>
              <w:left w:val="nil"/>
              <w:bottom w:val="nil"/>
              <w:right w:val="single" w:sz="8" w:space="0" w:color="auto"/>
            </w:tcBorders>
            <w:shd w:val="clear" w:color="auto" w:fill="auto"/>
            <w:vAlign w:val="center"/>
            <w:hideMark/>
          </w:tcPr>
          <w:p w14:paraId="55C0FC76"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Time Saving (%)</w:t>
            </w:r>
          </w:p>
        </w:tc>
        <w:tc>
          <w:tcPr>
            <w:tcW w:w="1000" w:type="dxa"/>
            <w:tcBorders>
              <w:top w:val="nil"/>
              <w:left w:val="nil"/>
              <w:bottom w:val="nil"/>
              <w:right w:val="nil"/>
            </w:tcBorders>
            <w:shd w:val="clear" w:color="auto" w:fill="auto"/>
            <w:vAlign w:val="center"/>
            <w:hideMark/>
          </w:tcPr>
          <w:p w14:paraId="67A227D0"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Anchor</w:t>
            </w:r>
          </w:p>
        </w:tc>
        <w:tc>
          <w:tcPr>
            <w:tcW w:w="1000" w:type="dxa"/>
            <w:tcBorders>
              <w:top w:val="nil"/>
              <w:left w:val="nil"/>
              <w:bottom w:val="nil"/>
              <w:right w:val="nil"/>
            </w:tcBorders>
            <w:shd w:val="clear" w:color="auto" w:fill="auto"/>
            <w:vAlign w:val="center"/>
            <w:hideMark/>
          </w:tcPr>
          <w:p w14:paraId="52DE3472"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CE2.1</w:t>
            </w:r>
          </w:p>
        </w:tc>
        <w:tc>
          <w:tcPr>
            <w:tcW w:w="1000" w:type="dxa"/>
            <w:tcBorders>
              <w:top w:val="nil"/>
              <w:left w:val="nil"/>
              <w:bottom w:val="nil"/>
              <w:right w:val="single" w:sz="8" w:space="0" w:color="auto"/>
            </w:tcBorders>
            <w:shd w:val="clear" w:color="auto" w:fill="auto"/>
            <w:vAlign w:val="center"/>
            <w:hideMark/>
          </w:tcPr>
          <w:p w14:paraId="318EEA1B"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Time Saving (%)</w:t>
            </w:r>
          </w:p>
        </w:tc>
      </w:tr>
      <w:tr w:rsidR="00F70547" w:rsidRPr="00F70547" w14:paraId="1FFEB182" w14:textId="77777777" w:rsidTr="00791201">
        <w:trPr>
          <w:trHeight w:val="285"/>
        </w:trPr>
        <w:tc>
          <w:tcPr>
            <w:tcW w:w="1000" w:type="dxa"/>
            <w:vMerge w:val="restart"/>
            <w:tcBorders>
              <w:top w:val="single" w:sz="8" w:space="0" w:color="auto"/>
              <w:left w:val="single" w:sz="8" w:space="0" w:color="auto"/>
              <w:bottom w:val="nil"/>
              <w:right w:val="nil"/>
            </w:tcBorders>
            <w:shd w:val="clear" w:color="auto" w:fill="auto"/>
            <w:noWrap/>
            <w:vAlign w:val="center"/>
            <w:hideMark/>
          </w:tcPr>
          <w:p w14:paraId="7552908F"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4K</w:t>
            </w:r>
          </w:p>
        </w:tc>
        <w:tc>
          <w:tcPr>
            <w:tcW w:w="1564" w:type="dxa"/>
            <w:tcBorders>
              <w:top w:val="single" w:sz="8" w:space="0" w:color="auto"/>
              <w:left w:val="nil"/>
              <w:bottom w:val="nil"/>
              <w:right w:val="single" w:sz="8" w:space="0" w:color="auto"/>
            </w:tcBorders>
            <w:shd w:val="clear" w:color="auto" w:fill="auto"/>
            <w:noWrap/>
            <w:vAlign w:val="bottom"/>
            <w:hideMark/>
          </w:tcPr>
          <w:p w14:paraId="7B80B1B6"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FGC_SEI_I10C3</w:t>
            </w:r>
          </w:p>
        </w:tc>
        <w:tc>
          <w:tcPr>
            <w:tcW w:w="1000" w:type="dxa"/>
            <w:tcBorders>
              <w:top w:val="single" w:sz="8" w:space="0" w:color="auto"/>
              <w:left w:val="nil"/>
              <w:bottom w:val="nil"/>
              <w:right w:val="nil"/>
            </w:tcBorders>
            <w:shd w:val="clear" w:color="auto" w:fill="auto"/>
            <w:noWrap/>
            <w:vAlign w:val="bottom"/>
            <w:hideMark/>
          </w:tcPr>
          <w:p w14:paraId="132E8563"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7.28</w:t>
            </w:r>
          </w:p>
        </w:tc>
        <w:tc>
          <w:tcPr>
            <w:tcW w:w="1000" w:type="dxa"/>
            <w:tcBorders>
              <w:top w:val="single" w:sz="8" w:space="0" w:color="auto"/>
              <w:left w:val="nil"/>
              <w:bottom w:val="nil"/>
              <w:right w:val="nil"/>
            </w:tcBorders>
            <w:shd w:val="clear" w:color="auto" w:fill="auto"/>
            <w:noWrap/>
            <w:vAlign w:val="bottom"/>
            <w:hideMark/>
          </w:tcPr>
          <w:p w14:paraId="7ABFDA96"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5.09</w:t>
            </w:r>
          </w:p>
        </w:tc>
        <w:tc>
          <w:tcPr>
            <w:tcW w:w="1000" w:type="dxa"/>
            <w:tcBorders>
              <w:top w:val="single" w:sz="8" w:space="0" w:color="auto"/>
              <w:left w:val="single" w:sz="8" w:space="0" w:color="auto"/>
              <w:bottom w:val="nil"/>
              <w:right w:val="single" w:sz="8" w:space="0" w:color="auto"/>
            </w:tcBorders>
            <w:shd w:val="clear" w:color="auto" w:fill="auto"/>
            <w:noWrap/>
            <w:vAlign w:val="bottom"/>
            <w:hideMark/>
          </w:tcPr>
          <w:p w14:paraId="2D31B277"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30.0%</w:t>
            </w:r>
          </w:p>
        </w:tc>
        <w:tc>
          <w:tcPr>
            <w:tcW w:w="1000" w:type="dxa"/>
            <w:tcBorders>
              <w:top w:val="single" w:sz="8" w:space="0" w:color="auto"/>
              <w:left w:val="nil"/>
              <w:bottom w:val="nil"/>
              <w:right w:val="nil"/>
            </w:tcBorders>
            <w:shd w:val="clear" w:color="auto" w:fill="auto"/>
            <w:noWrap/>
            <w:vAlign w:val="bottom"/>
            <w:hideMark/>
          </w:tcPr>
          <w:p w14:paraId="66985060"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3.43</w:t>
            </w:r>
          </w:p>
        </w:tc>
        <w:tc>
          <w:tcPr>
            <w:tcW w:w="1000" w:type="dxa"/>
            <w:tcBorders>
              <w:top w:val="single" w:sz="8" w:space="0" w:color="auto"/>
              <w:left w:val="nil"/>
              <w:bottom w:val="nil"/>
              <w:right w:val="nil"/>
            </w:tcBorders>
            <w:shd w:val="clear" w:color="auto" w:fill="auto"/>
            <w:noWrap/>
            <w:vAlign w:val="bottom"/>
            <w:hideMark/>
          </w:tcPr>
          <w:p w14:paraId="7C506836"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2.26</w:t>
            </w:r>
          </w:p>
        </w:tc>
        <w:tc>
          <w:tcPr>
            <w:tcW w:w="1000" w:type="dxa"/>
            <w:tcBorders>
              <w:top w:val="single" w:sz="8" w:space="0" w:color="auto"/>
              <w:left w:val="single" w:sz="8" w:space="0" w:color="auto"/>
              <w:bottom w:val="nil"/>
              <w:right w:val="single" w:sz="8" w:space="0" w:color="auto"/>
            </w:tcBorders>
            <w:shd w:val="clear" w:color="auto" w:fill="auto"/>
            <w:noWrap/>
            <w:vAlign w:val="bottom"/>
            <w:hideMark/>
          </w:tcPr>
          <w:p w14:paraId="33BACAB1"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34.0%</w:t>
            </w:r>
          </w:p>
        </w:tc>
      </w:tr>
      <w:tr w:rsidR="00F70547" w:rsidRPr="00F70547" w14:paraId="7F85B486" w14:textId="77777777" w:rsidTr="00791201">
        <w:trPr>
          <w:trHeight w:val="285"/>
        </w:trPr>
        <w:tc>
          <w:tcPr>
            <w:tcW w:w="1000" w:type="dxa"/>
            <w:vMerge/>
            <w:tcBorders>
              <w:top w:val="single" w:sz="8" w:space="0" w:color="auto"/>
              <w:left w:val="single" w:sz="8" w:space="0" w:color="auto"/>
              <w:bottom w:val="nil"/>
              <w:right w:val="nil"/>
            </w:tcBorders>
            <w:vAlign w:val="center"/>
            <w:hideMark/>
          </w:tcPr>
          <w:p w14:paraId="08EC8D77"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64" w:type="dxa"/>
            <w:tcBorders>
              <w:top w:val="nil"/>
              <w:left w:val="nil"/>
              <w:bottom w:val="nil"/>
              <w:right w:val="single" w:sz="8" w:space="0" w:color="auto"/>
            </w:tcBorders>
            <w:shd w:val="clear" w:color="auto" w:fill="auto"/>
            <w:noWrap/>
            <w:vAlign w:val="bottom"/>
            <w:hideMark/>
          </w:tcPr>
          <w:p w14:paraId="75FBBB69"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FGC_SEI_I10C1</w:t>
            </w:r>
          </w:p>
        </w:tc>
        <w:tc>
          <w:tcPr>
            <w:tcW w:w="1000" w:type="dxa"/>
            <w:tcBorders>
              <w:top w:val="nil"/>
              <w:left w:val="nil"/>
              <w:bottom w:val="nil"/>
              <w:right w:val="nil"/>
            </w:tcBorders>
            <w:shd w:val="clear" w:color="auto" w:fill="auto"/>
            <w:noWrap/>
            <w:vAlign w:val="bottom"/>
            <w:hideMark/>
          </w:tcPr>
          <w:p w14:paraId="5551994A"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4.60</w:t>
            </w:r>
          </w:p>
        </w:tc>
        <w:tc>
          <w:tcPr>
            <w:tcW w:w="1000" w:type="dxa"/>
            <w:tcBorders>
              <w:top w:val="nil"/>
              <w:left w:val="nil"/>
              <w:bottom w:val="nil"/>
              <w:right w:val="nil"/>
            </w:tcBorders>
            <w:shd w:val="clear" w:color="auto" w:fill="auto"/>
            <w:noWrap/>
            <w:vAlign w:val="bottom"/>
            <w:hideMark/>
          </w:tcPr>
          <w:p w14:paraId="36728652"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3.17</w:t>
            </w:r>
          </w:p>
        </w:tc>
        <w:tc>
          <w:tcPr>
            <w:tcW w:w="1000" w:type="dxa"/>
            <w:tcBorders>
              <w:top w:val="nil"/>
              <w:left w:val="single" w:sz="8" w:space="0" w:color="auto"/>
              <w:bottom w:val="nil"/>
              <w:right w:val="single" w:sz="8" w:space="0" w:color="auto"/>
            </w:tcBorders>
            <w:shd w:val="clear" w:color="auto" w:fill="auto"/>
            <w:noWrap/>
            <w:vAlign w:val="bottom"/>
            <w:hideMark/>
          </w:tcPr>
          <w:p w14:paraId="6297DAD8"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31.0%</w:t>
            </w:r>
          </w:p>
        </w:tc>
        <w:tc>
          <w:tcPr>
            <w:tcW w:w="1000" w:type="dxa"/>
            <w:tcBorders>
              <w:top w:val="nil"/>
              <w:left w:val="nil"/>
              <w:bottom w:val="nil"/>
              <w:right w:val="nil"/>
            </w:tcBorders>
            <w:shd w:val="clear" w:color="auto" w:fill="auto"/>
            <w:noWrap/>
            <w:vAlign w:val="bottom"/>
            <w:hideMark/>
          </w:tcPr>
          <w:p w14:paraId="76B36F40"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2.17</w:t>
            </w:r>
          </w:p>
        </w:tc>
        <w:tc>
          <w:tcPr>
            <w:tcW w:w="1000" w:type="dxa"/>
            <w:tcBorders>
              <w:top w:val="nil"/>
              <w:left w:val="nil"/>
              <w:bottom w:val="nil"/>
              <w:right w:val="nil"/>
            </w:tcBorders>
            <w:shd w:val="clear" w:color="auto" w:fill="auto"/>
            <w:noWrap/>
            <w:vAlign w:val="bottom"/>
            <w:hideMark/>
          </w:tcPr>
          <w:p w14:paraId="5CBFE1D6"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1.43</w:t>
            </w:r>
          </w:p>
        </w:tc>
        <w:tc>
          <w:tcPr>
            <w:tcW w:w="1000" w:type="dxa"/>
            <w:tcBorders>
              <w:top w:val="nil"/>
              <w:left w:val="single" w:sz="8" w:space="0" w:color="auto"/>
              <w:bottom w:val="nil"/>
              <w:right w:val="single" w:sz="8" w:space="0" w:color="auto"/>
            </w:tcBorders>
            <w:shd w:val="clear" w:color="auto" w:fill="auto"/>
            <w:noWrap/>
            <w:vAlign w:val="bottom"/>
            <w:hideMark/>
          </w:tcPr>
          <w:p w14:paraId="4847A4AF"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34.3%</w:t>
            </w:r>
          </w:p>
        </w:tc>
      </w:tr>
      <w:tr w:rsidR="00F70547" w:rsidRPr="00F70547" w14:paraId="7DC74EEB" w14:textId="77777777" w:rsidTr="00791201">
        <w:trPr>
          <w:trHeight w:val="293"/>
        </w:trPr>
        <w:tc>
          <w:tcPr>
            <w:tcW w:w="1000" w:type="dxa"/>
            <w:vMerge/>
            <w:tcBorders>
              <w:top w:val="single" w:sz="8" w:space="0" w:color="auto"/>
              <w:left w:val="single" w:sz="8" w:space="0" w:color="auto"/>
              <w:bottom w:val="nil"/>
              <w:right w:val="nil"/>
            </w:tcBorders>
            <w:vAlign w:val="center"/>
            <w:hideMark/>
          </w:tcPr>
          <w:p w14:paraId="476B688C"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64" w:type="dxa"/>
            <w:tcBorders>
              <w:top w:val="nil"/>
              <w:left w:val="nil"/>
              <w:bottom w:val="nil"/>
              <w:right w:val="single" w:sz="8" w:space="0" w:color="auto"/>
            </w:tcBorders>
            <w:shd w:val="clear" w:color="auto" w:fill="auto"/>
            <w:noWrap/>
            <w:vAlign w:val="bottom"/>
            <w:hideMark/>
          </w:tcPr>
          <w:p w14:paraId="7E96A40A"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FGC_SEI_I1C1</w:t>
            </w:r>
          </w:p>
        </w:tc>
        <w:tc>
          <w:tcPr>
            <w:tcW w:w="1000" w:type="dxa"/>
            <w:tcBorders>
              <w:top w:val="nil"/>
              <w:left w:val="nil"/>
              <w:bottom w:val="nil"/>
              <w:right w:val="nil"/>
            </w:tcBorders>
            <w:shd w:val="clear" w:color="auto" w:fill="auto"/>
            <w:noWrap/>
            <w:vAlign w:val="bottom"/>
            <w:hideMark/>
          </w:tcPr>
          <w:p w14:paraId="74200406"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4.97</w:t>
            </w:r>
          </w:p>
        </w:tc>
        <w:tc>
          <w:tcPr>
            <w:tcW w:w="1000" w:type="dxa"/>
            <w:tcBorders>
              <w:top w:val="nil"/>
              <w:left w:val="nil"/>
              <w:bottom w:val="nil"/>
              <w:right w:val="nil"/>
            </w:tcBorders>
            <w:shd w:val="clear" w:color="auto" w:fill="auto"/>
            <w:noWrap/>
            <w:vAlign w:val="bottom"/>
            <w:hideMark/>
          </w:tcPr>
          <w:p w14:paraId="0B4745B5"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3.48</w:t>
            </w:r>
          </w:p>
        </w:tc>
        <w:tc>
          <w:tcPr>
            <w:tcW w:w="1000" w:type="dxa"/>
            <w:tcBorders>
              <w:top w:val="nil"/>
              <w:left w:val="single" w:sz="8" w:space="0" w:color="auto"/>
              <w:bottom w:val="nil"/>
              <w:right w:val="single" w:sz="8" w:space="0" w:color="auto"/>
            </w:tcBorders>
            <w:shd w:val="clear" w:color="auto" w:fill="auto"/>
            <w:noWrap/>
            <w:vAlign w:val="bottom"/>
            <w:hideMark/>
          </w:tcPr>
          <w:p w14:paraId="4849D70B"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29.9%</w:t>
            </w:r>
          </w:p>
        </w:tc>
        <w:tc>
          <w:tcPr>
            <w:tcW w:w="1000" w:type="dxa"/>
            <w:tcBorders>
              <w:top w:val="nil"/>
              <w:left w:val="nil"/>
              <w:bottom w:val="nil"/>
              <w:right w:val="nil"/>
            </w:tcBorders>
            <w:shd w:val="clear" w:color="auto" w:fill="auto"/>
            <w:noWrap/>
            <w:vAlign w:val="bottom"/>
            <w:hideMark/>
          </w:tcPr>
          <w:p w14:paraId="53CB93DE"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2.31</w:t>
            </w:r>
          </w:p>
        </w:tc>
        <w:tc>
          <w:tcPr>
            <w:tcW w:w="1000" w:type="dxa"/>
            <w:tcBorders>
              <w:top w:val="nil"/>
              <w:left w:val="nil"/>
              <w:bottom w:val="nil"/>
              <w:right w:val="nil"/>
            </w:tcBorders>
            <w:shd w:val="clear" w:color="auto" w:fill="auto"/>
            <w:noWrap/>
            <w:vAlign w:val="bottom"/>
            <w:hideMark/>
          </w:tcPr>
          <w:p w14:paraId="43F48171"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1.49</w:t>
            </w:r>
          </w:p>
        </w:tc>
        <w:tc>
          <w:tcPr>
            <w:tcW w:w="1000" w:type="dxa"/>
            <w:tcBorders>
              <w:top w:val="nil"/>
              <w:left w:val="single" w:sz="8" w:space="0" w:color="auto"/>
              <w:bottom w:val="nil"/>
              <w:right w:val="single" w:sz="8" w:space="0" w:color="auto"/>
            </w:tcBorders>
            <w:shd w:val="clear" w:color="auto" w:fill="auto"/>
            <w:noWrap/>
            <w:vAlign w:val="bottom"/>
            <w:hideMark/>
          </w:tcPr>
          <w:p w14:paraId="1616A512"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35.5%</w:t>
            </w:r>
          </w:p>
        </w:tc>
      </w:tr>
      <w:tr w:rsidR="00F70547" w:rsidRPr="00F70547" w14:paraId="25306C3C" w14:textId="77777777" w:rsidTr="00791201">
        <w:trPr>
          <w:trHeight w:val="293"/>
        </w:trPr>
        <w:tc>
          <w:tcPr>
            <w:tcW w:w="256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22B9417"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Average</w:t>
            </w:r>
          </w:p>
        </w:tc>
        <w:tc>
          <w:tcPr>
            <w:tcW w:w="1000" w:type="dxa"/>
            <w:tcBorders>
              <w:top w:val="single" w:sz="8" w:space="0" w:color="auto"/>
              <w:left w:val="nil"/>
              <w:bottom w:val="single" w:sz="8" w:space="0" w:color="auto"/>
              <w:right w:val="nil"/>
            </w:tcBorders>
            <w:shd w:val="clear" w:color="auto" w:fill="auto"/>
            <w:noWrap/>
            <w:vAlign w:val="bottom"/>
            <w:hideMark/>
          </w:tcPr>
          <w:p w14:paraId="3CDD26F9"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5.62</w:t>
            </w:r>
          </w:p>
        </w:tc>
        <w:tc>
          <w:tcPr>
            <w:tcW w:w="1000" w:type="dxa"/>
            <w:tcBorders>
              <w:top w:val="single" w:sz="8" w:space="0" w:color="auto"/>
              <w:left w:val="nil"/>
              <w:bottom w:val="single" w:sz="8" w:space="0" w:color="auto"/>
              <w:right w:val="nil"/>
            </w:tcBorders>
            <w:shd w:val="clear" w:color="auto" w:fill="auto"/>
            <w:noWrap/>
            <w:vAlign w:val="bottom"/>
            <w:hideMark/>
          </w:tcPr>
          <w:p w14:paraId="0B2CF886"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3.92</w:t>
            </w:r>
          </w:p>
        </w:tc>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746ECE4"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30.2%</w:t>
            </w:r>
          </w:p>
        </w:tc>
        <w:tc>
          <w:tcPr>
            <w:tcW w:w="1000" w:type="dxa"/>
            <w:tcBorders>
              <w:top w:val="single" w:sz="8" w:space="0" w:color="auto"/>
              <w:left w:val="nil"/>
              <w:bottom w:val="single" w:sz="8" w:space="0" w:color="auto"/>
              <w:right w:val="nil"/>
            </w:tcBorders>
            <w:shd w:val="clear" w:color="auto" w:fill="auto"/>
            <w:noWrap/>
            <w:vAlign w:val="bottom"/>
            <w:hideMark/>
          </w:tcPr>
          <w:p w14:paraId="56FADA37"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2.64</w:t>
            </w:r>
          </w:p>
        </w:tc>
        <w:tc>
          <w:tcPr>
            <w:tcW w:w="1000" w:type="dxa"/>
            <w:tcBorders>
              <w:top w:val="single" w:sz="8" w:space="0" w:color="auto"/>
              <w:left w:val="nil"/>
              <w:bottom w:val="single" w:sz="8" w:space="0" w:color="auto"/>
              <w:right w:val="nil"/>
            </w:tcBorders>
            <w:shd w:val="clear" w:color="auto" w:fill="auto"/>
            <w:noWrap/>
            <w:vAlign w:val="bottom"/>
            <w:hideMark/>
          </w:tcPr>
          <w:p w14:paraId="709265B1"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1.73</w:t>
            </w:r>
          </w:p>
        </w:tc>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B541EDA"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34.5%</w:t>
            </w:r>
          </w:p>
        </w:tc>
      </w:tr>
      <w:tr w:rsidR="00F70547" w:rsidRPr="00F70547" w14:paraId="352FB7C1" w14:textId="77777777" w:rsidTr="00791201">
        <w:trPr>
          <w:trHeight w:val="285"/>
        </w:trPr>
        <w:tc>
          <w:tcPr>
            <w:tcW w:w="1000" w:type="dxa"/>
            <w:vMerge w:val="restart"/>
            <w:tcBorders>
              <w:top w:val="nil"/>
              <w:left w:val="single" w:sz="8" w:space="0" w:color="auto"/>
              <w:bottom w:val="nil"/>
              <w:right w:val="nil"/>
            </w:tcBorders>
            <w:shd w:val="clear" w:color="auto" w:fill="auto"/>
            <w:noWrap/>
            <w:vAlign w:val="center"/>
            <w:hideMark/>
          </w:tcPr>
          <w:p w14:paraId="4DB507DF"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8K</w:t>
            </w:r>
          </w:p>
        </w:tc>
        <w:tc>
          <w:tcPr>
            <w:tcW w:w="1564" w:type="dxa"/>
            <w:tcBorders>
              <w:top w:val="nil"/>
              <w:left w:val="nil"/>
              <w:bottom w:val="nil"/>
              <w:right w:val="single" w:sz="8" w:space="0" w:color="auto"/>
            </w:tcBorders>
            <w:shd w:val="clear" w:color="auto" w:fill="auto"/>
            <w:noWrap/>
            <w:vAlign w:val="bottom"/>
            <w:hideMark/>
          </w:tcPr>
          <w:p w14:paraId="34FBDA31"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FGC_SEI_I10C3</w:t>
            </w:r>
          </w:p>
        </w:tc>
        <w:tc>
          <w:tcPr>
            <w:tcW w:w="1000" w:type="dxa"/>
            <w:tcBorders>
              <w:top w:val="nil"/>
              <w:left w:val="nil"/>
              <w:bottom w:val="nil"/>
              <w:right w:val="nil"/>
            </w:tcBorders>
            <w:shd w:val="clear" w:color="auto" w:fill="auto"/>
            <w:noWrap/>
            <w:vAlign w:val="bottom"/>
            <w:hideMark/>
          </w:tcPr>
          <w:p w14:paraId="3CEE5E05"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28.48</w:t>
            </w:r>
          </w:p>
        </w:tc>
        <w:tc>
          <w:tcPr>
            <w:tcW w:w="1000" w:type="dxa"/>
            <w:tcBorders>
              <w:top w:val="nil"/>
              <w:left w:val="nil"/>
              <w:bottom w:val="nil"/>
              <w:right w:val="nil"/>
            </w:tcBorders>
            <w:shd w:val="clear" w:color="auto" w:fill="auto"/>
            <w:noWrap/>
            <w:vAlign w:val="bottom"/>
            <w:hideMark/>
          </w:tcPr>
          <w:p w14:paraId="1F99C5F4"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14.92</w:t>
            </w:r>
          </w:p>
        </w:tc>
        <w:tc>
          <w:tcPr>
            <w:tcW w:w="1000" w:type="dxa"/>
            <w:tcBorders>
              <w:top w:val="single" w:sz="8" w:space="0" w:color="auto"/>
              <w:left w:val="single" w:sz="8" w:space="0" w:color="auto"/>
              <w:bottom w:val="nil"/>
              <w:right w:val="single" w:sz="8" w:space="0" w:color="auto"/>
            </w:tcBorders>
            <w:shd w:val="clear" w:color="auto" w:fill="auto"/>
            <w:noWrap/>
            <w:vAlign w:val="bottom"/>
            <w:hideMark/>
          </w:tcPr>
          <w:p w14:paraId="694BD6D6"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47.6%</w:t>
            </w:r>
          </w:p>
        </w:tc>
        <w:tc>
          <w:tcPr>
            <w:tcW w:w="1000" w:type="dxa"/>
            <w:tcBorders>
              <w:top w:val="nil"/>
              <w:left w:val="nil"/>
              <w:bottom w:val="nil"/>
              <w:right w:val="nil"/>
            </w:tcBorders>
            <w:shd w:val="clear" w:color="auto" w:fill="auto"/>
            <w:noWrap/>
            <w:vAlign w:val="bottom"/>
            <w:hideMark/>
          </w:tcPr>
          <w:p w14:paraId="1D7DCE99"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13.27</w:t>
            </w:r>
          </w:p>
        </w:tc>
        <w:tc>
          <w:tcPr>
            <w:tcW w:w="1000" w:type="dxa"/>
            <w:tcBorders>
              <w:top w:val="nil"/>
              <w:left w:val="nil"/>
              <w:bottom w:val="nil"/>
              <w:right w:val="nil"/>
            </w:tcBorders>
            <w:shd w:val="clear" w:color="auto" w:fill="auto"/>
            <w:noWrap/>
            <w:vAlign w:val="bottom"/>
            <w:hideMark/>
          </w:tcPr>
          <w:p w14:paraId="7E6B8AE9"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6.98</w:t>
            </w:r>
          </w:p>
        </w:tc>
        <w:tc>
          <w:tcPr>
            <w:tcW w:w="1000" w:type="dxa"/>
            <w:tcBorders>
              <w:top w:val="single" w:sz="8" w:space="0" w:color="auto"/>
              <w:left w:val="single" w:sz="8" w:space="0" w:color="auto"/>
              <w:bottom w:val="nil"/>
              <w:right w:val="single" w:sz="8" w:space="0" w:color="auto"/>
            </w:tcBorders>
            <w:shd w:val="clear" w:color="auto" w:fill="auto"/>
            <w:noWrap/>
            <w:vAlign w:val="bottom"/>
            <w:hideMark/>
          </w:tcPr>
          <w:p w14:paraId="7EBD09D9"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47.4%</w:t>
            </w:r>
          </w:p>
        </w:tc>
      </w:tr>
      <w:tr w:rsidR="00F70547" w:rsidRPr="00F70547" w14:paraId="00AD6885" w14:textId="77777777" w:rsidTr="00791201">
        <w:trPr>
          <w:trHeight w:val="285"/>
        </w:trPr>
        <w:tc>
          <w:tcPr>
            <w:tcW w:w="1000" w:type="dxa"/>
            <w:vMerge/>
            <w:tcBorders>
              <w:top w:val="nil"/>
              <w:left w:val="single" w:sz="8" w:space="0" w:color="auto"/>
              <w:bottom w:val="nil"/>
              <w:right w:val="nil"/>
            </w:tcBorders>
            <w:vAlign w:val="center"/>
            <w:hideMark/>
          </w:tcPr>
          <w:p w14:paraId="02A92C93"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64" w:type="dxa"/>
            <w:tcBorders>
              <w:top w:val="nil"/>
              <w:left w:val="nil"/>
              <w:bottom w:val="nil"/>
              <w:right w:val="single" w:sz="8" w:space="0" w:color="auto"/>
            </w:tcBorders>
            <w:shd w:val="clear" w:color="auto" w:fill="auto"/>
            <w:noWrap/>
            <w:vAlign w:val="bottom"/>
            <w:hideMark/>
          </w:tcPr>
          <w:p w14:paraId="2F1FC57E"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FGC_SEI_I10C1</w:t>
            </w:r>
          </w:p>
        </w:tc>
        <w:tc>
          <w:tcPr>
            <w:tcW w:w="1000" w:type="dxa"/>
            <w:tcBorders>
              <w:top w:val="nil"/>
              <w:left w:val="nil"/>
              <w:bottom w:val="nil"/>
              <w:right w:val="nil"/>
            </w:tcBorders>
            <w:shd w:val="clear" w:color="auto" w:fill="auto"/>
            <w:noWrap/>
            <w:vAlign w:val="bottom"/>
            <w:hideMark/>
          </w:tcPr>
          <w:p w14:paraId="70E82E31"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18.23</w:t>
            </w:r>
          </w:p>
        </w:tc>
        <w:tc>
          <w:tcPr>
            <w:tcW w:w="1000" w:type="dxa"/>
            <w:tcBorders>
              <w:top w:val="nil"/>
              <w:left w:val="nil"/>
              <w:bottom w:val="nil"/>
              <w:right w:val="nil"/>
            </w:tcBorders>
            <w:shd w:val="clear" w:color="auto" w:fill="auto"/>
            <w:noWrap/>
            <w:vAlign w:val="bottom"/>
            <w:hideMark/>
          </w:tcPr>
          <w:p w14:paraId="16410038"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10.96</w:t>
            </w:r>
          </w:p>
        </w:tc>
        <w:tc>
          <w:tcPr>
            <w:tcW w:w="1000" w:type="dxa"/>
            <w:tcBorders>
              <w:top w:val="nil"/>
              <w:left w:val="single" w:sz="8" w:space="0" w:color="auto"/>
              <w:bottom w:val="nil"/>
              <w:right w:val="single" w:sz="8" w:space="0" w:color="auto"/>
            </w:tcBorders>
            <w:shd w:val="clear" w:color="auto" w:fill="auto"/>
            <w:noWrap/>
            <w:vAlign w:val="bottom"/>
            <w:hideMark/>
          </w:tcPr>
          <w:p w14:paraId="56B225E8"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39.9%</w:t>
            </w:r>
          </w:p>
        </w:tc>
        <w:tc>
          <w:tcPr>
            <w:tcW w:w="1000" w:type="dxa"/>
            <w:tcBorders>
              <w:top w:val="nil"/>
              <w:left w:val="nil"/>
              <w:bottom w:val="nil"/>
              <w:right w:val="nil"/>
            </w:tcBorders>
            <w:shd w:val="clear" w:color="auto" w:fill="auto"/>
            <w:noWrap/>
            <w:vAlign w:val="bottom"/>
            <w:hideMark/>
          </w:tcPr>
          <w:p w14:paraId="0B650CA7"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8.55</w:t>
            </w:r>
          </w:p>
        </w:tc>
        <w:tc>
          <w:tcPr>
            <w:tcW w:w="1000" w:type="dxa"/>
            <w:tcBorders>
              <w:top w:val="nil"/>
              <w:left w:val="nil"/>
              <w:bottom w:val="nil"/>
              <w:right w:val="nil"/>
            </w:tcBorders>
            <w:shd w:val="clear" w:color="auto" w:fill="auto"/>
            <w:noWrap/>
            <w:vAlign w:val="bottom"/>
            <w:hideMark/>
          </w:tcPr>
          <w:p w14:paraId="3EA30E34"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5.05</w:t>
            </w:r>
          </w:p>
        </w:tc>
        <w:tc>
          <w:tcPr>
            <w:tcW w:w="1000" w:type="dxa"/>
            <w:tcBorders>
              <w:top w:val="nil"/>
              <w:left w:val="single" w:sz="8" w:space="0" w:color="auto"/>
              <w:bottom w:val="nil"/>
              <w:right w:val="single" w:sz="8" w:space="0" w:color="auto"/>
            </w:tcBorders>
            <w:shd w:val="clear" w:color="auto" w:fill="auto"/>
            <w:noWrap/>
            <w:vAlign w:val="bottom"/>
            <w:hideMark/>
          </w:tcPr>
          <w:p w14:paraId="1064A8D3"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40.9%</w:t>
            </w:r>
          </w:p>
        </w:tc>
      </w:tr>
      <w:tr w:rsidR="00F70547" w:rsidRPr="00F70547" w14:paraId="176FA33C" w14:textId="77777777" w:rsidTr="00791201">
        <w:trPr>
          <w:trHeight w:val="293"/>
        </w:trPr>
        <w:tc>
          <w:tcPr>
            <w:tcW w:w="1000" w:type="dxa"/>
            <w:vMerge/>
            <w:tcBorders>
              <w:top w:val="nil"/>
              <w:left w:val="single" w:sz="8" w:space="0" w:color="auto"/>
              <w:bottom w:val="nil"/>
              <w:right w:val="nil"/>
            </w:tcBorders>
            <w:vAlign w:val="center"/>
            <w:hideMark/>
          </w:tcPr>
          <w:p w14:paraId="178F5CD5"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p>
        </w:tc>
        <w:tc>
          <w:tcPr>
            <w:tcW w:w="1564" w:type="dxa"/>
            <w:tcBorders>
              <w:top w:val="nil"/>
              <w:left w:val="nil"/>
              <w:bottom w:val="nil"/>
              <w:right w:val="single" w:sz="8" w:space="0" w:color="auto"/>
            </w:tcBorders>
            <w:shd w:val="clear" w:color="auto" w:fill="auto"/>
            <w:noWrap/>
            <w:vAlign w:val="bottom"/>
            <w:hideMark/>
          </w:tcPr>
          <w:p w14:paraId="71E918CA"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FGC_SEI_I1C1</w:t>
            </w:r>
          </w:p>
        </w:tc>
        <w:tc>
          <w:tcPr>
            <w:tcW w:w="1000" w:type="dxa"/>
            <w:tcBorders>
              <w:top w:val="nil"/>
              <w:left w:val="nil"/>
              <w:bottom w:val="nil"/>
              <w:right w:val="nil"/>
            </w:tcBorders>
            <w:shd w:val="clear" w:color="auto" w:fill="auto"/>
            <w:noWrap/>
            <w:vAlign w:val="bottom"/>
            <w:hideMark/>
          </w:tcPr>
          <w:p w14:paraId="1668F8AE"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19.71</w:t>
            </w:r>
          </w:p>
        </w:tc>
        <w:tc>
          <w:tcPr>
            <w:tcW w:w="1000" w:type="dxa"/>
            <w:tcBorders>
              <w:top w:val="nil"/>
              <w:left w:val="nil"/>
              <w:bottom w:val="nil"/>
              <w:right w:val="nil"/>
            </w:tcBorders>
            <w:shd w:val="clear" w:color="auto" w:fill="auto"/>
            <w:noWrap/>
            <w:vAlign w:val="bottom"/>
            <w:hideMark/>
          </w:tcPr>
          <w:p w14:paraId="5418EDAC"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11.50</w:t>
            </w:r>
          </w:p>
        </w:tc>
        <w:tc>
          <w:tcPr>
            <w:tcW w:w="1000" w:type="dxa"/>
            <w:tcBorders>
              <w:top w:val="nil"/>
              <w:left w:val="single" w:sz="8" w:space="0" w:color="auto"/>
              <w:bottom w:val="nil"/>
              <w:right w:val="single" w:sz="8" w:space="0" w:color="auto"/>
            </w:tcBorders>
            <w:shd w:val="clear" w:color="auto" w:fill="auto"/>
            <w:noWrap/>
            <w:vAlign w:val="bottom"/>
            <w:hideMark/>
          </w:tcPr>
          <w:p w14:paraId="5B62BDBE"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41.7%</w:t>
            </w:r>
          </w:p>
        </w:tc>
        <w:tc>
          <w:tcPr>
            <w:tcW w:w="1000" w:type="dxa"/>
            <w:tcBorders>
              <w:top w:val="nil"/>
              <w:left w:val="nil"/>
              <w:bottom w:val="nil"/>
              <w:right w:val="nil"/>
            </w:tcBorders>
            <w:shd w:val="clear" w:color="auto" w:fill="auto"/>
            <w:noWrap/>
            <w:vAlign w:val="bottom"/>
            <w:hideMark/>
          </w:tcPr>
          <w:p w14:paraId="76160F31"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9.08</w:t>
            </w:r>
          </w:p>
        </w:tc>
        <w:tc>
          <w:tcPr>
            <w:tcW w:w="1000" w:type="dxa"/>
            <w:tcBorders>
              <w:top w:val="nil"/>
              <w:left w:val="nil"/>
              <w:bottom w:val="nil"/>
              <w:right w:val="nil"/>
            </w:tcBorders>
            <w:shd w:val="clear" w:color="auto" w:fill="auto"/>
            <w:noWrap/>
            <w:vAlign w:val="bottom"/>
            <w:hideMark/>
          </w:tcPr>
          <w:p w14:paraId="4751BD97"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5.05</w:t>
            </w:r>
          </w:p>
        </w:tc>
        <w:tc>
          <w:tcPr>
            <w:tcW w:w="1000" w:type="dxa"/>
            <w:tcBorders>
              <w:top w:val="nil"/>
              <w:left w:val="single" w:sz="8" w:space="0" w:color="auto"/>
              <w:bottom w:val="nil"/>
              <w:right w:val="single" w:sz="8" w:space="0" w:color="auto"/>
            </w:tcBorders>
            <w:shd w:val="clear" w:color="auto" w:fill="auto"/>
            <w:noWrap/>
            <w:vAlign w:val="bottom"/>
            <w:hideMark/>
          </w:tcPr>
          <w:p w14:paraId="25E32E30"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44.3%</w:t>
            </w:r>
          </w:p>
        </w:tc>
      </w:tr>
      <w:tr w:rsidR="00F70547" w:rsidRPr="00F70547" w14:paraId="1792453A" w14:textId="77777777" w:rsidTr="00791201">
        <w:trPr>
          <w:trHeight w:val="293"/>
        </w:trPr>
        <w:tc>
          <w:tcPr>
            <w:tcW w:w="256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0D5E653"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Average</w:t>
            </w:r>
          </w:p>
        </w:tc>
        <w:tc>
          <w:tcPr>
            <w:tcW w:w="1000" w:type="dxa"/>
            <w:tcBorders>
              <w:top w:val="single" w:sz="8" w:space="0" w:color="auto"/>
              <w:left w:val="nil"/>
              <w:bottom w:val="single" w:sz="8" w:space="0" w:color="auto"/>
              <w:right w:val="nil"/>
            </w:tcBorders>
            <w:shd w:val="clear" w:color="auto" w:fill="auto"/>
            <w:noWrap/>
            <w:vAlign w:val="bottom"/>
            <w:hideMark/>
          </w:tcPr>
          <w:p w14:paraId="18F1DA77"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22.14</w:t>
            </w:r>
          </w:p>
        </w:tc>
        <w:tc>
          <w:tcPr>
            <w:tcW w:w="1000" w:type="dxa"/>
            <w:tcBorders>
              <w:top w:val="single" w:sz="8" w:space="0" w:color="auto"/>
              <w:left w:val="nil"/>
              <w:bottom w:val="single" w:sz="8" w:space="0" w:color="auto"/>
              <w:right w:val="nil"/>
            </w:tcBorders>
            <w:shd w:val="clear" w:color="auto" w:fill="auto"/>
            <w:noWrap/>
            <w:vAlign w:val="bottom"/>
            <w:hideMark/>
          </w:tcPr>
          <w:p w14:paraId="1156D8AE"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12.46</w:t>
            </w:r>
          </w:p>
        </w:tc>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BC34FB2"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43.7%</w:t>
            </w:r>
          </w:p>
        </w:tc>
        <w:tc>
          <w:tcPr>
            <w:tcW w:w="1000" w:type="dxa"/>
            <w:tcBorders>
              <w:top w:val="single" w:sz="8" w:space="0" w:color="auto"/>
              <w:left w:val="nil"/>
              <w:bottom w:val="single" w:sz="8" w:space="0" w:color="auto"/>
              <w:right w:val="nil"/>
            </w:tcBorders>
            <w:shd w:val="clear" w:color="auto" w:fill="auto"/>
            <w:noWrap/>
            <w:vAlign w:val="bottom"/>
            <w:hideMark/>
          </w:tcPr>
          <w:p w14:paraId="1ED53A41"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10.30</w:t>
            </w:r>
          </w:p>
        </w:tc>
        <w:tc>
          <w:tcPr>
            <w:tcW w:w="1000" w:type="dxa"/>
            <w:tcBorders>
              <w:top w:val="single" w:sz="8" w:space="0" w:color="auto"/>
              <w:left w:val="nil"/>
              <w:bottom w:val="single" w:sz="8" w:space="0" w:color="auto"/>
              <w:right w:val="nil"/>
            </w:tcBorders>
            <w:shd w:val="clear" w:color="auto" w:fill="auto"/>
            <w:noWrap/>
            <w:vAlign w:val="bottom"/>
            <w:hideMark/>
          </w:tcPr>
          <w:p w14:paraId="75289A3D"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color w:val="000000"/>
                <w:szCs w:val="22"/>
                <w:lang w:eastAsia="zh-CN"/>
              </w:rPr>
            </w:pPr>
            <w:r w:rsidRPr="00F70547">
              <w:rPr>
                <w:rFonts w:ascii="Calibri" w:eastAsia="Times New Roman" w:hAnsi="Calibri" w:cs="Calibri"/>
                <w:color w:val="000000"/>
                <w:szCs w:val="22"/>
                <w:lang w:eastAsia="zh-CN"/>
              </w:rPr>
              <w:t>5.69</w:t>
            </w:r>
          </w:p>
        </w:tc>
        <w:tc>
          <w:tcPr>
            <w:tcW w:w="10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1B21311" w14:textId="77777777" w:rsidR="00F70547" w:rsidRPr="00F70547" w:rsidRDefault="00F70547" w:rsidP="00F7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s="Calibri"/>
                <w:b/>
                <w:bCs/>
                <w:color w:val="000000"/>
                <w:szCs w:val="22"/>
                <w:lang w:eastAsia="zh-CN"/>
              </w:rPr>
            </w:pPr>
            <w:r w:rsidRPr="00F70547">
              <w:rPr>
                <w:rFonts w:ascii="Calibri" w:eastAsia="Times New Roman" w:hAnsi="Calibri" w:cs="Calibri"/>
                <w:b/>
                <w:bCs/>
                <w:color w:val="000000"/>
                <w:szCs w:val="22"/>
                <w:lang w:eastAsia="zh-CN"/>
              </w:rPr>
              <w:t>44.7%</w:t>
            </w:r>
          </w:p>
        </w:tc>
      </w:tr>
    </w:tbl>
    <w:p w14:paraId="7182AAAD" w14:textId="77777777" w:rsidR="00F70547" w:rsidRDefault="00F70547" w:rsidP="00791201">
      <w:pPr>
        <w:rPr>
          <w:lang w:val="en-CA"/>
        </w:rPr>
      </w:pPr>
    </w:p>
    <w:sectPr w:rsidR="00F70547"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370EF" w14:textId="77777777" w:rsidR="0021354C" w:rsidRDefault="0021354C">
      <w:r>
        <w:separator/>
      </w:r>
    </w:p>
  </w:endnote>
  <w:endnote w:type="continuationSeparator" w:id="0">
    <w:p w14:paraId="32B9C6C8" w14:textId="77777777" w:rsidR="0021354C" w:rsidRDefault="0021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406C0C" w:rsidR="00E81A75" w:rsidRPr="00C00DDE" w:rsidRDefault="00E81A7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4378F">
      <w:rPr>
        <w:rStyle w:val="a5"/>
        <w:noProof/>
      </w:rPr>
      <w:t>2021-09-30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514DD" w14:textId="77777777" w:rsidR="0021354C" w:rsidRDefault="0021354C">
      <w:r>
        <w:separator/>
      </w:r>
    </w:p>
  </w:footnote>
  <w:footnote w:type="continuationSeparator" w:id="0">
    <w:p w14:paraId="0ECA55B8" w14:textId="77777777" w:rsidR="0021354C" w:rsidRDefault="0021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A0492"/>
    <w:multiLevelType w:val="hybridMultilevel"/>
    <w:tmpl w:val="29DC4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1716D"/>
    <w:multiLevelType w:val="hybridMultilevel"/>
    <w:tmpl w:val="7F72B4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89B"/>
    <w:rsid w:val="000308A3"/>
    <w:rsid w:val="00035980"/>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0EBF"/>
    <w:rsid w:val="000F09DF"/>
    <w:rsid w:val="000F158C"/>
    <w:rsid w:val="00102F3D"/>
    <w:rsid w:val="00124E38"/>
    <w:rsid w:val="0012580B"/>
    <w:rsid w:val="00131F90"/>
    <w:rsid w:val="0013458C"/>
    <w:rsid w:val="001345C0"/>
    <w:rsid w:val="0013526E"/>
    <w:rsid w:val="00146152"/>
    <w:rsid w:val="00155526"/>
    <w:rsid w:val="001562A5"/>
    <w:rsid w:val="00171371"/>
    <w:rsid w:val="00175A24"/>
    <w:rsid w:val="00187E58"/>
    <w:rsid w:val="001A297E"/>
    <w:rsid w:val="001A368E"/>
    <w:rsid w:val="001A7329"/>
    <w:rsid w:val="001A792F"/>
    <w:rsid w:val="001B04B3"/>
    <w:rsid w:val="001B4E28"/>
    <w:rsid w:val="001C3525"/>
    <w:rsid w:val="001C3AFB"/>
    <w:rsid w:val="001D07F0"/>
    <w:rsid w:val="001D1BD2"/>
    <w:rsid w:val="001E0248"/>
    <w:rsid w:val="001E02BE"/>
    <w:rsid w:val="001E3B37"/>
    <w:rsid w:val="001F2594"/>
    <w:rsid w:val="001F6836"/>
    <w:rsid w:val="002055A6"/>
    <w:rsid w:val="00206460"/>
    <w:rsid w:val="002069B4"/>
    <w:rsid w:val="0021354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639C"/>
    <w:rsid w:val="002B1595"/>
    <w:rsid w:val="002B191D"/>
    <w:rsid w:val="002B2E83"/>
    <w:rsid w:val="002C6618"/>
    <w:rsid w:val="002D0AF6"/>
    <w:rsid w:val="002F164D"/>
    <w:rsid w:val="003021BC"/>
    <w:rsid w:val="00306206"/>
    <w:rsid w:val="00317D85"/>
    <w:rsid w:val="00327C56"/>
    <w:rsid w:val="003315A1"/>
    <w:rsid w:val="003373EC"/>
    <w:rsid w:val="00337E47"/>
    <w:rsid w:val="00342FF4"/>
    <w:rsid w:val="00344E5A"/>
    <w:rsid w:val="00346148"/>
    <w:rsid w:val="00357C51"/>
    <w:rsid w:val="00363EE9"/>
    <w:rsid w:val="00363F72"/>
    <w:rsid w:val="003669EA"/>
    <w:rsid w:val="003706CC"/>
    <w:rsid w:val="00377710"/>
    <w:rsid w:val="00384622"/>
    <w:rsid w:val="003A2D8E"/>
    <w:rsid w:val="003A7CE6"/>
    <w:rsid w:val="003C20E4"/>
    <w:rsid w:val="003D6342"/>
    <w:rsid w:val="003E6F90"/>
    <w:rsid w:val="003E73ED"/>
    <w:rsid w:val="003F5D0F"/>
    <w:rsid w:val="0041196E"/>
    <w:rsid w:val="00414101"/>
    <w:rsid w:val="00420748"/>
    <w:rsid w:val="004219CF"/>
    <w:rsid w:val="004234F0"/>
    <w:rsid w:val="00427EEC"/>
    <w:rsid w:val="00433DDB"/>
    <w:rsid w:val="00435A29"/>
    <w:rsid w:val="00437619"/>
    <w:rsid w:val="0045337A"/>
    <w:rsid w:val="00461FEB"/>
    <w:rsid w:val="00465A1E"/>
    <w:rsid w:val="004847EB"/>
    <w:rsid w:val="00487047"/>
    <w:rsid w:val="0049445A"/>
    <w:rsid w:val="004957D9"/>
    <w:rsid w:val="004A2A63"/>
    <w:rsid w:val="004B210C"/>
    <w:rsid w:val="004B6170"/>
    <w:rsid w:val="004D405F"/>
    <w:rsid w:val="004E4F4F"/>
    <w:rsid w:val="004E6789"/>
    <w:rsid w:val="004F61E3"/>
    <w:rsid w:val="00502E10"/>
    <w:rsid w:val="0050354E"/>
    <w:rsid w:val="00507EFD"/>
    <w:rsid w:val="0051015C"/>
    <w:rsid w:val="00514D04"/>
    <w:rsid w:val="00516CF1"/>
    <w:rsid w:val="00531AE9"/>
    <w:rsid w:val="00536188"/>
    <w:rsid w:val="00550A66"/>
    <w:rsid w:val="00567EC7"/>
    <w:rsid w:val="00570013"/>
    <w:rsid w:val="005753EC"/>
    <w:rsid w:val="005801A2"/>
    <w:rsid w:val="005952A5"/>
    <w:rsid w:val="005A0F06"/>
    <w:rsid w:val="005A33A1"/>
    <w:rsid w:val="005B217D"/>
    <w:rsid w:val="005C385F"/>
    <w:rsid w:val="005C388E"/>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2613"/>
    <w:rsid w:val="006D6D9B"/>
    <w:rsid w:val="006E2810"/>
    <w:rsid w:val="006E5417"/>
    <w:rsid w:val="006F0794"/>
    <w:rsid w:val="006F7528"/>
    <w:rsid w:val="007023DE"/>
    <w:rsid w:val="00707D4B"/>
    <w:rsid w:val="00712F60"/>
    <w:rsid w:val="00720E3B"/>
    <w:rsid w:val="0074393F"/>
    <w:rsid w:val="00745F6B"/>
    <w:rsid w:val="0075175B"/>
    <w:rsid w:val="0075585E"/>
    <w:rsid w:val="00770571"/>
    <w:rsid w:val="007768FF"/>
    <w:rsid w:val="00781720"/>
    <w:rsid w:val="007824D3"/>
    <w:rsid w:val="00791201"/>
    <w:rsid w:val="00793D37"/>
    <w:rsid w:val="007946B2"/>
    <w:rsid w:val="00796EE3"/>
    <w:rsid w:val="007A7D29"/>
    <w:rsid w:val="007B4AB8"/>
    <w:rsid w:val="007C081C"/>
    <w:rsid w:val="007D1181"/>
    <w:rsid w:val="007E01A3"/>
    <w:rsid w:val="007F1F8B"/>
    <w:rsid w:val="007F6205"/>
    <w:rsid w:val="007F67A1"/>
    <w:rsid w:val="00801A7B"/>
    <w:rsid w:val="00802BA1"/>
    <w:rsid w:val="00811C05"/>
    <w:rsid w:val="008206C8"/>
    <w:rsid w:val="00857F3E"/>
    <w:rsid w:val="008629CD"/>
    <w:rsid w:val="0086387C"/>
    <w:rsid w:val="00874A6C"/>
    <w:rsid w:val="00876C65"/>
    <w:rsid w:val="00882F72"/>
    <w:rsid w:val="00886F58"/>
    <w:rsid w:val="00893DC4"/>
    <w:rsid w:val="008A4B4C"/>
    <w:rsid w:val="008B3FB3"/>
    <w:rsid w:val="008B4E33"/>
    <w:rsid w:val="008C239F"/>
    <w:rsid w:val="008D515D"/>
    <w:rsid w:val="008E480C"/>
    <w:rsid w:val="008E7149"/>
    <w:rsid w:val="0090308A"/>
    <w:rsid w:val="00905635"/>
    <w:rsid w:val="00907757"/>
    <w:rsid w:val="009212B0"/>
    <w:rsid w:val="00921FA1"/>
    <w:rsid w:val="009234A5"/>
    <w:rsid w:val="00933453"/>
    <w:rsid w:val="009336F7"/>
    <w:rsid w:val="00935344"/>
    <w:rsid w:val="0093636C"/>
    <w:rsid w:val="009374A7"/>
    <w:rsid w:val="00937F03"/>
    <w:rsid w:val="0094792C"/>
    <w:rsid w:val="00955F6D"/>
    <w:rsid w:val="00975286"/>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200A"/>
    <w:rsid w:val="00A4378F"/>
    <w:rsid w:val="00A46843"/>
    <w:rsid w:val="00A56B97"/>
    <w:rsid w:val="00A6093D"/>
    <w:rsid w:val="00A703CE"/>
    <w:rsid w:val="00A72017"/>
    <w:rsid w:val="00A767DC"/>
    <w:rsid w:val="00A76A6D"/>
    <w:rsid w:val="00A83253"/>
    <w:rsid w:val="00A933DB"/>
    <w:rsid w:val="00A965C1"/>
    <w:rsid w:val="00AA6E84"/>
    <w:rsid w:val="00AB1A1C"/>
    <w:rsid w:val="00AB2B9F"/>
    <w:rsid w:val="00AB7405"/>
    <w:rsid w:val="00AD05A8"/>
    <w:rsid w:val="00AD18E9"/>
    <w:rsid w:val="00AE341B"/>
    <w:rsid w:val="00AE6354"/>
    <w:rsid w:val="00AE6F69"/>
    <w:rsid w:val="00AF51C5"/>
    <w:rsid w:val="00B01905"/>
    <w:rsid w:val="00B07CA7"/>
    <w:rsid w:val="00B1279A"/>
    <w:rsid w:val="00B24E03"/>
    <w:rsid w:val="00B3640F"/>
    <w:rsid w:val="00B4194A"/>
    <w:rsid w:val="00B437E8"/>
    <w:rsid w:val="00B51F2C"/>
    <w:rsid w:val="00B5222E"/>
    <w:rsid w:val="00B53179"/>
    <w:rsid w:val="00B532EA"/>
    <w:rsid w:val="00B57A23"/>
    <w:rsid w:val="00B600CD"/>
    <w:rsid w:val="00B61C96"/>
    <w:rsid w:val="00B73A2A"/>
    <w:rsid w:val="00B75A51"/>
    <w:rsid w:val="00B827C6"/>
    <w:rsid w:val="00B83895"/>
    <w:rsid w:val="00B94B06"/>
    <w:rsid w:val="00B94C28"/>
    <w:rsid w:val="00BB3522"/>
    <w:rsid w:val="00BC10BA"/>
    <w:rsid w:val="00BC5AFD"/>
    <w:rsid w:val="00C00DDE"/>
    <w:rsid w:val="00C04F43"/>
    <w:rsid w:val="00C05271"/>
    <w:rsid w:val="00C0609D"/>
    <w:rsid w:val="00C115AB"/>
    <w:rsid w:val="00C26CCB"/>
    <w:rsid w:val="00C30249"/>
    <w:rsid w:val="00C3723B"/>
    <w:rsid w:val="00C42466"/>
    <w:rsid w:val="00C50810"/>
    <w:rsid w:val="00C606C9"/>
    <w:rsid w:val="00C6618A"/>
    <w:rsid w:val="00C7624B"/>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C2524"/>
    <w:rsid w:val="00DD02F4"/>
    <w:rsid w:val="00DD6622"/>
    <w:rsid w:val="00DE1C7C"/>
    <w:rsid w:val="00DE6B43"/>
    <w:rsid w:val="00DF12BF"/>
    <w:rsid w:val="00E11923"/>
    <w:rsid w:val="00E11DE6"/>
    <w:rsid w:val="00E262D4"/>
    <w:rsid w:val="00E301DC"/>
    <w:rsid w:val="00E36250"/>
    <w:rsid w:val="00E37D74"/>
    <w:rsid w:val="00E47F2D"/>
    <w:rsid w:val="00E54511"/>
    <w:rsid w:val="00E60EDC"/>
    <w:rsid w:val="00E61DAC"/>
    <w:rsid w:val="00E72B80"/>
    <w:rsid w:val="00E75FE3"/>
    <w:rsid w:val="00E81A75"/>
    <w:rsid w:val="00E854B3"/>
    <w:rsid w:val="00E86C4C"/>
    <w:rsid w:val="00E907A3"/>
    <w:rsid w:val="00EA56C6"/>
    <w:rsid w:val="00EA5AE0"/>
    <w:rsid w:val="00EB56E1"/>
    <w:rsid w:val="00EB7AB1"/>
    <w:rsid w:val="00EC32BD"/>
    <w:rsid w:val="00EC7158"/>
    <w:rsid w:val="00EE7CD8"/>
    <w:rsid w:val="00EF37F6"/>
    <w:rsid w:val="00EF48CC"/>
    <w:rsid w:val="00F00801"/>
    <w:rsid w:val="00F2488D"/>
    <w:rsid w:val="00F44434"/>
    <w:rsid w:val="00F5583F"/>
    <w:rsid w:val="00F601A0"/>
    <w:rsid w:val="00F64F82"/>
    <w:rsid w:val="00F7020A"/>
    <w:rsid w:val="00F70547"/>
    <w:rsid w:val="00F712E9"/>
    <w:rsid w:val="00F73032"/>
    <w:rsid w:val="00F848FC"/>
    <w:rsid w:val="00F906F6"/>
    <w:rsid w:val="00F9282A"/>
    <w:rsid w:val="00F93089"/>
    <w:rsid w:val="00F93FC8"/>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C6618A"/>
    <w:pPr>
      <w:ind w:leftChars="400" w:left="840"/>
    </w:pPr>
    <w:rPr>
      <w:rFonts w:eastAsiaTheme="minorEastAsia"/>
    </w:rPr>
  </w:style>
  <w:style w:type="character" w:customStyle="1" w:styleId="ad">
    <w:name w:val="列表段落 字符"/>
    <w:link w:val="ac"/>
    <w:uiPriority w:val="34"/>
    <w:rsid w:val="00C6618A"/>
    <w:rPr>
      <w:rFonts w:eastAsiaTheme="minorEastAsia"/>
      <w:sz w:val="22"/>
    </w:rPr>
  </w:style>
  <w:style w:type="paragraph" w:styleId="ae">
    <w:name w:val="caption"/>
    <w:basedOn w:val="a"/>
    <w:next w:val="a"/>
    <w:unhideWhenUsed/>
    <w:qFormat/>
    <w:rsid w:val="00A965C1"/>
    <w:pPr>
      <w:spacing w:before="0" w:after="200"/>
    </w:pPr>
    <w:rPr>
      <w:i/>
      <w:iCs/>
      <w:color w:val="44546A" w:themeColor="text2"/>
      <w:sz w:val="18"/>
      <w:szCs w:val="18"/>
    </w:rPr>
  </w:style>
  <w:style w:type="character" w:styleId="af">
    <w:name w:val="annotation reference"/>
    <w:basedOn w:val="a0"/>
    <w:rsid w:val="0094792C"/>
    <w:rPr>
      <w:sz w:val="16"/>
      <w:szCs w:val="16"/>
    </w:rPr>
  </w:style>
  <w:style w:type="paragraph" w:styleId="af0">
    <w:name w:val="annotation text"/>
    <w:basedOn w:val="a"/>
    <w:link w:val="af1"/>
    <w:rsid w:val="0094792C"/>
    <w:rPr>
      <w:sz w:val="20"/>
    </w:rPr>
  </w:style>
  <w:style w:type="character" w:customStyle="1" w:styleId="af1">
    <w:name w:val="批注文字 字符"/>
    <w:basedOn w:val="a0"/>
    <w:link w:val="af0"/>
    <w:rsid w:val="0094792C"/>
  </w:style>
  <w:style w:type="paragraph" w:styleId="af2">
    <w:name w:val="annotation subject"/>
    <w:basedOn w:val="af0"/>
    <w:next w:val="af0"/>
    <w:link w:val="af3"/>
    <w:semiHidden/>
    <w:unhideWhenUsed/>
    <w:rsid w:val="0094792C"/>
    <w:rPr>
      <w:b/>
      <w:bCs/>
    </w:rPr>
  </w:style>
  <w:style w:type="character" w:customStyle="1" w:styleId="af3">
    <w:name w:val="批注主题 字符"/>
    <w:basedOn w:val="af1"/>
    <w:link w:val="af2"/>
    <w:semiHidden/>
    <w:rsid w:val="009479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95583">
      <w:bodyDiv w:val="1"/>
      <w:marLeft w:val="0"/>
      <w:marRight w:val="0"/>
      <w:marTop w:val="0"/>
      <w:marBottom w:val="0"/>
      <w:divBdr>
        <w:top w:val="none" w:sz="0" w:space="0" w:color="auto"/>
        <w:left w:val="none" w:sz="0" w:space="0" w:color="auto"/>
        <w:bottom w:val="none" w:sz="0" w:space="0" w:color="auto"/>
        <w:right w:val="none" w:sz="0" w:space="0" w:color="auto"/>
      </w:divBdr>
    </w:div>
    <w:div w:id="380834146">
      <w:bodyDiv w:val="1"/>
      <w:marLeft w:val="0"/>
      <w:marRight w:val="0"/>
      <w:marTop w:val="0"/>
      <w:marBottom w:val="0"/>
      <w:divBdr>
        <w:top w:val="none" w:sz="0" w:space="0" w:color="auto"/>
        <w:left w:val="none" w:sz="0" w:space="0" w:color="auto"/>
        <w:bottom w:val="none" w:sz="0" w:space="0" w:color="auto"/>
        <w:right w:val="none" w:sz="0" w:space="0" w:color="auto"/>
      </w:divBdr>
    </w:div>
    <w:div w:id="564141271">
      <w:bodyDiv w:val="1"/>
      <w:marLeft w:val="0"/>
      <w:marRight w:val="0"/>
      <w:marTop w:val="0"/>
      <w:marBottom w:val="0"/>
      <w:divBdr>
        <w:top w:val="none" w:sz="0" w:space="0" w:color="auto"/>
        <w:left w:val="none" w:sz="0" w:space="0" w:color="auto"/>
        <w:bottom w:val="none" w:sz="0" w:space="0" w:color="auto"/>
        <w:right w:val="none" w:sz="0" w:space="0" w:color="auto"/>
      </w:divBdr>
    </w:div>
    <w:div w:id="1415779183">
      <w:bodyDiv w:val="1"/>
      <w:marLeft w:val="0"/>
      <w:marRight w:val="0"/>
      <w:marTop w:val="0"/>
      <w:marBottom w:val="0"/>
      <w:divBdr>
        <w:top w:val="none" w:sz="0" w:space="0" w:color="auto"/>
        <w:left w:val="none" w:sz="0" w:space="0" w:color="auto"/>
        <w:bottom w:val="none" w:sz="0" w:space="0" w:color="auto"/>
        <w:right w:val="none" w:sz="0" w:space="0" w:color="auto"/>
      </w:divBdr>
    </w:div>
    <w:div w:id="1466391182">
      <w:bodyDiv w:val="1"/>
      <w:marLeft w:val="0"/>
      <w:marRight w:val="0"/>
      <w:marTop w:val="0"/>
      <w:marBottom w:val="0"/>
      <w:divBdr>
        <w:top w:val="none" w:sz="0" w:space="0" w:color="auto"/>
        <w:left w:val="none" w:sz="0" w:space="0" w:color="auto"/>
        <w:bottom w:val="none" w:sz="0" w:space="0" w:color="auto"/>
        <w:right w:val="none" w:sz="0" w:space="0" w:color="auto"/>
      </w:divBdr>
    </w:div>
    <w:div w:id="15563582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4A6BE-2FA1-467A-B0AD-897254CA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TotalTime>
  <Pages>1</Pages>
  <Words>267</Words>
  <Characters>1527</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rl</cp:lastModifiedBy>
  <cp:revision>40</cp:revision>
  <cp:lastPrinted>1900-01-01T08:00:00Z</cp:lastPrinted>
  <dcterms:created xsi:type="dcterms:W3CDTF">2021-08-25T19:17:00Z</dcterms:created>
  <dcterms:modified xsi:type="dcterms:W3CDTF">2021-10-06T05:49:00Z</dcterms:modified>
</cp:coreProperties>
</file>