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1881F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862CE" w:rsidRPr="00B862CE">
              <w:rPr>
                <w:lang w:val="en-CA"/>
              </w:rPr>
              <w:t>0607-v1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E17B84" w:rsidR="00E61DAC" w:rsidRPr="005B217D" w:rsidRDefault="00B862CE" w:rsidP="009D7CE6">
            <w:pPr>
              <w:spacing w:before="60" w:after="60"/>
              <w:rPr>
                <w:b/>
                <w:szCs w:val="22"/>
                <w:lang w:val="en-CA"/>
              </w:rPr>
            </w:pPr>
            <w:r w:rsidRPr="00B862CE">
              <w:rPr>
                <w:b/>
                <w:szCs w:val="22"/>
                <w:lang w:val="en-CA"/>
              </w:rPr>
              <w:t>AHG18: Two Stage Residual Coding for Lossless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5EE1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9CD68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862C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7A286210" w:rsidR="00E61DAC" w:rsidRPr="005B217D" w:rsidRDefault="00B862CE">
            <w:pPr>
              <w:spacing w:before="60" w:after="60"/>
              <w:rPr>
                <w:szCs w:val="22"/>
                <w:lang w:val="en-CA"/>
              </w:rPr>
            </w:pPr>
            <w:r>
              <w:rPr>
                <w:szCs w:val="22"/>
                <w:lang w:val="en-CA"/>
              </w:rPr>
              <w:t>Benjamin Bross,</w:t>
            </w:r>
            <w:r>
              <w:rPr>
                <w:szCs w:val="22"/>
                <w:lang w:val="en-CA"/>
              </w:rPr>
              <w:br/>
              <w:t>Tung Nguyen</w:t>
            </w:r>
            <w:r>
              <w:rPr>
                <w:szCs w:val="22"/>
                <w:lang w:val="en-CA"/>
              </w:rPr>
              <w:br/>
              <w:t>Heiko Schwarz,</w:t>
            </w:r>
            <w:r w:rsidRPr="001C0AB8">
              <w:rPr>
                <w:szCs w:val="22"/>
                <w:lang w:val="en-CA"/>
              </w:rPr>
              <w:br/>
            </w:r>
            <w:proofErr w:type="spellStart"/>
            <w:r w:rsidRPr="001C0AB8">
              <w:rPr>
                <w:szCs w:val="22"/>
                <w:lang w:val="en-CA"/>
              </w:rPr>
              <w:t>Detlev</w:t>
            </w:r>
            <w:proofErr w:type="spellEnd"/>
            <w:r w:rsidRPr="001C0AB8">
              <w:rPr>
                <w:szCs w:val="22"/>
                <w:lang w:val="en-CA"/>
              </w:rPr>
              <w:t xml:space="preserve"> </w:t>
            </w:r>
            <w:proofErr w:type="spellStart"/>
            <w:r w:rsidRPr="001C0AB8">
              <w:rPr>
                <w:szCs w:val="22"/>
                <w:lang w:val="en-CA"/>
              </w:rPr>
              <w:t>Marpe</w:t>
            </w:r>
            <w:proofErr w:type="spellEnd"/>
            <w:r>
              <w:rPr>
                <w:szCs w:val="22"/>
                <w:lang w:val="en-CA"/>
              </w:rPr>
              <w:t>,</w:t>
            </w:r>
            <w:r>
              <w:rPr>
                <w:szCs w:val="22"/>
                <w:lang w:val="en-CA"/>
              </w:rPr>
              <w:br/>
              <w:t>Thomas Wiegand</w:t>
            </w:r>
            <w:r w:rsidRPr="001C0AB8">
              <w:rPr>
                <w:szCs w:val="22"/>
                <w:lang w:val="en-CA"/>
              </w:rPr>
              <w:br/>
            </w:r>
            <w:r>
              <w:rPr>
                <w:szCs w:val="22"/>
                <w:lang w:val="de-DE"/>
              </w:rPr>
              <w:br/>
              <w:t>Fraunhofer HHI</w:t>
            </w:r>
            <w:r>
              <w:rPr>
                <w:szCs w:val="22"/>
                <w:lang w:val="de-DE"/>
              </w:rPr>
              <w:br/>
              <w:t>Einsteinufer 37</w:t>
            </w:r>
            <w:r>
              <w:rPr>
                <w:szCs w:val="22"/>
                <w:lang w:val="de-DE"/>
              </w:rPr>
              <w:br/>
              <w:t>10587 Berlin, Germany</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831" w:type="dxa"/>
          </w:tcPr>
          <w:p w14:paraId="32C2ABFD" w14:textId="2E5C2AAB" w:rsidR="00E61DAC" w:rsidRPr="005B217D" w:rsidRDefault="00E61DAC" w:rsidP="005952A5">
            <w:pPr>
              <w:spacing w:before="60" w:after="60"/>
              <w:rPr>
                <w:szCs w:val="22"/>
                <w:lang w:val="en-CA"/>
              </w:rPr>
            </w:pPr>
            <w:r w:rsidRPr="005B217D">
              <w:rPr>
                <w:szCs w:val="22"/>
                <w:lang w:val="en-CA"/>
              </w:rPr>
              <w:br/>
            </w:r>
            <w:r w:rsidRPr="005B217D">
              <w:rPr>
                <w:szCs w:val="22"/>
                <w:lang w:val="en-CA"/>
              </w:rPr>
              <w:br/>
            </w:r>
            <w:proofErr w:type="spellStart"/>
            <w:r w:rsidR="00B862CE">
              <w:rPr>
                <w:szCs w:val="22"/>
                <w:lang w:val="en-CA"/>
              </w:rPr>
              <w:t>firstname.lastname@hhi.fraunhofer.de</w:t>
            </w:r>
            <w:proofErr w:type="spell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27355A" w:rsidR="00E61DAC" w:rsidRPr="005B217D" w:rsidRDefault="00B862CE">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77FF5F9" w:rsidR="00263398" w:rsidRPr="005B217D" w:rsidRDefault="007F7112" w:rsidP="009234A5">
      <w:pPr>
        <w:rPr>
          <w:szCs w:val="22"/>
          <w:lang w:val="en-CA"/>
        </w:rPr>
      </w:pPr>
      <w:r>
        <w:rPr>
          <w:lang w:val="en-CA"/>
        </w:rPr>
        <w:t>This contribution proposes two stage residual coding to improve the coding efficiency for the lossless coding use case. The proposed technique invoke</w:t>
      </w:r>
      <w:r w:rsidR="00936944">
        <w:rPr>
          <w:lang w:val="en-CA"/>
        </w:rPr>
        <w:t>s</w:t>
      </w:r>
      <w:r>
        <w:rPr>
          <w:lang w:val="en-CA"/>
        </w:rPr>
        <w:t xml:space="preserve"> the residual coding/decoding a second time to encode/decode the quantization error signal</w:t>
      </w:r>
      <w:r w:rsidR="00936944">
        <w:rPr>
          <w:lang w:val="en-CA"/>
        </w:rPr>
        <w:t xml:space="preserve"> to allow for lossless coding</w:t>
      </w:r>
      <w:r>
        <w:rPr>
          <w:lang w:val="en-CA"/>
        </w:rPr>
        <w:t xml:space="preserve">. The proposed method provides 3.53% </w:t>
      </w:r>
      <w:r w:rsidR="00936944">
        <w:rPr>
          <w:lang w:val="en-CA"/>
        </w:rPr>
        <w:t>bit</w:t>
      </w:r>
      <w:r>
        <w:rPr>
          <w:lang w:val="en-CA"/>
        </w:rPr>
        <w:t xml:space="preserve">-rate </w:t>
      </w:r>
      <w:r w:rsidR="00936944">
        <w:rPr>
          <w:lang w:val="en-CA"/>
        </w:rPr>
        <w:t xml:space="preserve">reduction </w:t>
      </w:r>
      <w:r>
        <w:rPr>
          <w:lang w:val="en-CA"/>
        </w:rPr>
        <w:t xml:space="preserve">for AI compared to the AHG18 VTM lossless anchor and </w:t>
      </w:r>
      <w:r w:rsidR="00B80D7B">
        <w:rPr>
          <w:lang w:val="en-CA"/>
        </w:rPr>
        <w:t xml:space="preserve">8.71% </w:t>
      </w:r>
      <w:r w:rsidR="00936944">
        <w:rPr>
          <w:lang w:val="en-CA"/>
        </w:rPr>
        <w:t>bit</w:t>
      </w:r>
      <w:r w:rsidR="00B80D7B">
        <w:rPr>
          <w:lang w:val="en-CA"/>
        </w:rPr>
        <w:t xml:space="preserve">-rate </w:t>
      </w:r>
      <w:r w:rsidR="00936944">
        <w:rPr>
          <w:lang w:val="en-CA"/>
        </w:rPr>
        <w:t>reduction</w:t>
      </w:r>
      <w:r w:rsidR="00B80D7B">
        <w:rPr>
          <w:lang w:val="en-CA"/>
        </w:rPr>
        <w:t xml:space="preserve"> compared to the HM lossless anchor.</w:t>
      </w:r>
    </w:p>
    <w:p w14:paraId="7D2AC1F0" w14:textId="76BB64CB" w:rsidR="00745F6B" w:rsidRPr="005B217D" w:rsidRDefault="007F7112" w:rsidP="00E11923">
      <w:pPr>
        <w:pStyle w:val="Heading1"/>
        <w:rPr>
          <w:lang w:val="en-CA"/>
        </w:rPr>
      </w:pPr>
      <w:r>
        <w:rPr>
          <w:lang w:val="en-CA"/>
        </w:rPr>
        <w:t>Two stage residual coding for lossless</w:t>
      </w:r>
    </w:p>
    <w:p w14:paraId="6F3D8BEC" w14:textId="430C20CE" w:rsidR="007F7112" w:rsidRDefault="00B80D7B" w:rsidP="009234A5">
      <w:pPr>
        <w:rPr>
          <w:szCs w:val="22"/>
          <w:lang w:val="en-CA"/>
        </w:rPr>
      </w:pPr>
      <w:r>
        <w:rPr>
          <w:szCs w:val="22"/>
          <w:lang w:val="en-CA"/>
        </w:rPr>
        <w:t xml:space="preserve">The basic principle is shown in </w:t>
      </w:r>
      <w:r w:rsidR="007E5EEE">
        <w:rPr>
          <w:szCs w:val="22"/>
          <w:lang w:val="en-CA"/>
        </w:rPr>
        <w:fldChar w:fldCharType="begin"/>
      </w:r>
      <w:r w:rsidR="007E5EEE">
        <w:rPr>
          <w:szCs w:val="22"/>
          <w:lang w:val="en-CA"/>
        </w:rPr>
        <w:instrText xml:space="preserve"> REF _Ref20308750 \h </w:instrText>
      </w:r>
      <w:r w:rsidR="007E5EEE">
        <w:rPr>
          <w:szCs w:val="22"/>
          <w:lang w:val="en-CA"/>
        </w:rPr>
      </w:r>
      <w:r w:rsidR="007E5EEE">
        <w:rPr>
          <w:szCs w:val="22"/>
          <w:lang w:val="en-CA"/>
        </w:rPr>
        <w:fldChar w:fldCharType="separate"/>
      </w:r>
      <w:r w:rsidR="007E5EEE">
        <w:t xml:space="preserve">Figure </w:t>
      </w:r>
      <w:r w:rsidR="007E5EEE">
        <w:rPr>
          <w:noProof/>
        </w:rPr>
        <w:t>1</w:t>
      </w:r>
      <w:r w:rsidR="007E5EEE">
        <w:rPr>
          <w:szCs w:val="22"/>
          <w:lang w:val="en-CA"/>
        </w:rPr>
        <w:fldChar w:fldCharType="end"/>
      </w:r>
      <w:r>
        <w:rPr>
          <w:szCs w:val="22"/>
          <w:lang w:val="en-CA"/>
        </w:rPr>
        <w:t xml:space="preserve">. </w:t>
      </w:r>
      <w:r w:rsidR="007E5EEE">
        <w:rPr>
          <w:szCs w:val="22"/>
          <w:lang w:val="en-CA"/>
        </w:rPr>
        <w:t xml:space="preserve">It can be seen that </w:t>
      </w:r>
      <w:r w:rsidR="00A722AD">
        <w:rPr>
          <w:szCs w:val="22"/>
          <w:lang w:val="en-CA"/>
        </w:rPr>
        <w:t xml:space="preserve">the residual samples </w:t>
      </w:r>
      <w:r w:rsidR="00507228">
        <w:rPr>
          <w:szCs w:val="22"/>
          <w:lang w:val="en-CA"/>
        </w:rPr>
        <w:t xml:space="preserve">(spatial for transform skip or </w:t>
      </w:r>
      <w:r w:rsidR="009815D8">
        <w:rPr>
          <w:szCs w:val="22"/>
          <w:lang w:val="en-CA"/>
        </w:rPr>
        <w:t xml:space="preserve">frequency </w:t>
      </w:r>
      <w:r w:rsidR="00507228">
        <w:rPr>
          <w:szCs w:val="22"/>
          <w:lang w:val="en-CA"/>
        </w:rPr>
        <w:t xml:space="preserve">after transform) </w:t>
      </w:r>
      <w:r w:rsidR="00A722AD">
        <w:rPr>
          <w:szCs w:val="22"/>
          <w:lang w:val="en-CA"/>
        </w:rPr>
        <w:t xml:space="preserve">are quantized </w:t>
      </w:r>
      <w:r w:rsidR="00507228">
        <w:rPr>
          <w:szCs w:val="22"/>
          <w:lang w:val="en-CA"/>
        </w:rPr>
        <w:t xml:space="preserve">as in regular lossy coding using the QP set at the encoder. In order to enable lossless coding, </w:t>
      </w:r>
      <w:r w:rsidR="00791D25">
        <w:rPr>
          <w:szCs w:val="22"/>
          <w:lang w:val="en-CA"/>
        </w:rPr>
        <w:t>the resulting quantization error is fed again into the same residual coding</w:t>
      </w:r>
      <w:r w:rsidR="00AC7593">
        <w:rPr>
          <w:szCs w:val="22"/>
          <w:lang w:val="en-CA"/>
        </w:rPr>
        <w:t xml:space="preserve"> as the quantized residual</w:t>
      </w:r>
      <w:r w:rsidR="00507228">
        <w:rPr>
          <w:szCs w:val="22"/>
          <w:lang w:val="en-CA"/>
        </w:rPr>
        <w:t>.</w:t>
      </w:r>
      <w:r w:rsidR="00AC7593">
        <w:rPr>
          <w:szCs w:val="22"/>
          <w:lang w:val="en-CA"/>
        </w:rPr>
        <w:t xml:space="preserve"> The two stage approach is performed for each color component, i.e. first stage and second stage for Y, first and second for </w:t>
      </w:r>
      <w:proofErr w:type="spellStart"/>
      <w:r w:rsidR="00AC7593">
        <w:rPr>
          <w:szCs w:val="22"/>
          <w:lang w:val="en-CA"/>
        </w:rPr>
        <w:t>Cb</w:t>
      </w:r>
      <w:proofErr w:type="spellEnd"/>
      <w:r w:rsidR="00AC7593">
        <w:rPr>
          <w:szCs w:val="22"/>
          <w:lang w:val="en-CA"/>
        </w:rPr>
        <w:t xml:space="preserve"> and first and second for Cr. This means that, e.g. if transform skip mode is selected, the quantized spatial luma residual is coded using transform skip residual coding and after that, transform skip residual coding is invoked again for the luma quantization error.</w:t>
      </w:r>
    </w:p>
    <w:p w14:paraId="35634759" w14:textId="572E5158" w:rsidR="00507228" w:rsidRDefault="00507228" w:rsidP="009234A5">
      <w:pPr>
        <w:rPr>
          <w:szCs w:val="22"/>
          <w:lang w:val="en-CA"/>
        </w:rPr>
      </w:pPr>
      <w:r>
        <w:rPr>
          <w:szCs w:val="22"/>
          <w:lang w:val="en-CA"/>
        </w:rPr>
        <w:t xml:space="preserve">The </w:t>
      </w:r>
      <w:r w:rsidR="009815D8">
        <w:rPr>
          <w:szCs w:val="22"/>
          <w:lang w:val="en-CA"/>
        </w:rPr>
        <w:t xml:space="preserve">encoder </w:t>
      </w:r>
      <w:r>
        <w:rPr>
          <w:szCs w:val="22"/>
          <w:lang w:val="en-CA"/>
        </w:rPr>
        <w:t>can disable this m</w:t>
      </w:r>
      <w:bookmarkStart w:id="0" w:name="_GoBack"/>
      <w:bookmarkEnd w:id="0"/>
      <w:r>
        <w:rPr>
          <w:szCs w:val="22"/>
          <w:lang w:val="en-CA"/>
        </w:rPr>
        <w:t>ode at a higher level, e.g. using a SPS / slice header flag or on a block level by setting the CBF to 0 in the second residual coding.</w:t>
      </w:r>
    </w:p>
    <w:p w14:paraId="1C39EA8C" w14:textId="74E7B80D" w:rsidR="00B80D7B" w:rsidRDefault="00B80D7B" w:rsidP="009234A5">
      <w:pPr>
        <w:rPr>
          <w:szCs w:val="22"/>
          <w:lang w:val="en-CA"/>
        </w:rPr>
      </w:pPr>
    </w:p>
    <w:p w14:paraId="361146FC" w14:textId="4B8C9271" w:rsidR="00B80D7B" w:rsidRDefault="009815D8" w:rsidP="00B80D7B">
      <w:pPr>
        <w:keepNext/>
      </w:pPr>
      <w:r>
        <w:rPr>
          <w:noProof/>
        </w:rPr>
        <w:drawing>
          <wp:inline distT="0" distB="0" distL="0" distR="0" wp14:anchorId="546DACD9" wp14:editId="34239F19">
            <wp:extent cx="2743200" cy="94429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944294"/>
                    </a:xfrm>
                    <a:prstGeom prst="rect">
                      <a:avLst/>
                    </a:prstGeom>
                  </pic:spPr>
                </pic:pic>
              </a:graphicData>
            </a:graphic>
          </wp:inline>
        </w:drawing>
      </w:r>
      <w:r>
        <w:rPr>
          <w:noProof/>
        </w:rPr>
        <w:drawing>
          <wp:inline distT="0" distB="0" distL="0" distR="0" wp14:anchorId="7A7C9E2A" wp14:editId="4929FCD9">
            <wp:extent cx="3085200" cy="9937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85200" cy="993790"/>
                    </a:xfrm>
                    <a:prstGeom prst="rect">
                      <a:avLst/>
                    </a:prstGeom>
                  </pic:spPr>
                </pic:pic>
              </a:graphicData>
            </a:graphic>
          </wp:inline>
        </w:drawing>
      </w:r>
    </w:p>
    <w:p w14:paraId="788CB797" w14:textId="0F8AE6D0" w:rsidR="00B80D7B" w:rsidRDefault="00B80D7B" w:rsidP="00B80D7B">
      <w:pPr>
        <w:pStyle w:val="Caption"/>
      </w:pPr>
      <w:bookmarkStart w:id="1" w:name="_Ref20308750"/>
      <w:r>
        <w:t xml:space="preserve">Figure </w:t>
      </w:r>
      <w:r w:rsidR="00C05EFD">
        <w:fldChar w:fldCharType="begin"/>
      </w:r>
      <w:r w:rsidR="00C05EFD">
        <w:instrText xml:space="preserve"> SEQ Figure \* ARABIC </w:instrText>
      </w:r>
      <w:r w:rsidR="00C05EFD">
        <w:fldChar w:fldCharType="separate"/>
      </w:r>
      <w:r>
        <w:rPr>
          <w:noProof/>
        </w:rPr>
        <w:t>1</w:t>
      </w:r>
      <w:r w:rsidR="00C05EFD">
        <w:rPr>
          <w:noProof/>
        </w:rPr>
        <w:fldChar w:fldCharType="end"/>
      </w:r>
      <w:bookmarkEnd w:id="1"/>
      <w:r>
        <w:t xml:space="preserve"> - Two stage residual coding and decoding for lossless </w:t>
      </w:r>
    </w:p>
    <w:p w14:paraId="5EC5708F" w14:textId="2A87E426" w:rsidR="00A722AD" w:rsidRPr="00A722AD" w:rsidRDefault="00A722AD" w:rsidP="00A722AD">
      <w:r>
        <w:t>The results presented in the next section where generated using a base QP of 14 which was empirically determined to work best over all classes. However, more advance QP selection algorithm at the encoder are expected to provide more coding efficiency improvement.</w:t>
      </w:r>
    </w:p>
    <w:p w14:paraId="71267270" w14:textId="1A58DB0D" w:rsidR="007F7112" w:rsidRDefault="007F7112" w:rsidP="007F7112">
      <w:pPr>
        <w:pStyle w:val="Heading1"/>
        <w:ind w:left="360" w:hanging="360"/>
        <w:rPr>
          <w:lang w:val="en-CA"/>
        </w:rPr>
      </w:pPr>
      <w:r w:rsidRPr="007F7112">
        <w:rPr>
          <w:lang w:val="en-CA"/>
        </w:rPr>
        <w:lastRenderedPageBreak/>
        <w:t>Results</w:t>
      </w:r>
    </w:p>
    <w:p w14:paraId="5474C95D" w14:textId="60AD081E" w:rsidR="00A722AD" w:rsidRDefault="00A722AD" w:rsidP="00A722AD">
      <w:pPr>
        <w:pStyle w:val="Caption"/>
        <w:keepNext/>
        <w:jc w:val="center"/>
      </w:pPr>
      <w:r>
        <w:t xml:space="preserve">Table </w:t>
      </w:r>
      <w:fldSimple w:instr=" SEQ Table \* ROMAN ">
        <w:r>
          <w:rPr>
            <w:noProof/>
          </w:rPr>
          <w:t>I</w:t>
        </w:r>
      </w:fldSimple>
      <w:r>
        <w:t>: B</w:t>
      </w:r>
      <w:r w:rsidRPr="006618AB">
        <w:t>it-rate savings</w:t>
      </w:r>
      <w:r>
        <w:t xml:space="preserve"> over AHG18 VTM and HM lossless anchors</w:t>
      </w:r>
    </w:p>
    <w:tbl>
      <w:tblPr>
        <w:tblW w:w="4253" w:type="dxa"/>
        <w:jc w:val="center"/>
        <w:tblLook w:val="04A0" w:firstRow="1" w:lastRow="0" w:firstColumn="1" w:lastColumn="0" w:noHBand="0" w:noVBand="1"/>
      </w:tblPr>
      <w:tblGrid>
        <w:gridCol w:w="1640"/>
        <w:gridCol w:w="1337"/>
        <w:gridCol w:w="1276"/>
      </w:tblGrid>
      <w:tr w:rsidR="00A722AD" w:rsidRPr="00387B39" w14:paraId="32A7C598" w14:textId="77777777" w:rsidTr="00E32806">
        <w:trPr>
          <w:trHeight w:val="255"/>
          <w:jc w:val="center"/>
        </w:trPr>
        <w:tc>
          <w:tcPr>
            <w:tcW w:w="1640" w:type="dxa"/>
            <w:tcBorders>
              <w:top w:val="nil"/>
              <w:left w:val="nil"/>
              <w:bottom w:val="nil"/>
              <w:right w:val="nil"/>
            </w:tcBorders>
            <w:shd w:val="clear" w:color="auto" w:fill="auto"/>
            <w:noWrap/>
            <w:vAlign w:val="center"/>
            <w:hideMark/>
          </w:tcPr>
          <w:p w14:paraId="1F5DCDE1" w14:textId="77777777" w:rsidR="00A722AD" w:rsidRPr="00387B39" w:rsidRDefault="00A722AD" w:rsidP="005B5986">
            <w:pPr>
              <w:keepNext/>
              <w:rPr>
                <w:sz w:val="20"/>
              </w:rPr>
            </w:pPr>
          </w:p>
        </w:tc>
        <w:tc>
          <w:tcPr>
            <w:tcW w:w="1337" w:type="dxa"/>
            <w:tcBorders>
              <w:top w:val="single" w:sz="8" w:space="0" w:color="auto"/>
              <w:left w:val="single" w:sz="8" w:space="0" w:color="auto"/>
              <w:right w:val="single" w:sz="8" w:space="0" w:color="000000"/>
            </w:tcBorders>
            <w:shd w:val="clear" w:color="auto" w:fill="auto"/>
            <w:noWrap/>
            <w:vAlign w:val="center"/>
            <w:hideMark/>
          </w:tcPr>
          <w:p w14:paraId="4356521E" w14:textId="608096B4" w:rsidR="00A722AD" w:rsidRPr="00387B39" w:rsidRDefault="00A722AD" w:rsidP="005B5986">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 </w:t>
            </w:r>
            <w:r w:rsidR="00F02F7A">
              <w:rPr>
                <w:szCs w:val="22"/>
                <w:lang w:val="en-CA"/>
              </w:rPr>
              <w:br/>
            </w:r>
            <w:r w:rsidR="00F02F7A">
              <w:rPr>
                <w:rFonts w:ascii="Arial" w:hAnsi="Arial" w:cs="Arial"/>
                <w:b/>
                <w:bCs/>
                <w:color w:val="000000"/>
                <w:sz w:val="18"/>
                <w:szCs w:val="18"/>
              </w:rPr>
              <w:t>AHG18 VTM lossless</w:t>
            </w:r>
          </w:p>
        </w:tc>
        <w:tc>
          <w:tcPr>
            <w:tcW w:w="1276" w:type="dxa"/>
            <w:tcBorders>
              <w:top w:val="single" w:sz="8" w:space="0" w:color="auto"/>
              <w:left w:val="single" w:sz="8" w:space="0" w:color="auto"/>
              <w:right w:val="single" w:sz="8" w:space="0" w:color="000000"/>
            </w:tcBorders>
            <w:shd w:val="clear" w:color="auto" w:fill="auto"/>
            <w:vAlign w:val="center"/>
          </w:tcPr>
          <w:p w14:paraId="6199177F" w14:textId="487300A0" w:rsidR="00A722AD" w:rsidRPr="00387B39" w:rsidRDefault="00A722AD" w:rsidP="00F02F7A">
            <w:pPr>
              <w:keepNext/>
              <w:jc w:val="center"/>
              <w:rPr>
                <w:rFonts w:ascii="Arial" w:hAnsi="Arial" w:cs="Arial"/>
                <w:b/>
                <w:bCs/>
                <w:color w:val="000000"/>
                <w:sz w:val="18"/>
                <w:szCs w:val="18"/>
              </w:rPr>
            </w:pPr>
            <w:r>
              <w:rPr>
                <w:rFonts w:ascii="Arial" w:hAnsi="Arial" w:cs="Arial"/>
                <w:b/>
                <w:bCs/>
                <w:color w:val="000000"/>
                <w:sz w:val="18"/>
                <w:szCs w:val="18"/>
              </w:rPr>
              <w:t xml:space="preserve">Over </w:t>
            </w:r>
            <w:r w:rsidR="00F02F7A">
              <w:rPr>
                <w:szCs w:val="22"/>
                <w:lang w:val="en-CA"/>
              </w:rPr>
              <w:br/>
            </w:r>
            <w:r w:rsidR="00F02F7A">
              <w:rPr>
                <w:rFonts w:ascii="Arial" w:hAnsi="Arial" w:cs="Arial"/>
                <w:b/>
                <w:bCs/>
                <w:color w:val="000000"/>
                <w:sz w:val="18"/>
                <w:szCs w:val="18"/>
              </w:rPr>
              <w:t xml:space="preserve">HM </w:t>
            </w:r>
            <w:r w:rsidR="00E32806">
              <w:rPr>
                <w:szCs w:val="22"/>
                <w:lang w:val="en-CA"/>
              </w:rPr>
              <w:br/>
            </w:r>
            <w:r w:rsidR="00F02F7A">
              <w:rPr>
                <w:rFonts w:ascii="Arial" w:hAnsi="Arial" w:cs="Arial"/>
                <w:b/>
                <w:bCs/>
                <w:color w:val="000000"/>
                <w:sz w:val="18"/>
                <w:szCs w:val="18"/>
              </w:rPr>
              <w:t>lossless</w:t>
            </w:r>
          </w:p>
        </w:tc>
      </w:tr>
      <w:tr w:rsidR="00A722AD" w:rsidRPr="00387B39" w14:paraId="676996AB" w14:textId="77777777" w:rsidTr="00E32806">
        <w:trPr>
          <w:trHeight w:val="255"/>
          <w:jc w:val="center"/>
        </w:trPr>
        <w:tc>
          <w:tcPr>
            <w:tcW w:w="1640" w:type="dxa"/>
            <w:tcBorders>
              <w:top w:val="nil"/>
              <w:left w:val="nil"/>
              <w:bottom w:val="nil"/>
              <w:right w:val="nil"/>
            </w:tcBorders>
            <w:shd w:val="clear" w:color="auto" w:fill="auto"/>
            <w:noWrap/>
            <w:vAlign w:val="center"/>
            <w:hideMark/>
          </w:tcPr>
          <w:p w14:paraId="695422C5" w14:textId="77777777" w:rsidR="00A722AD" w:rsidRPr="00387B39" w:rsidRDefault="00A722AD" w:rsidP="005B5986">
            <w:pPr>
              <w:keepNext/>
              <w:jc w:val="center"/>
              <w:rPr>
                <w:rFonts w:ascii="Arial" w:hAnsi="Arial" w:cs="Arial"/>
                <w:b/>
                <w:bCs/>
                <w:color w:val="000000"/>
                <w:sz w:val="18"/>
                <w:szCs w:val="18"/>
              </w:rPr>
            </w:pPr>
          </w:p>
        </w:tc>
        <w:tc>
          <w:tcPr>
            <w:tcW w:w="1337" w:type="dxa"/>
            <w:tcBorders>
              <w:top w:val="nil"/>
              <w:left w:val="single" w:sz="8" w:space="0" w:color="auto"/>
              <w:bottom w:val="single" w:sz="8" w:space="0" w:color="auto"/>
              <w:right w:val="single" w:sz="8" w:space="0" w:color="auto"/>
            </w:tcBorders>
            <w:shd w:val="clear" w:color="auto" w:fill="auto"/>
            <w:noWrap/>
            <w:hideMark/>
          </w:tcPr>
          <w:p w14:paraId="5BC6D581" w14:textId="77777777" w:rsidR="00A722AD" w:rsidRPr="00387B39" w:rsidRDefault="00A722AD" w:rsidP="005B5986">
            <w:pPr>
              <w:keepNext/>
              <w:jc w:val="center"/>
              <w:rPr>
                <w:rFonts w:ascii="Arial" w:hAnsi="Arial" w:cs="Arial"/>
                <w:color w:val="000000"/>
                <w:sz w:val="18"/>
                <w:szCs w:val="18"/>
              </w:rPr>
            </w:pPr>
            <w:r>
              <w:rPr>
                <w:rFonts w:ascii="Arial" w:hAnsi="Arial" w:cs="Arial"/>
                <w:color w:val="000000"/>
                <w:sz w:val="18"/>
                <w:szCs w:val="18"/>
              </w:rPr>
              <w:t>AI</w:t>
            </w:r>
          </w:p>
        </w:tc>
        <w:tc>
          <w:tcPr>
            <w:tcW w:w="1276" w:type="dxa"/>
            <w:tcBorders>
              <w:top w:val="nil"/>
              <w:left w:val="single" w:sz="8" w:space="0" w:color="auto"/>
              <w:bottom w:val="single" w:sz="8" w:space="0" w:color="auto"/>
              <w:right w:val="single" w:sz="8" w:space="0" w:color="auto"/>
            </w:tcBorders>
            <w:shd w:val="clear" w:color="auto" w:fill="auto"/>
            <w:noWrap/>
            <w:hideMark/>
          </w:tcPr>
          <w:p w14:paraId="75F98BF4" w14:textId="773584A5" w:rsidR="00A722AD" w:rsidRPr="00387B39" w:rsidRDefault="00A722AD" w:rsidP="005B5986">
            <w:pPr>
              <w:keepNext/>
              <w:jc w:val="center"/>
              <w:rPr>
                <w:rFonts w:ascii="Arial" w:hAnsi="Arial" w:cs="Arial"/>
                <w:color w:val="000000"/>
                <w:sz w:val="18"/>
                <w:szCs w:val="18"/>
              </w:rPr>
            </w:pPr>
            <w:r>
              <w:rPr>
                <w:rFonts w:ascii="Arial" w:hAnsi="Arial" w:cs="Arial"/>
                <w:color w:val="000000"/>
                <w:sz w:val="18"/>
                <w:szCs w:val="18"/>
              </w:rPr>
              <w:t>AI</w:t>
            </w:r>
          </w:p>
        </w:tc>
      </w:tr>
      <w:tr w:rsidR="00F02F7A" w:rsidRPr="00387B39" w14:paraId="084DAC0B" w14:textId="77777777" w:rsidTr="00E32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5FFFA" w14:textId="77777777" w:rsidR="00F02F7A" w:rsidRPr="00387B39" w:rsidRDefault="00F02F7A" w:rsidP="00F02F7A">
            <w:pPr>
              <w:keepNext/>
              <w:jc w:val="center"/>
              <w:rPr>
                <w:rFonts w:ascii="Arial" w:hAnsi="Arial" w:cs="Arial"/>
                <w:color w:val="000000"/>
                <w:sz w:val="18"/>
                <w:szCs w:val="18"/>
              </w:rPr>
            </w:pPr>
            <w:r w:rsidRPr="00387B39">
              <w:rPr>
                <w:rFonts w:ascii="Arial" w:hAnsi="Arial" w:cs="Arial"/>
                <w:color w:val="000000"/>
                <w:sz w:val="18"/>
                <w:szCs w:val="18"/>
              </w:rPr>
              <w:t>Class A1</w:t>
            </w:r>
          </w:p>
        </w:tc>
        <w:tc>
          <w:tcPr>
            <w:tcW w:w="1337" w:type="dxa"/>
            <w:tcBorders>
              <w:top w:val="nil"/>
              <w:left w:val="nil"/>
              <w:bottom w:val="nil"/>
              <w:right w:val="single" w:sz="8" w:space="0" w:color="auto"/>
            </w:tcBorders>
            <w:shd w:val="clear" w:color="auto" w:fill="auto"/>
            <w:noWrap/>
          </w:tcPr>
          <w:p w14:paraId="3EFA07AA" w14:textId="0F253644" w:rsidR="00F02F7A" w:rsidRPr="002907EE" w:rsidRDefault="00F02F7A" w:rsidP="00F02F7A">
            <w:pPr>
              <w:keepNext/>
              <w:jc w:val="center"/>
              <w:rPr>
                <w:rFonts w:ascii="Arial" w:hAnsi="Arial" w:cs="Arial"/>
                <w:color w:val="000000"/>
                <w:sz w:val="18"/>
                <w:szCs w:val="18"/>
              </w:rPr>
            </w:pPr>
            <w:r>
              <w:rPr>
                <w:rFonts w:ascii="Arial" w:hAnsi="Arial" w:cs="Arial"/>
                <w:color w:val="000000"/>
                <w:sz w:val="18"/>
                <w:szCs w:val="18"/>
              </w:rPr>
              <w:t>-1.08%</w:t>
            </w:r>
          </w:p>
        </w:tc>
        <w:tc>
          <w:tcPr>
            <w:tcW w:w="1276" w:type="dxa"/>
            <w:tcBorders>
              <w:top w:val="nil"/>
              <w:left w:val="single" w:sz="8" w:space="0" w:color="auto"/>
              <w:bottom w:val="nil"/>
              <w:right w:val="single" w:sz="8" w:space="0" w:color="auto"/>
            </w:tcBorders>
            <w:shd w:val="clear" w:color="auto" w:fill="CDFFCC"/>
            <w:noWrap/>
            <w:vAlign w:val="bottom"/>
          </w:tcPr>
          <w:p w14:paraId="1904E98A" w14:textId="3DFDCC6A" w:rsidR="00F02F7A" w:rsidRPr="002907EE" w:rsidRDefault="00F02F7A" w:rsidP="00F02F7A">
            <w:pPr>
              <w:keepNext/>
              <w:jc w:val="center"/>
              <w:rPr>
                <w:rFonts w:ascii="Arial" w:hAnsi="Arial" w:cs="Arial"/>
                <w:color w:val="000000"/>
                <w:sz w:val="18"/>
                <w:szCs w:val="18"/>
              </w:rPr>
            </w:pPr>
            <w:r>
              <w:rPr>
                <w:rFonts w:ascii="Arial" w:hAnsi="Arial" w:cs="Arial"/>
                <w:sz w:val="18"/>
                <w:szCs w:val="18"/>
              </w:rPr>
              <w:t>-6.89%</w:t>
            </w:r>
          </w:p>
        </w:tc>
      </w:tr>
      <w:tr w:rsidR="00F02F7A" w:rsidRPr="00387B39" w14:paraId="0B191D1A" w14:textId="77777777" w:rsidTr="00E32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CDDA45" w14:textId="77777777" w:rsidR="00F02F7A" w:rsidRPr="00387B39" w:rsidRDefault="00F02F7A" w:rsidP="00F02F7A">
            <w:pPr>
              <w:keepNext/>
              <w:jc w:val="center"/>
              <w:rPr>
                <w:rFonts w:ascii="Arial" w:hAnsi="Arial" w:cs="Arial"/>
                <w:color w:val="000000"/>
                <w:sz w:val="18"/>
                <w:szCs w:val="18"/>
              </w:rPr>
            </w:pPr>
            <w:r w:rsidRPr="00387B39">
              <w:rPr>
                <w:rFonts w:ascii="Arial" w:hAnsi="Arial" w:cs="Arial"/>
                <w:color w:val="000000"/>
                <w:sz w:val="18"/>
                <w:szCs w:val="18"/>
              </w:rPr>
              <w:t>Class A2</w:t>
            </w:r>
          </w:p>
        </w:tc>
        <w:tc>
          <w:tcPr>
            <w:tcW w:w="1337" w:type="dxa"/>
            <w:tcBorders>
              <w:top w:val="nil"/>
              <w:left w:val="nil"/>
              <w:bottom w:val="nil"/>
              <w:right w:val="single" w:sz="8" w:space="0" w:color="auto"/>
            </w:tcBorders>
            <w:shd w:val="clear" w:color="auto" w:fill="CDFFCC"/>
            <w:noWrap/>
          </w:tcPr>
          <w:p w14:paraId="423B4C5A" w14:textId="72AFC56B" w:rsidR="00F02F7A" w:rsidRPr="002907EE" w:rsidRDefault="00F02F7A" w:rsidP="00F02F7A">
            <w:pPr>
              <w:keepNext/>
              <w:jc w:val="center"/>
              <w:rPr>
                <w:rFonts w:ascii="Arial" w:hAnsi="Arial" w:cs="Arial"/>
                <w:color w:val="000000"/>
                <w:sz w:val="18"/>
                <w:szCs w:val="18"/>
              </w:rPr>
            </w:pPr>
            <w:r>
              <w:rPr>
                <w:rFonts w:ascii="Arial" w:hAnsi="Arial" w:cs="Arial"/>
                <w:sz w:val="18"/>
                <w:szCs w:val="18"/>
              </w:rPr>
              <w:t>-5.52%</w:t>
            </w:r>
          </w:p>
        </w:tc>
        <w:tc>
          <w:tcPr>
            <w:tcW w:w="1276" w:type="dxa"/>
            <w:tcBorders>
              <w:top w:val="nil"/>
              <w:left w:val="single" w:sz="8" w:space="0" w:color="auto"/>
              <w:bottom w:val="nil"/>
              <w:right w:val="single" w:sz="8" w:space="0" w:color="auto"/>
            </w:tcBorders>
            <w:shd w:val="clear" w:color="auto" w:fill="CDFFCC"/>
            <w:noWrap/>
            <w:vAlign w:val="bottom"/>
          </w:tcPr>
          <w:p w14:paraId="77ECF6E1" w14:textId="2E339CA9" w:rsidR="00F02F7A" w:rsidRPr="002907EE" w:rsidRDefault="00F02F7A" w:rsidP="00F02F7A">
            <w:pPr>
              <w:keepNext/>
              <w:jc w:val="center"/>
              <w:rPr>
                <w:rFonts w:ascii="Arial" w:hAnsi="Arial" w:cs="Arial"/>
                <w:color w:val="000000"/>
                <w:sz w:val="18"/>
                <w:szCs w:val="18"/>
              </w:rPr>
            </w:pPr>
            <w:r>
              <w:rPr>
                <w:rFonts w:ascii="Arial" w:hAnsi="Arial" w:cs="Arial"/>
                <w:sz w:val="18"/>
                <w:szCs w:val="18"/>
              </w:rPr>
              <w:t>-8.94%</w:t>
            </w:r>
          </w:p>
        </w:tc>
      </w:tr>
      <w:tr w:rsidR="00F02F7A" w:rsidRPr="00387B39" w14:paraId="06458743" w14:textId="77777777" w:rsidTr="00E32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E2C09" w14:textId="77777777" w:rsidR="00F02F7A" w:rsidRPr="00387B39" w:rsidRDefault="00F02F7A" w:rsidP="00F02F7A">
            <w:pPr>
              <w:keepNext/>
              <w:jc w:val="center"/>
              <w:rPr>
                <w:rFonts w:ascii="Arial" w:hAnsi="Arial" w:cs="Arial"/>
                <w:color w:val="000000"/>
                <w:sz w:val="18"/>
                <w:szCs w:val="18"/>
              </w:rPr>
            </w:pPr>
            <w:r w:rsidRPr="00387B39">
              <w:rPr>
                <w:rFonts w:ascii="Arial" w:hAnsi="Arial" w:cs="Arial"/>
                <w:color w:val="000000"/>
                <w:sz w:val="18"/>
                <w:szCs w:val="18"/>
              </w:rPr>
              <w:t>Class B</w:t>
            </w:r>
          </w:p>
        </w:tc>
        <w:tc>
          <w:tcPr>
            <w:tcW w:w="1337" w:type="dxa"/>
            <w:tcBorders>
              <w:top w:val="nil"/>
              <w:left w:val="nil"/>
              <w:bottom w:val="nil"/>
              <w:right w:val="single" w:sz="8" w:space="0" w:color="auto"/>
            </w:tcBorders>
            <w:shd w:val="clear" w:color="auto" w:fill="CDFFCC"/>
            <w:noWrap/>
          </w:tcPr>
          <w:p w14:paraId="4C6C3AF2" w14:textId="0D3415CC" w:rsidR="00F02F7A" w:rsidRPr="002907EE" w:rsidRDefault="00F02F7A" w:rsidP="00F02F7A">
            <w:pPr>
              <w:keepNext/>
              <w:jc w:val="center"/>
              <w:rPr>
                <w:rFonts w:ascii="Arial" w:hAnsi="Arial" w:cs="Arial"/>
                <w:color w:val="000000"/>
                <w:sz w:val="18"/>
                <w:szCs w:val="18"/>
              </w:rPr>
            </w:pPr>
            <w:r>
              <w:rPr>
                <w:rFonts w:ascii="Arial" w:hAnsi="Arial" w:cs="Arial"/>
                <w:sz w:val="18"/>
                <w:szCs w:val="18"/>
              </w:rPr>
              <w:t>-3.84%</w:t>
            </w:r>
          </w:p>
        </w:tc>
        <w:tc>
          <w:tcPr>
            <w:tcW w:w="1276" w:type="dxa"/>
            <w:tcBorders>
              <w:top w:val="nil"/>
              <w:left w:val="single" w:sz="8" w:space="0" w:color="auto"/>
              <w:bottom w:val="nil"/>
              <w:right w:val="single" w:sz="8" w:space="0" w:color="auto"/>
            </w:tcBorders>
            <w:shd w:val="clear" w:color="auto" w:fill="CDFFCC"/>
            <w:noWrap/>
            <w:vAlign w:val="bottom"/>
          </w:tcPr>
          <w:p w14:paraId="6F1E4268" w14:textId="6414E9D8" w:rsidR="00F02F7A" w:rsidRPr="002907EE" w:rsidRDefault="00F02F7A" w:rsidP="00F02F7A">
            <w:pPr>
              <w:keepNext/>
              <w:jc w:val="center"/>
              <w:rPr>
                <w:rFonts w:ascii="Arial" w:hAnsi="Arial" w:cs="Arial"/>
                <w:color w:val="000000"/>
                <w:sz w:val="18"/>
                <w:szCs w:val="18"/>
              </w:rPr>
            </w:pPr>
            <w:r>
              <w:rPr>
                <w:rFonts w:ascii="Arial" w:hAnsi="Arial" w:cs="Arial"/>
                <w:sz w:val="18"/>
                <w:szCs w:val="18"/>
              </w:rPr>
              <w:t>-8.35%</w:t>
            </w:r>
          </w:p>
        </w:tc>
      </w:tr>
      <w:tr w:rsidR="00F02F7A" w:rsidRPr="00387B39" w14:paraId="62ECF35D" w14:textId="77777777" w:rsidTr="00E32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62D4CE" w14:textId="77777777" w:rsidR="00F02F7A" w:rsidRPr="00387B39" w:rsidRDefault="00F02F7A" w:rsidP="00F02F7A">
            <w:pPr>
              <w:keepNext/>
              <w:jc w:val="center"/>
              <w:rPr>
                <w:rFonts w:ascii="Arial" w:hAnsi="Arial" w:cs="Arial"/>
                <w:color w:val="000000"/>
                <w:sz w:val="18"/>
                <w:szCs w:val="18"/>
              </w:rPr>
            </w:pPr>
            <w:r w:rsidRPr="00387B39">
              <w:rPr>
                <w:rFonts w:ascii="Arial" w:hAnsi="Arial" w:cs="Arial"/>
                <w:color w:val="000000"/>
                <w:sz w:val="18"/>
                <w:szCs w:val="18"/>
              </w:rPr>
              <w:t>Class C</w:t>
            </w:r>
          </w:p>
        </w:tc>
        <w:tc>
          <w:tcPr>
            <w:tcW w:w="1337" w:type="dxa"/>
            <w:tcBorders>
              <w:top w:val="nil"/>
              <w:left w:val="nil"/>
              <w:bottom w:val="nil"/>
              <w:right w:val="single" w:sz="8" w:space="0" w:color="auto"/>
            </w:tcBorders>
            <w:shd w:val="clear" w:color="auto" w:fill="auto"/>
            <w:noWrap/>
          </w:tcPr>
          <w:p w14:paraId="4E8AB6E8" w14:textId="621FFE6E" w:rsidR="00F02F7A" w:rsidRPr="002907EE" w:rsidRDefault="00F02F7A" w:rsidP="00F02F7A">
            <w:pPr>
              <w:keepNext/>
              <w:jc w:val="center"/>
              <w:rPr>
                <w:rFonts w:ascii="Arial" w:hAnsi="Arial" w:cs="Arial"/>
                <w:color w:val="000000"/>
                <w:sz w:val="18"/>
                <w:szCs w:val="18"/>
              </w:rPr>
            </w:pPr>
            <w:r>
              <w:rPr>
                <w:rFonts w:ascii="Arial" w:hAnsi="Arial" w:cs="Arial"/>
                <w:color w:val="000000"/>
                <w:sz w:val="18"/>
                <w:szCs w:val="18"/>
              </w:rPr>
              <w:t>-2.48%</w:t>
            </w:r>
          </w:p>
        </w:tc>
        <w:tc>
          <w:tcPr>
            <w:tcW w:w="1276" w:type="dxa"/>
            <w:tcBorders>
              <w:top w:val="nil"/>
              <w:left w:val="single" w:sz="8" w:space="0" w:color="auto"/>
              <w:bottom w:val="nil"/>
              <w:right w:val="single" w:sz="8" w:space="0" w:color="auto"/>
            </w:tcBorders>
            <w:shd w:val="clear" w:color="auto" w:fill="CDFFCC"/>
            <w:noWrap/>
            <w:vAlign w:val="bottom"/>
          </w:tcPr>
          <w:p w14:paraId="3A97B47A" w14:textId="0C76CF2D" w:rsidR="00F02F7A" w:rsidRPr="002907EE" w:rsidRDefault="00F02F7A" w:rsidP="00F02F7A">
            <w:pPr>
              <w:keepNext/>
              <w:jc w:val="center"/>
              <w:rPr>
                <w:rFonts w:ascii="Arial" w:hAnsi="Arial" w:cs="Arial"/>
                <w:color w:val="000000"/>
                <w:sz w:val="18"/>
                <w:szCs w:val="18"/>
              </w:rPr>
            </w:pPr>
            <w:r>
              <w:rPr>
                <w:rFonts w:ascii="Arial" w:hAnsi="Arial" w:cs="Arial"/>
                <w:sz w:val="18"/>
                <w:szCs w:val="18"/>
              </w:rPr>
              <w:t>-7.84%</w:t>
            </w:r>
          </w:p>
        </w:tc>
      </w:tr>
      <w:tr w:rsidR="00F02F7A" w:rsidRPr="00387B39" w14:paraId="19B146DF" w14:textId="77777777" w:rsidTr="00E32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412B86" w14:textId="77777777" w:rsidR="00F02F7A" w:rsidRPr="00387B39" w:rsidRDefault="00F02F7A" w:rsidP="00F02F7A">
            <w:pPr>
              <w:keepNext/>
              <w:jc w:val="center"/>
              <w:rPr>
                <w:rFonts w:ascii="Arial" w:hAnsi="Arial" w:cs="Arial"/>
                <w:color w:val="000000"/>
                <w:sz w:val="18"/>
                <w:szCs w:val="18"/>
              </w:rPr>
            </w:pPr>
            <w:r w:rsidRPr="00387B39">
              <w:rPr>
                <w:rFonts w:ascii="Arial" w:hAnsi="Arial" w:cs="Arial"/>
                <w:color w:val="000000"/>
                <w:sz w:val="18"/>
                <w:szCs w:val="18"/>
              </w:rPr>
              <w:t>Class E</w:t>
            </w:r>
          </w:p>
        </w:tc>
        <w:tc>
          <w:tcPr>
            <w:tcW w:w="1337" w:type="dxa"/>
            <w:tcBorders>
              <w:top w:val="nil"/>
              <w:left w:val="nil"/>
              <w:bottom w:val="nil"/>
              <w:right w:val="single" w:sz="8" w:space="0" w:color="auto"/>
            </w:tcBorders>
            <w:shd w:val="clear" w:color="auto" w:fill="CDFFCC"/>
            <w:noWrap/>
          </w:tcPr>
          <w:p w14:paraId="5A2F8D5E" w14:textId="7BF9E7EE" w:rsidR="00F02F7A" w:rsidRPr="002907EE" w:rsidRDefault="00F02F7A" w:rsidP="00F02F7A">
            <w:pPr>
              <w:keepNext/>
              <w:jc w:val="center"/>
              <w:rPr>
                <w:rFonts w:ascii="Arial" w:hAnsi="Arial" w:cs="Arial"/>
                <w:color w:val="000000"/>
                <w:sz w:val="18"/>
                <w:szCs w:val="18"/>
              </w:rPr>
            </w:pPr>
            <w:r>
              <w:rPr>
                <w:rFonts w:ascii="Arial" w:hAnsi="Arial" w:cs="Arial"/>
                <w:sz w:val="18"/>
                <w:szCs w:val="18"/>
              </w:rPr>
              <w:t>-4.85%</w:t>
            </w:r>
          </w:p>
        </w:tc>
        <w:tc>
          <w:tcPr>
            <w:tcW w:w="1276" w:type="dxa"/>
            <w:tcBorders>
              <w:top w:val="nil"/>
              <w:left w:val="single" w:sz="8" w:space="0" w:color="auto"/>
              <w:bottom w:val="nil"/>
              <w:right w:val="single" w:sz="8" w:space="0" w:color="auto"/>
            </w:tcBorders>
            <w:shd w:val="clear" w:color="auto" w:fill="CDFFCC"/>
            <w:noWrap/>
            <w:vAlign w:val="bottom"/>
          </w:tcPr>
          <w:p w14:paraId="6D4F393F" w14:textId="1BF60DFC" w:rsidR="00F02F7A" w:rsidRPr="002907EE" w:rsidRDefault="00F02F7A" w:rsidP="00F02F7A">
            <w:pPr>
              <w:keepNext/>
              <w:jc w:val="center"/>
              <w:rPr>
                <w:rFonts w:ascii="Arial" w:hAnsi="Arial" w:cs="Arial"/>
                <w:color w:val="000000"/>
                <w:sz w:val="18"/>
                <w:szCs w:val="18"/>
              </w:rPr>
            </w:pPr>
            <w:r>
              <w:rPr>
                <w:rFonts w:ascii="Arial" w:hAnsi="Arial" w:cs="Arial"/>
                <w:sz w:val="18"/>
                <w:szCs w:val="18"/>
              </w:rPr>
              <w:t>-12.09%</w:t>
            </w:r>
          </w:p>
        </w:tc>
      </w:tr>
      <w:tr w:rsidR="00F02F7A" w:rsidRPr="00387B39" w14:paraId="2B447462" w14:textId="77777777" w:rsidTr="00E32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F88C6A" w14:textId="77777777" w:rsidR="00F02F7A" w:rsidRPr="00387B39" w:rsidRDefault="00F02F7A" w:rsidP="00F02F7A">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Overall </w:t>
            </w:r>
          </w:p>
        </w:tc>
        <w:tc>
          <w:tcPr>
            <w:tcW w:w="1337" w:type="dxa"/>
            <w:tcBorders>
              <w:top w:val="single" w:sz="8" w:space="0" w:color="auto"/>
              <w:left w:val="nil"/>
              <w:bottom w:val="nil"/>
              <w:right w:val="single" w:sz="8" w:space="0" w:color="auto"/>
            </w:tcBorders>
            <w:shd w:val="clear" w:color="auto" w:fill="CDFFCC"/>
            <w:noWrap/>
          </w:tcPr>
          <w:p w14:paraId="1A2F8937" w14:textId="3C34AF62" w:rsidR="00F02F7A" w:rsidRPr="00F02F7A" w:rsidRDefault="00F02F7A" w:rsidP="00F02F7A">
            <w:pPr>
              <w:keepNext/>
              <w:jc w:val="center"/>
              <w:rPr>
                <w:rFonts w:ascii="Arial" w:hAnsi="Arial" w:cs="Arial"/>
                <w:b/>
                <w:color w:val="000000"/>
                <w:sz w:val="18"/>
                <w:szCs w:val="18"/>
              </w:rPr>
            </w:pPr>
            <w:r w:rsidRPr="00F02F7A">
              <w:rPr>
                <w:rFonts w:ascii="Arial" w:hAnsi="Arial" w:cs="Arial"/>
                <w:b/>
                <w:color w:val="000000"/>
                <w:sz w:val="18"/>
                <w:szCs w:val="18"/>
              </w:rPr>
              <w:t>-3.53%</w:t>
            </w:r>
          </w:p>
        </w:tc>
        <w:tc>
          <w:tcPr>
            <w:tcW w:w="1276" w:type="dxa"/>
            <w:tcBorders>
              <w:top w:val="single" w:sz="8" w:space="0" w:color="auto"/>
              <w:left w:val="single" w:sz="8" w:space="0" w:color="auto"/>
              <w:bottom w:val="nil"/>
              <w:right w:val="single" w:sz="8" w:space="0" w:color="auto"/>
            </w:tcBorders>
            <w:shd w:val="clear" w:color="auto" w:fill="CDFFCC"/>
            <w:noWrap/>
            <w:vAlign w:val="bottom"/>
          </w:tcPr>
          <w:p w14:paraId="2CAFBA21" w14:textId="38CBC5AF" w:rsidR="00F02F7A" w:rsidRPr="00F02F7A" w:rsidRDefault="00F02F7A" w:rsidP="00F02F7A">
            <w:pPr>
              <w:keepNext/>
              <w:jc w:val="center"/>
              <w:rPr>
                <w:rFonts w:ascii="Arial" w:hAnsi="Arial" w:cs="Arial"/>
                <w:b/>
                <w:color w:val="000000"/>
                <w:sz w:val="18"/>
                <w:szCs w:val="18"/>
              </w:rPr>
            </w:pPr>
            <w:r w:rsidRPr="00F02F7A">
              <w:rPr>
                <w:rFonts w:ascii="Arial" w:hAnsi="Arial" w:cs="Arial"/>
                <w:b/>
                <w:color w:val="000000"/>
                <w:sz w:val="18"/>
                <w:szCs w:val="18"/>
              </w:rPr>
              <w:t>-8.71%</w:t>
            </w:r>
          </w:p>
        </w:tc>
      </w:tr>
      <w:tr w:rsidR="00F02F7A" w:rsidRPr="00387B39" w14:paraId="7CF6DBC0" w14:textId="77777777" w:rsidTr="00E32806">
        <w:trPr>
          <w:trHeight w:val="255"/>
          <w:jc w:val="center"/>
        </w:trPr>
        <w:tc>
          <w:tcPr>
            <w:tcW w:w="1640" w:type="dxa"/>
            <w:tcBorders>
              <w:top w:val="single" w:sz="8" w:space="0" w:color="auto"/>
              <w:left w:val="single" w:sz="8" w:space="0" w:color="auto"/>
              <w:right w:val="nil"/>
            </w:tcBorders>
            <w:shd w:val="clear" w:color="auto" w:fill="auto"/>
            <w:noWrap/>
            <w:vAlign w:val="center"/>
          </w:tcPr>
          <w:p w14:paraId="7C318DF8" w14:textId="77777777" w:rsidR="00F02F7A" w:rsidRPr="00387B39" w:rsidRDefault="00F02F7A" w:rsidP="00F02F7A">
            <w:pPr>
              <w:keepNext/>
              <w:jc w:val="center"/>
              <w:rPr>
                <w:rFonts w:ascii="Arial" w:hAnsi="Arial" w:cs="Arial"/>
                <w:color w:val="000000"/>
                <w:sz w:val="18"/>
                <w:szCs w:val="18"/>
              </w:rPr>
            </w:pPr>
            <w:r>
              <w:rPr>
                <w:rFonts w:ascii="Arial" w:hAnsi="Arial" w:cs="Arial"/>
                <w:color w:val="000000"/>
                <w:sz w:val="18"/>
                <w:szCs w:val="18"/>
              </w:rPr>
              <w:t>Enc. Time [%]</w:t>
            </w:r>
          </w:p>
        </w:tc>
        <w:tc>
          <w:tcPr>
            <w:tcW w:w="1337" w:type="dxa"/>
            <w:tcBorders>
              <w:top w:val="single" w:sz="8" w:space="0" w:color="auto"/>
              <w:left w:val="single" w:sz="8" w:space="0" w:color="auto"/>
              <w:right w:val="single" w:sz="8" w:space="0" w:color="auto"/>
            </w:tcBorders>
            <w:shd w:val="clear" w:color="auto" w:fill="auto"/>
            <w:noWrap/>
          </w:tcPr>
          <w:p w14:paraId="1420500B" w14:textId="629FA47A" w:rsidR="00F02F7A" w:rsidRPr="002907EE" w:rsidRDefault="00F02F7A" w:rsidP="00F02F7A">
            <w:pPr>
              <w:keepNext/>
              <w:jc w:val="center"/>
              <w:rPr>
                <w:rFonts w:ascii="Arial" w:hAnsi="Arial" w:cs="Arial"/>
                <w:color w:val="000000"/>
                <w:sz w:val="18"/>
                <w:szCs w:val="18"/>
              </w:rPr>
            </w:pPr>
            <w:r>
              <w:rPr>
                <w:rFonts w:ascii="Arial" w:hAnsi="Arial" w:cs="Arial"/>
                <w:color w:val="000000"/>
                <w:sz w:val="18"/>
                <w:szCs w:val="18"/>
              </w:rPr>
              <w:t>197</w:t>
            </w:r>
            <w:r w:rsidRPr="00825169">
              <w:rPr>
                <w:rFonts w:ascii="Arial" w:hAnsi="Arial" w:cs="Arial"/>
                <w:color w:val="000000"/>
                <w:sz w:val="18"/>
                <w:szCs w:val="18"/>
              </w:rPr>
              <w:t>%</w:t>
            </w:r>
          </w:p>
        </w:tc>
        <w:tc>
          <w:tcPr>
            <w:tcW w:w="1276" w:type="dxa"/>
            <w:tcBorders>
              <w:top w:val="single" w:sz="8" w:space="0" w:color="auto"/>
              <w:left w:val="single" w:sz="8" w:space="0" w:color="auto"/>
              <w:right w:val="single" w:sz="8" w:space="0" w:color="auto"/>
            </w:tcBorders>
            <w:shd w:val="clear" w:color="auto" w:fill="auto"/>
            <w:noWrap/>
            <w:vAlign w:val="bottom"/>
          </w:tcPr>
          <w:p w14:paraId="36AB6DAB" w14:textId="39881BB9" w:rsidR="00F02F7A" w:rsidRPr="002907EE" w:rsidRDefault="00F02F7A" w:rsidP="00F02F7A">
            <w:pPr>
              <w:keepNext/>
              <w:jc w:val="center"/>
              <w:rPr>
                <w:rFonts w:ascii="Arial" w:hAnsi="Arial" w:cs="Arial"/>
                <w:color w:val="000000"/>
                <w:sz w:val="18"/>
                <w:szCs w:val="18"/>
              </w:rPr>
            </w:pPr>
            <w:r>
              <w:rPr>
                <w:rFonts w:ascii="Arial" w:hAnsi="Arial" w:cs="Arial"/>
                <w:color w:val="000000"/>
                <w:sz w:val="18"/>
                <w:szCs w:val="18"/>
              </w:rPr>
              <w:t>11574%</w:t>
            </w:r>
          </w:p>
        </w:tc>
      </w:tr>
      <w:tr w:rsidR="00F02F7A" w:rsidRPr="00387B39" w14:paraId="447FBEC4" w14:textId="77777777" w:rsidTr="00E32806">
        <w:trPr>
          <w:trHeight w:val="255"/>
          <w:jc w:val="center"/>
        </w:trPr>
        <w:tc>
          <w:tcPr>
            <w:tcW w:w="1640" w:type="dxa"/>
            <w:tcBorders>
              <w:top w:val="nil"/>
              <w:left w:val="single" w:sz="8" w:space="0" w:color="auto"/>
              <w:bottom w:val="single" w:sz="4" w:space="0" w:color="auto"/>
              <w:right w:val="nil"/>
            </w:tcBorders>
            <w:shd w:val="clear" w:color="auto" w:fill="auto"/>
            <w:noWrap/>
            <w:vAlign w:val="center"/>
          </w:tcPr>
          <w:p w14:paraId="25595E52" w14:textId="77777777" w:rsidR="00F02F7A" w:rsidRPr="00387B39" w:rsidRDefault="00F02F7A" w:rsidP="00F02F7A">
            <w:pPr>
              <w:keepNext/>
              <w:jc w:val="center"/>
              <w:rPr>
                <w:rFonts w:ascii="Arial" w:hAnsi="Arial" w:cs="Arial"/>
                <w:color w:val="000000"/>
                <w:sz w:val="18"/>
                <w:szCs w:val="18"/>
              </w:rPr>
            </w:pPr>
            <w:r>
              <w:rPr>
                <w:rFonts w:ascii="Arial" w:hAnsi="Arial" w:cs="Arial"/>
                <w:color w:val="000000"/>
                <w:sz w:val="18"/>
                <w:szCs w:val="18"/>
              </w:rPr>
              <w:t>Dec. Time [%]</w:t>
            </w:r>
          </w:p>
        </w:tc>
        <w:tc>
          <w:tcPr>
            <w:tcW w:w="1337" w:type="dxa"/>
            <w:tcBorders>
              <w:top w:val="nil"/>
              <w:left w:val="single" w:sz="8" w:space="0" w:color="auto"/>
              <w:bottom w:val="single" w:sz="4" w:space="0" w:color="auto"/>
              <w:right w:val="single" w:sz="8" w:space="0" w:color="auto"/>
            </w:tcBorders>
            <w:shd w:val="clear" w:color="auto" w:fill="auto"/>
            <w:noWrap/>
          </w:tcPr>
          <w:p w14:paraId="70843625" w14:textId="7C5A6395" w:rsidR="00F02F7A" w:rsidRPr="002907EE" w:rsidRDefault="00F02F7A" w:rsidP="00F02F7A">
            <w:pPr>
              <w:keepNext/>
              <w:jc w:val="center"/>
              <w:rPr>
                <w:rFonts w:ascii="Arial" w:hAnsi="Arial" w:cs="Arial"/>
                <w:color w:val="000000"/>
                <w:sz w:val="18"/>
                <w:szCs w:val="18"/>
              </w:rPr>
            </w:pPr>
            <w:r>
              <w:rPr>
                <w:rFonts w:ascii="Arial" w:hAnsi="Arial" w:cs="Arial"/>
                <w:color w:val="000000"/>
                <w:sz w:val="18"/>
                <w:szCs w:val="18"/>
              </w:rPr>
              <w:t>96</w:t>
            </w:r>
            <w:r w:rsidRPr="00825169">
              <w:rPr>
                <w:rFonts w:ascii="Arial" w:hAnsi="Arial" w:cs="Arial"/>
                <w:color w:val="000000"/>
                <w:sz w:val="18"/>
                <w:szCs w:val="18"/>
              </w:rPr>
              <w:t>%</w:t>
            </w:r>
          </w:p>
        </w:tc>
        <w:tc>
          <w:tcPr>
            <w:tcW w:w="1276" w:type="dxa"/>
            <w:tcBorders>
              <w:top w:val="nil"/>
              <w:left w:val="single" w:sz="8" w:space="0" w:color="auto"/>
              <w:bottom w:val="single" w:sz="4" w:space="0" w:color="auto"/>
              <w:right w:val="single" w:sz="8" w:space="0" w:color="auto"/>
            </w:tcBorders>
            <w:shd w:val="clear" w:color="auto" w:fill="auto"/>
            <w:noWrap/>
            <w:vAlign w:val="bottom"/>
          </w:tcPr>
          <w:p w14:paraId="1B1E18CA" w14:textId="6716B3DC" w:rsidR="00F02F7A" w:rsidRPr="002907EE" w:rsidRDefault="00F02F7A" w:rsidP="00F02F7A">
            <w:pPr>
              <w:keepNext/>
              <w:jc w:val="center"/>
              <w:rPr>
                <w:rFonts w:ascii="Arial" w:hAnsi="Arial" w:cs="Arial"/>
                <w:color w:val="000000"/>
                <w:sz w:val="18"/>
                <w:szCs w:val="18"/>
              </w:rPr>
            </w:pPr>
            <w:r>
              <w:rPr>
                <w:rFonts w:ascii="Arial" w:hAnsi="Arial" w:cs="Arial"/>
                <w:color w:val="000000"/>
                <w:sz w:val="18"/>
                <w:szCs w:val="18"/>
              </w:rPr>
              <w:t>178%</w:t>
            </w:r>
          </w:p>
        </w:tc>
      </w:tr>
      <w:tr w:rsidR="00F02F7A" w:rsidRPr="00387B39" w14:paraId="08F48A13" w14:textId="77777777" w:rsidTr="00E32806">
        <w:trPr>
          <w:trHeight w:val="255"/>
          <w:jc w:val="center"/>
        </w:trPr>
        <w:tc>
          <w:tcPr>
            <w:tcW w:w="1640" w:type="dxa"/>
            <w:tcBorders>
              <w:top w:val="single" w:sz="4" w:space="0" w:color="auto"/>
              <w:left w:val="single" w:sz="8" w:space="0" w:color="auto"/>
              <w:bottom w:val="nil"/>
              <w:right w:val="nil"/>
            </w:tcBorders>
            <w:shd w:val="clear" w:color="auto" w:fill="auto"/>
            <w:noWrap/>
            <w:vAlign w:val="center"/>
          </w:tcPr>
          <w:p w14:paraId="73C64A21" w14:textId="77777777" w:rsidR="00F02F7A" w:rsidRPr="00387B39" w:rsidRDefault="00F02F7A" w:rsidP="00F02F7A">
            <w:pPr>
              <w:keepNext/>
              <w:jc w:val="center"/>
              <w:rPr>
                <w:rFonts w:ascii="Arial" w:hAnsi="Arial" w:cs="Arial"/>
                <w:color w:val="000000"/>
                <w:sz w:val="18"/>
                <w:szCs w:val="18"/>
              </w:rPr>
            </w:pPr>
            <w:r w:rsidRPr="00387B39">
              <w:rPr>
                <w:rFonts w:ascii="Arial" w:hAnsi="Arial" w:cs="Arial"/>
                <w:color w:val="000000"/>
                <w:sz w:val="18"/>
                <w:szCs w:val="18"/>
              </w:rPr>
              <w:t>Class D</w:t>
            </w:r>
          </w:p>
        </w:tc>
        <w:tc>
          <w:tcPr>
            <w:tcW w:w="1337" w:type="dxa"/>
            <w:tcBorders>
              <w:top w:val="single" w:sz="4" w:space="0" w:color="auto"/>
              <w:left w:val="single" w:sz="8" w:space="0" w:color="auto"/>
              <w:bottom w:val="nil"/>
              <w:right w:val="single" w:sz="8" w:space="0" w:color="auto"/>
            </w:tcBorders>
            <w:shd w:val="clear" w:color="auto" w:fill="CDFFCC"/>
            <w:noWrap/>
          </w:tcPr>
          <w:p w14:paraId="1916C788" w14:textId="20C19EF3" w:rsidR="00F02F7A" w:rsidRPr="002907EE" w:rsidRDefault="00F02F7A" w:rsidP="00F02F7A">
            <w:pPr>
              <w:keepNext/>
              <w:jc w:val="center"/>
              <w:rPr>
                <w:rFonts w:ascii="Arial" w:hAnsi="Arial" w:cs="Arial"/>
                <w:color w:val="000000"/>
                <w:sz w:val="18"/>
                <w:szCs w:val="18"/>
              </w:rPr>
            </w:pPr>
            <w:r w:rsidRPr="00825169">
              <w:rPr>
                <w:rFonts w:ascii="Arial" w:hAnsi="Arial" w:cs="Arial"/>
                <w:color w:val="000000"/>
                <w:sz w:val="18"/>
                <w:szCs w:val="18"/>
              </w:rPr>
              <w:t>-</w:t>
            </w:r>
            <w:r>
              <w:rPr>
                <w:rFonts w:ascii="Arial" w:hAnsi="Arial" w:cs="Arial"/>
                <w:color w:val="000000"/>
                <w:sz w:val="18"/>
                <w:szCs w:val="18"/>
              </w:rPr>
              <w:t>4</w:t>
            </w:r>
            <w:r w:rsidRPr="00825169">
              <w:rPr>
                <w:rFonts w:ascii="Arial" w:hAnsi="Arial" w:cs="Arial"/>
                <w:color w:val="000000"/>
                <w:sz w:val="18"/>
                <w:szCs w:val="18"/>
              </w:rPr>
              <w:t>.</w:t>
            </w:r>
            <w:r>
              <w:rPr>
                <w:rFonts w:ascii="Arial" w:hAnsi="Arial" w:cs="Arial"/>
                <w:color w:val="000000"/>
                <w:sz w:val="18"/>
                <w:szCs w:val="18"/>
              </w:rPr>
              <w:t>14</w:t>
            </w:r>
            <w:r w:rsidRPr="00825169">
              <w:rPr>
                <w:rFonts w:ascii="Arial" w:hAnsi="Arial" w:cs="Arial"/>
                <w:color w:val="000000"/>
                <w:sz w:val="18"/>
                <w:szCs w:val="18"/>
              </w:rPr>
              <w:t>%</w:t>
            </w:r>
          </w:p>
        </w:tc>
        <w:tc>
          <w:tcPr>
            <w:tcW w:w="1276" w:type="dxa"/>
            <w:tcBorders>
              <w:top w:val="single" w:sz="4" w:space="0" w:color="auto"/>
              <w:left w:val="single" w:sz="8" w:space="0" w:color="auto"/>
              <w:bottom w:val="nil"/>
              <w:right w:val="single" w:sz="8" w:space="0" w:color="auto"/>
            </w:tcBorders>
            <w:shd w:val="clear" w:color="auto" w:fill="CDFFCC"/>
            <w:noWrap/>
            <w:vAlign w:val="bottom"/>
          </w:tcPr>
          <w:p w14:paraId="19F1637B" w14:textId="654F3882" w:rsidR="00F02F7A" w:rsidRPr="002907EE" w:rsidRDefault="00F02F7A" w:rsidP="00F02F7A">
            <w:pPr>
              <w:keepNext/>
              <w:jc w:val="center"/>
              <w:rPr>
                <w:rFonts w:ascii="Arial" w:hAnsi="Arial" w:cs="Arial"/>
                <w:color w:val="000000"/>
                <w:sz w:val="18"/>
                <w:szCs w:val="18"/>
              </w:rPr>
            </w:pPr>
            <w:r>
              <w:rPr>
                <w:rFonts w:ascii="Arial" w:hAnsi="Arial" w:cs="Arial"/>
                <w:sz w:val="18"/>
                <w:szCs w:val="18"/>
              </w:rPr>
              <w:t>-9.78%</w:t>
            </w:r>
          </w:p>
        </w:tc>
      </w:tr>
      <w:tr w:rsidR="00F02F7A" w:rsidRPr="00387B39" w14:paraId="2D443541" w14:textId="77777777" w:rsidTr="00E32806">
        <w:trPr>
          <w:trHeight w:val="255"/>
          <w:jc w:val="center"/>
        </w:trPr>
        <w:tc>
          <w:tcPr>
            <w:tcW w:w="1640" w:type="dxa"/>
            <w:tcBorders>
              <w:top w:val="nil"/>
              <w:left w:val="single" w:sz="8" w:space="0" w:color="auto"/>
              <w:bottom w:val="nil"/>
              <w:right w:val="nil"/>
            </w:tcBorders>
            <w:shd w:val="clear" w:color="auto" w:fill="auto"/>
            <w:noWrap/>
            <w:vAlign w:val="center"/>
          </w:tcPr>
          <w:p w14:paraId="2861B4C0" w14:textId="77777777" w:rsidR="00F02F7A" w:rsidRPr="00387B39" w:rsidRDefault="00F02F7A" w:rsidP="00F02F7A">
            <w:pPr>
              <w:keepNext/>
              <w:jc w:val="center"/>
              <w:rPr>
                <w:rFonts w:ascii="Arial" w:hAnsi="Arial" w:cs="Arial"/>
                <w:color w:val="000000"/>
                <w:sz w:val="18"/>
                <w:szCs w:val="18"/>
              </w:rPr>
            </w:pPr>
            <w:r w:rsidRPr="00387B39">
              <w:rPr>
                <w:rFonts w:ascii="Arial" w:hAnsi="Arial" w:cs="Arial"/>
                <w:color w:val="000000"/>
                <w:sz w:val="18"/>
                <w:szCs w:val="18"/>
              </w:rPr>
              <w:t xml:space="preserve">Class F </w:t>
            </w:r>
          </w:p>
        </w:tc>
        <w:tc>
          <w:tcPr>
            <w:tcW w:w="1337" w:type="dxa"/>
            <w:tcBorders>
              <w:top w:val="nil"/>
              <w:left w:val="single" w:sz="8" w:space="0" w:color="auto"/>
              <w:bottom w:val="nil"/>
              <w:right w:val="single" w:sz="8" w:space="0" w:color="auto"/>
            </w:tcBorders>
            <w:shd w:val="clear" w:color="auto" w:fill="auto"/>
            <w:noWrap/>
          </w:tcPr>
          <w:p w14:paraId="475FE5EB" w14:textId="56B47E56" w:rsidR="00F02F7A" w:rsidRPr="002907EE" w:rsidRDefault="00F02F7A" w:rsidP="00F02F7A">
            <w:pPr>
              <w:keepNext/>
              <w:jc w:val="center"/>
              <w:rPr>
                <w:rFonts w:ascii="Arial" w:hAnsi="Arial" w:cs="Arial"/>
                <w:color w:val="000000"/>
                <w:sz w:val="18"/>
                <w:szCs w:val="18"/>
              </w:rPr>
            </w:pPr>
          </w:p>
        </w:tc>
        <w:tc>
          <w:tcPr>
            <w:tcW w:w="1276" w:type="dxa"/>
            <w:tcBorders>
              <w:top w:val="nil"/>
              <w:left w:val="single" w:sz="8" w:space="0" w:color="auto"/>
              <w:bottom w:val="nil"/>
              <w:right w:val="single" w:sz="8" w:space="0" w:color="auto"/>
            </w:tcBorders>
            <w:shd w:val="clear" w:color="auto" w:fill="auto"/>
            <w:noWrap/>
            <w:vAlign w:val="bottom"/>
          </w:tcPr>
          <w:p w14:paraId="45043CBE" w14:textId="704C8EF7" w:rsidR="00F02F7A" w:rsidRPr="002907EE" w:rsidRDefault="00F02F7A" w:rsidP="00F02F7A">
            <w:pPr>
              <w:keepNext/>
              <w:jc w:val="center"/>
              <w:rPr>
                <w:rFonts w:ascii="Arial" w:hAnsi="Arial" w:cs="Arial"/>
                <w:color w:val="000000"/>
                <w:sz w:val="18"/>
                <w:szCs w:val="18"/>
              </w:rPr>
            </w:pPr>
          </w:p>
        </w:tc>
      </w:tr>
      <w:tr w:rsidR="00A722AD" w:rsidRPr="00387B39" w14:paraId="2D3FF673" w14:textId="77777777" w:rsidTr="00E32806">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2CBBD7DB" w14:textId="77777777" w:rsidR="00A722AD" w:rsidRPr="00387B39" w:rsidRDefault="00A722AD" w:rsidP="005B5986">
            <w:pPr>
              <w:jc w:val="center"/>
              <w:rPr>
                <w:rFonts w:ascii="Arial" w:hAnsi="Arial" w:cs="Arial"/>
                <w:color w:val="000000"/>
                <w:sz w:val="18"/>
                <w:szCs w:val="18"/>
              </w:rPr>
            </w:pPr>
            <w:r w:rsidRPr="00387B39">
              <w:rPr>
                <w:rFonts w:ascii="Arial" w:hAnsi="Arial" w:cs="Arial"/>
                <w:color w:val="000000"/>
                <w:sz w:val="18"/>
                <w:szCs w:val="18"/>
              </w:rPr>
              <w:t>Class TGM</w:t>
            </w:r>
          </w:p>
        </w:tc>
        <w:tc>
          <w:tcPr>
            <w:tcW w:w="1337" w:type="dxa"/>
            <w:tcBorders>
              <w:top w:val="nil"/>
              <w:left w:val="single" w:sz="8" w:space="0" w:color="auto"/>
              <w:bottom w:val="single" w:sz="8" w:space="0" w:color="auto"/>
              <w:right w:val="single" w:sz="8" w:space="0" w:color="auto"/>
            </w:tcBorders>
            <w:shd w:val="clear" w:color="auto" w:fill="auto"/>
            <w:noWrap/>
          </w:tcPr>
          <w:p w14:paraId="3D54ACD9" w14:textId="20987BBD" w:rsidR="00A722AD" w:rsidRPr="002907EE" w:rsidRDefault="00A722AD" w:rsidP="005B5986">
            <w:pPr>
              <w:jc w:val="center"/>
              <w:rPr>
                <w:rFonts w:ascii="Arial" w:hAnsi="Arial" w:cs="Arial"/>
                <w:color w:val="000000"/>
                <w:sz w:val="18"/>
                <w:szCs w:val="18"/>
              </w:rPr>
            </w:pPr>
          </w:p>
        </w:tc>
        <w:tc>
          <w:tcPr>
            <w:tcW w:w="1276" w:type="dxa"/>
            <w:tcBorders>
              <w:top w:val="nil"/>
              <w:left w:val="single" w:sz="8" w:space="0" w:color="auto"/>
              <w:bottom w:val="single" w:sz="8" w:space="0" w:color="auto"/>
              <w:right w:val="single" w:sz="8" w:space="0" w:color="auto"/>
            </w:tcBorders>
            <w:shd w:val="clear" w:color="auto" w:fill="auto"/>
            <w:noWrap/>
          </w:tcPr>
          <w:p w14:paraId="7477D4D3" w14:textId="655FA060" w:rsidR="00A722AD" w:rsidRPr="002907EE" w:rsidRDefault="00A722AD" w:rsidP="005B5986">
            <w:pPr>
              <w:jc w:val="center"/>
              <w:rPr>
                <w:rFonts w:ascii="Arial" w:hAnsi="Arial" w:cs="Arial"/>
                <w:color w:val="000000"/>
                <w:sz w:val="18"/>
                <w:szCs w:val="18"/>
              </w:rPr>
            </w:pPr>
          </w:p>
        </w:tc>
      </w:tr>
    </w:tbl>
    <w:p w14:paraId="09DE7126" w14:textId="77777777" w:rsidR="00A722AD" w:rsidRPr="007C079B" w:rsidRDefault="00A722AD" w:rsidP="00A722AD"/>
    <w:p w14:paraId="49D26405" w14:textId="7556815A" w:rsidR="00B80D7B" w:rsidRDefault="00B80D7B" w:rsidP="00B80D7B">
      <w:pPr>
        <w:pStyle w:val="Heading1"/>
        <w:ind w:left="360" w:hanging="360"/>
        <w:rPr>
          <w:lang w:val="en-CA"/>
        </w:rPr>
      </w:pPr>
      <w:r>
        <w:rPr>
          <w:lang w:val="en-CA"/>
        </w:rPr>
        <w:t>Conclusion</w:t>
      </w:r>
    </w:p>
    <w:p w14:paraId="29925CE2" w14:textId="755A6253" w:rsidR="007F7112" w:rsidRPr="007F7112" w:rsidRDefault="00B80D7B" w:rsidP="007F7112">
      <w:pPr>
        <w:rPr>
          <w:lang w:val="en-CA"/>
        </w:rPr>
      </w:pPr>
      <w:r>
        <w:rPr>
          <w:lang w:val="en-CA"/>
        </w:rPr>
        <w:t xml:space="preserve">The results show that a two-stage residual coding approach can provide coding efficiency gains for lossless. Aspects for further study include an encoder algorithm to select the QP that is optimal in terms of bit-rate reduction and a </w:t>
      </w:r>
      <w:r w:rsidR="00C3598D">
        <w:rPr>
          <w:lang w:val="en-CA"/>
        </w:rPr>
        <w:t>modifications of the second</w:t>
      </w:r>
      <w:r>
        <w:rPr>
          <w:lang w:val="en-CA"/>
        </w:rPr>
        <w:t xml:space="preserve"> residual coding</w:t>
      </w:r>
      <w:r w:rsidR="00C3598D">
        <w:rPr>
          <w:lang w:val="en-CA"/>
        </w:rPr>
        <w:t xml:space="preserve"> stage</w:t>
      </w: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6065E04" w:rsidR="00342FF4" w:rsidRPr="005B217D" w:rsidRDefault="007F7112" w:rsidP="009234A5">
      <w:pPr>
        <w:rPr>
          <w:szCs w:val="22"/>
          <w:lang w:val="en-CA"/>
        </w:rPr>
      </w:pPr>
      <w:r w:rsidRPr="007F7112">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E02B0" w14:textId="77777777" w:rsidR="00C05EFD" w:rsidRDefault="00C05EFD">
      <w:r>
        <w:separator/>
      </w:r>
    </w:p>
  </w:endnote>
  <w:endnote w:type="continuationSeparator" w:id="0">
    <w:p w14:paraId="52389B30" w14:textId="77777777" w:rsidR="00C05EFD" w:rsidRDefault="00C0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46E12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70D9">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0FD9C" w14:textId="77777777" w:rsidR="00C05EFD" w:rsidRDefault="00C05EFD">
      <w:r>
        <w:separator/>
      </w:r>
    </w:p>
  </w:footnote>
  <w:footnote w:type="continuationSeparator" w:id="0">
    <w:p w14:paraId="261C8040" w14:textId="77777777" w:rsidR="00C05EFD" w:rsidRDefault="00C05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573"/>
    <w:rsid w:val="00344E5A"/>
    <w:rsid w:val="00346148"/>
    <w:rsid w:val="003669EA"/>
    <w:rsid w:val="003706CC"/>
    <w:rsid w:val="00377710"/>
    <w:rsid w:val="003A2D8E"/>
    <w:rsid w:val="003A7CE6"/>
    <w:rsid w:val="003C20E4"/>
    <w:rsid w:val="003D6342"/>
    <w:rsid w:val="003E6F90"/>
    <w:rsid w:val="003E73ED"/>
    <w:rsid w:val="003F5D0F"/>
    <w:rsid w:val="004116FB"/>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07228"/>
    <w:rsid w:val="0051015C"/>
    <w:rsid w:val="00516CF1"/>
    <w:rsid w:val="00531AE9"/>
    <w:rsid w:val="00533BF7"/>
    <w:rsid w:val="00536188"/>
    <w:rsid w:val="00550A66"/>
    <w:rsid w:val="005526EA"/>
    <w:rsid w:val="00567EC7"/>
    <w:rsid w:val="00570013"/>
    <w:rsid w:val="005753EC"/>
    <w:rsid w:val="005801A2"/>
    <w:rsid w:val="005952A5"/>
    <w:rsid w:val="005A33A1"/>
    <w:rsid w:val="005B217D"/>
    <w:rsid w:val="005C385F"/>
    <w:rsid w:val="005C7C26"/>
    <w:rsid w:val="005E1AC6"/>
    <w:rsid w:val="005E3F2B"/>
    <w:rsid w:val="005F6F1B"/>
    <w:rsid w:val="006132B2"/>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1D25"/>
    <w:rsid w:val="00796EE3"/>
    <w:rsid w:val="007A7D29"/>
    <w:rsid w:val="007B4AB8"/>
    <w:rsid w:val="007D1181"/>
    <w:rsid w:val="007E01A3"/>
    <w:rsid w:val="007E55C0"/>
    <w:rsid w:val="007E5EEE"/>
    <w:rsid w:val="007F1F8B"/>
    <w:rsid w:val="007F6205"/>
    <w:rsid w:val="007F67A1"/>
    <w:rsid w:val="007F7112"/>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6944"/>
    <w:rsid w:val="009374A7"/>
    <w:rsid w:val="00955F6D"/>
    <w:rsid w:val="00977C16"/>
    <w:rsid w:val="009815D8"/>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22AD"/>
    <w:rsid w:val="00A767DC"/>
    <w:rsid w:val="00A76A6D"/>
    <w:rsid w:val="00A83253"/>
    <w:rsid w:val="00AA6E84"/>
    <w:rsid w:val="00AB1A1C"/>
    <w:rsid w:val="00AC7593"/>
    <w:rsid w:val="00AD05A8"/>
    <w:rsid w:val="00AE341B"/>
    <w:rsid w:val="00AE70D9"/>
    <w:rsid w:val="00B01905"/>
    <w:rsid w:val="00B07CA7"/>
    <w:rsid w:val="00B1279A"/>
    <w:rsid w:val="00B3640F"/>
    <w:rsid w:val="00B4194A"/>
    <w:rsid w:val="00B437E8"/>
    <w:rsid w:val="00B5222E"/>
    <w:rsid w:val="00B53179"/>
    <w:rsid w:val="00B57A23"/>
    <w:rsid w:val="00B600CD"/>
    <w:rsid w:val="00B61C96"/>
    <w:rsid w:val="00B73A2A"/>
    <w:rsid w:val="00B75A51"/>
    <w:rsid w:val="00B80D7B"/>
    <w:rsid w:val="00B827C6"/>
    <w:rsid w:val="00B862CE"/>
    <w:rsid w:val="00B94B06"/>
    <w:rsid w:val="00B94C28"/>
    <w:rsid w:val="00BC10BA"/>
    <w:rsid w:val="00BC5AFD"/>
    <w:rsid w:val="00C00DDE"/>
    <w:rsid w:val="00C04F43"/>
    <w:rsid w:val="00C05EFD"/>
    <w:rsid w:val="00C0609D"/>
    <w:rsid w:val="00C115AB"/>
    <w:rsid w:val="00C26CCB"/>
    <w:rsid w:val="00C30249"/>
    <w:rsid w:val="00C3598D"/>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63B9"/>
    <w:rsid w:val="00DD02F4"/>
    <w:rsid w:val="00DD6622"/>
    <w:rsid w:val="00DE1C7C"/>
    <w:rsid w:val="00DE6B43"/>
    <w:rsid w:val="00E11923"/>
    <w:rsid w:val="00E262D4"/>
    <w:rsid w:val="00E32806"/>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2F7A"/>
    <w:rsid w:val="00F2488D"/>
    <w:rsid w:val="00F54849"/>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iPriority w:val="35"/>
    <w:unhideWhenUsed/>
    <w:qFormat/>
    <w:rsid w:val="00B80D7B"/>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6551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512</Words>
  <Characters>2920</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17</cp:revision>
  <cp:lastPrinted>1900-01-01T08:00:00Z</cp:lastPrinted>
  <dcterms:created xsi:type="dcterms:W3CDTF">2019-04-11T19:57:00Z</dcterms:created>
  <dcterms:modified xsi:type="dcterms:W3CDTF">2019-09-25T13:30:00Z</dcterms:modified>
</cp:coreProperties>
</file>