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C8BB37A" w:rsidR="006C5D39" w:rsidRPr="005B217D" w:rsidRDefault="004D31D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37C6B147">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18CEE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4EB700C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A72539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714175F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D3D">
              <w:rPr>
                <w:lang w:val="en-CA"/>
              </w:rPr>
              <w:t>P</w:t>
            </w:r>
            <w:r w:rsidR="00056371">
              <w:rPr>
                <w:lang w:val="en-CA"/>
              </w:rPr>
              <w:t>0484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9ADE3" w:rsidR="00E61DAC" w:rsidRPr="005B217D" w:rsidRDefault="001A6F7C" w:rsidP="009D7CE6">
            <w:pPr>
              <w:spacing w:before="60" w:after="60"/>
              <w:rPr>
                <w:b/>
                <w:szCs w:val="22"/>
                <w:lang w:val="en-CA"/>
              </w:rPr>
            </w:pPr>
            <w:r>
              <w:rPr>
                <w:b/>
                <w:szCs w:val="22"/>
                <w:lang w:val="en-CA"/>
              </w:rPr>
              <w:t xml:space="preserve">Non-CE3: </w:t>
            </w:r>
            <w:r w:rsidR="00A45016">
              <w:rPr>
                <w:b/>
                <w:szCs w:val="22"/>
                <w:lang w:val="en-CA"/>
              </w:rPr>
              <w:t xml:space="preserve">Signalling unification of prediction mode and SCIPU </w:t>
            </w:r>
            <w:r w:rsidR="00D83E13">
              <w:rPr>
                <w:b/>
                <w:szCs w:val="22"/>
                <w:lang w:val="en-CA"/>
              </w:rPr>
              <w:t>mode</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505C2693" w:rsidR="00045943" w:rsidRDefault="00045943">
            <w:pPr>
              <w:spacing w:before="60" w:after="60"/>
              <w:rPr>
                <w:szCs w:val="22"/>
                <w:lang w:val="en-CA"/>
              </w:rPr>
            </w:pPr>
            <w:r>
              <w:rPr>
                <w:szCs w:val="22"/>
                <w:lang w:val="en-CA"/>
              </w:rPr>
              <w:t>Luong Pham Van, Geert Van der Auwera, Adarsh K. Ramasubramonian,</w:t>
            </w:r>
            <w:r w:rsidR="00017BCD">
              <w:rPr>
                <w:szCs w:val="22"/>
                <w:lang w:val="en-CA"/>
              </w:rPr>
              <w:t xml:space="preserve"> Han Huang,</w:t>
            </w:r>
            <w:r>
              <w:rPr>
                <w:szCs w:val="22"/>
                <w:lang w:val="en-CA"/>
              </w:rPr>
              <w:t xml:space="preserve"> Vadim Seregin, Marta Karczewicz</w:t>
            </w:r>
          </w:p>
          <w:p w14:paraId="49D81240" w14:textId="49E23C33" w:rsidR="00E61DAC" w:rsidRPr="00017BCD" w:rsidRDefault="00045943" w:rsidP="00017BCD">
            <w:pPr>
              <w:spacing w:before="60" w:after="60"/>
              <w:rPr>
                <w:szCs w:val="22"/>
                <w:lang w:val="en-CA"/>
              </w:rPr>
            </w:pPr>
            <w:r w:rsidRPr="00F10A0B">
              <w:rPr>
                <w:i/>
                <w:iCs/>
                <w:szCs w:val="22"/>
                <w:lang w:val="en-CA"/>
              </w:rPr>
              <w:t>5775 Morehouse Dr</w:t>
            </w:r>
            <w:r w:rsidRPr="00F10A0B">
              <w:rPr>
                <w:i/>
                <w:iCs/>
                <w:szCs w:val="22"/>
                <w:lang w:val="en-CA"/>
              </w:rPr>
              <w:br/>
              <w:t>San Diego, CA 92121</w:t>
            </w:r>
          </w:p>
        </w:tc>
        <w:tc>
          <w:tcPr>
            <w:tcW w:w="900" w:type="dxa"/>
          </w:tcPr>
          <w:p w14:paraId="0140ECA2" w14:textId="56569AD6" w:rsidR="00E61DAC" w:rsidRPr="005B217D" w:rsidRDefault="00E61DAC">
            <w:pPr>
              <w:spacing w:before="60" w:after="60"/>
              <w:rPr>
                <w:szCs w:val="22"/>
                <w:lang w:val="en-CA"/>
              </w:rPr>
            </w:pPr>
            <w:r w:rsidRPr="005B217D">
              <w:rPr>
                <w:szCs w:val="22"/>
                <w:lang w:val="en-CA"/>
              </w:rPr>
              <w:t>Email:</w:t>
            </w:r>
          </w:p>
        </w:tc>
        <w:tc>
          <w:tcPr>
            <w:tcW w:w="3168" w:type="dxa"/>
          </w:tcPr>
          <w:p w14:paraId="125DBDF0" w14:textId="3EAE8AC9" w:rsidR="00E61DAC" w:rsidRDefault="00045943" w:rsidP="005952A5">
            <w:pPr>
              <w:spacing w:before="60" w:after="60"/>
              <w:rPr>
                <w:szCs w:val="22"/>
                <w:lang w:val="en-CA"/>
              </w:rPr>
            </w:pPr>
            <w:r w:rsidRPr="00045943">
              <w:rPr>
                <w:szCs w:val="22"/>
                <w:lang w:val="en-CA"/>
              </w:rPr>
              <w:t>{lphamvan, geertv</w:t>
            </w:r>
            <w:r>
              <w:rPr>
                <w:szCs w:val="22"/>
                <w:lang w:val="en-CA"/>
              </w:rPr>
              <w:t>,</w:t>
            </w:r>
            <w:r w:rsidRPr="00045943">
              <w:rPr>
                <w:szCs w:val="22"/>
                <w:lang w:val="en-CA"/>
              </w:rPr>
              <w:t xml:space="preserve"> aramasub,</w:t>
            </w:r>
            <w:r w:rsidR="00017BCD">
              <w:rPr>
                <w:szCs w:val="22"/>
                <w:lang w:val="en-CA"/>
              </w:rPr>
              <w:t xml:space="preserve"> hanhuang,</w:t>
            </w:r>
            <w:r w:rsidRPr="00045943">
              <w:rPr>
                <w:szCs w:val="22"/>
                <w:lang w:val="en-CA"/>
              </w:rPr>
              <w:t xml:space="preserve"> vseregin, martak}@qti.qualcomm.com</w:t>
            </w:r>
          </w:p>
          <w:p w14:paraId="198A3A17" w14:textId="3CAF727B" w:rsidR="00045943" w:rsidRDefault="00045943" w:rsidP="005952A5">
            <w:pPr>
              <w:spacing w:before="60" w:after="60"/>
              <w:rPr>
                <w:szCs w:val="22"/>
                <w:lang w:val="en-CA"/>
              </w:rPr>
            </w:pPr>
          </w:p>
          <w:p w14:paraId="31C7A70F" w14:textId="77777777" w:rsidR="00017BCD" w:rsidRDefault="00017BCD" w:rsidP="005952A5">
            <w:pPr>
              <w:spacing w:before="60" w:after="60"/>
              <w:rPr>
                <w:szCs w:val="22"/>
                <w:lang w:val="en-CA"/>
              </w:rPr>
            </w:pPr>
          </w:p>
          <w:p w14:paraId="32C2ABFD" w14:textId="56DA8E19" w:rsidR="00045943" w:rsidRPr="005B217D" w:rsidRDefault="00045943"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67BBE7"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8336E2" w:rsidR="00263398" w:rsidRDefault="00FD3F69" w:rsidP="009234A5">
      <w:pPr>
        <w:rPr>
          <w:lang w:val="en-CA"/>
        </w:rPr>
      </w:pPr>
      <w:r>
        <w:rPr>
          <w:lang w:val="en-CA"/>
        </w:rPr>
        <w:t xml:space="preserve">This </w:t>
      </w:r>
      <w:r w:rsidR="00120223">
        <w:rPr>
          <w:lang w:val="en-CA"/>
        </w:rPr>
        <w:t xml:space="preserve">contribution </w:t>
      </w:r>
      <w:r>
        <w:rPr>
          <w:lang w:val="en-CA"/>
        </w:rPr>
        <w:t xml:space="preserve">proposes </w:t>
      </w:r>
      <w:r w:rsidR="00E83561">
        <w:rPr>
          <w:lang w:val="en-CA"/>
        </w:rPr>
        <w:t>a unification of</w:t>
      </w:r>
      <w:r w:rsidR="00E83561" w:rsidRPr="00E83561">
        <w:rPr>
          <w:lang w:val="en-CA"/>
        </w:rPr>
        <w:t xml:space="preserve"> </w:t>
      </w:r>
      <w:r w:rsidR="00E83561">
        <w:rPr>
          <w:lang w:val="en-CA"/>
        </w:rPr>
        <w:t xml:space="preserve">signalling for </w:t>
      </w:r>
      <w:r w:rsidR="00E83561" w:rsidRPr="00E83561">
        <w:rPr>
          <w:lang w:val="en-CA"/>
        </w:rPr>
        <w:t xml:space="preserve">prediction mode and SCIPU </w:t>
      </w:r>
      <w:r w:rsidR="004506FB">
        <w:rPr>
          <w:lang w:val="en-CA"/>
        </w:rPr>
        <w:t>mode</w:t>
      </w:r>
      <w:r>
        <w:rPr>
          <w:lang w:val="en-CA"/>
        </w:rPr>
        <w:t>.</w:t>
      </w:r>
      <w:r w:rsidR="00E83561">
        <w:rPr>
          <w:lang w:val="en-CA"/>
        </w:rPr>
        <w:t xml:space="preserve"> Particularly, </w:t>
      </w:r>
      <w:r w:rsidR="00FF27F5">
        <w:rPr>
          <w:lang w:val="en-CA"/>
        </w:rPr>
        <w:t xml:space="preserve">it is proposed that </w:t>
      </w:r>
      <w:r w:rsidR="00E83561">
        <w:rPr>
          <w:lang w:val="en-CA"/>
        </w:rPr>
        <w:t xml:space="preserve">the SCIPU </w:t>
      </w:r>
      <w:r w:rsidR="0004538D">
        <w:rPr>
          <w:lang w:val="en-CA"/>
        </w:rPr>
        <w:t>mode</w:t>
      </w:r>
      <w:r w:rsidR="00E83561">
        <w:rPr>
          <w:lang w:val="en-CA"/>
        </w:rPr>
        <w:t xml:space="preserve"> </w:t>
      </w:r>
      <w:r w:rsidR="00FF27F5">
        <w:rPr>
          <w:lang w:val="en-CA"/>
        </w:rPr>
        <w:t xml:space="preserve">is </w:t>
      </w:r>
      <w:r w:rsidR="0004538D">
        <w:rPr>
          <w:lang w:val="en-CA"/>
        </w:rPr>
        <w:t>signalled</w:t>
      </w:r>
      <w:r w:rsidR="00E83561">
        <w:rPr>
          <w:lang w:val="en-CA"/>
        </w:rPr>
        <w:t xml:space="preserve"> using the </w:t>
      </w:r>
      <w:r w:rsidR="0004538D">
        <w:rPr>
          <w:lang w:val="en-CA"/>
        </w:rPr>
        <w:t>prediction mode flag</w:t>
      </w:r>
      <w:r w:rsidR="00A53E25">
        <w:rPr>
          <w:lang w:val="en-CA"/>
        </w:rPr>
        <w:t xml:space="preserve">, which </w:t>
      </w:r>
      <w:r w:rsidR="00ED42E4">
        <w:rPr>
          <w:lang w:val="en-CA"/>
        </w:rPr>
        <w:t xml:space="preserve">is asserted to </w:t>
      </w:r>
      <w:r w:rsidR="00A53E25">
        <w:rPr>
          <w:lang w:val="en-CA"/>
        </w:rPr>
        <w:t>reduce the number of contexts by two</w:t>
      </w:r>
      <w:r w:rsidR="00E83561">
        <w:rPr>
          <w:lang w:val="en-CA"/>
        </w:rPr>
        <w:t xml:space="preserve">. </w:t>
      </w:r>
      <w:r w:rsidR="00ED42E4">
        <w:rPr>
          <w:lang w:val="en-CA"/>
        </w:rPr>
        <w:t>It is reported that t</w:t>
      </w:r>
      <w:r>
        <w:rPr>
          <w:lang w:val="en-CA"/>
        </w:rPr>
        <w:t>he</w:t>
      </w:r>
      <w:r w:rsidR="001714EF">
        <w:rPr>
          <w:lang w:val="en-CA"/>
        </w:rPr>
        <w:t xml:space="preserve"> p</w:t>
      </w:r>
      <w:bookmarkStart w:id="0" w:name="_GoBack"/>
      <w:bookmarkEnd w:id="0"/>
      <w:r w:rsidR="001714EF">
        <w:rPr>
          <w:lang w:val="en-CA"/>
        </w:rPr>
        <w:t>roposed technique achieves an</w:t>
      </w:r>
      <w:r>
        <w:rPr>
          <w:lang w:val="en-CA"/>
        </w:rPr>
        <w:t xml:space="preserve"> average (Y, U, V) BD-rate </w:t>
      </w:r>
      <w:r w:rsidR="001714EF">
        <w:rPr>
          <w:lang w:val="en-CA"/>
        </w:rPr>
        <w:t>gain</w:t>
      </w:r>
      <w:r>
        <w:rPr>
          <w:lang w:val="en-CA"/>
        </w:rPr>
        <w:t xml:space="preserve"> </w:t>
      </w:r>
      <w:r w:rsidR="001714EF">
        <w:rPr>
          <w:lang w:val="en-CA"/>
        </w:rPr>
        <w:t>of</w:t>
      </w:r>
      <w:r w:rsidR="00800507">
        <w:rPr>
          <w:lang w:val="en-CA"/>
        </w:rPr>
        <w:t xml:space="preserve"> (</w:t>
      </w:r>
      <w:r w:rsidR="001714EF">
        <w:rPr>
          <w:lang w:val="en-CA"/>
        </w:rPr>
        <w:t>-</w:t>
      </w:r>
      <w:r w:rsidR="00800507">
        <w:rPr>
          <w:lang w:val="en-CA"/>
        </w:rPr>
        <w:t>0.01%, 0.</w:t>
      </w:r>
      <w:r w:rsidR="001714EF">
        <w:rPr>
          <w:lang w:val="en-CA"/>
        </w:rPr>
        <w:t>07</w:t>
      </w:r>
      <w:r w:rsidR="00800507">
        <w:rPr>
          <w:lang w:val="en-CA"/>
        </w:rPr>
        <w:t>%, 0.</w:t>
      </w:r>
      <w:r w:rsidR="001714EF">
        <w:rPr>
          <w:lang w:val="en-CA"/>
        </w:rPr>
        <w:t>01</w:t>
      </w:r>
      <w:r w:rsidR="00800507">
        <w:rPr>
          <w:lang w:val="en-CA"/>
        </w:rPr>
        <w:t>%)</w:t>
      </w:r>
      <w:r w:rsidR="001714EF">
        <w:rPr>
          <w:lang w:val="en-CA"/>
        </w:rPr>
        <w:t xml:space="preserve"> </w:t>
      </w:r>
      <w:r w:rsidR="001714EF" w:rsidRPr="001714EF">
        <w:rPr>
          <w:lang w:val="en-CA"/>
        </w:rPr>
        <w:t>and</w:t>
      </w:r>
      <w:r w:rsidRPr="001714EF">
        <w:rPr>
          <w:lang w:val="en-CA"/>
        </w:rPr>
        <w:t xml:space="preserve"> (</w:t>
      </w:r>
      <w:r w:rsidR="001714EF" w:rsidRPr="001714EF">
        <w:rPr>
          <w:lang w:val="en-CA"/>
        </w:rPr>
        <w:t>-</w:t>
      </w:r>
      <w:r w:rsidRPr="001714EF">
        <w:rPr>
          <w:lang w:val="en-CA"/>
        </w:rPr>
        <w:t>0.0</w:t>
      </w:r>
      <w:r w:rsidR="001714EF" w:rsidRPr="001714EF">
        <w:rPr>
          <w:lang w:val="en-CA"/>
        </w:rPr>
        <w:t>5</w:t>
      </w:r>
      <w:r w:rsidRPr="001714EF">
        <w:rPr>
          <w:lang w:val="en-CA"/>
        </w:rPr>
        <w:t>%, 0.0</w:t>
      </w:r>
      <w:r w:rsidR="001714EF" w:rsidRPr="001714EF">
        <w:rPr>
          <w:lang w:val="en-CA"/>
        </w:rPr>
        <w:t>4</w:t>
      </w:r>
      <w:r w:rsidRPr="001714EF">
        <w:rPr>
          <w:lang w:val="en-CA"/>
        </w:rPr>
        <w:t>%, 0.</w:t>
      </w:r>
      <w:r w:rsidR="001714EF" w:rsidRPr="001714EF">
        <w:rPr>
          <w:lang w:val="en-CA"/>
        </w:rPr>
        <w:t>13</w:t>
      </w:r>
      <w:r w:rsidRPr="001714EF">
        <w:rPr>
          <w:lang w:val="en-CA"/>
        </w:rPr>
        <w:t>%)</w:t>
      </w:r>
      <w:r>
        <w:rPr>
          <w:lang w:val="en-CA"/>
        </w:rPr>
        <w:t xml:space="preserve"> </w:t>
      </w:r>
      <w:r w:rsidR="001714EF">
        <w:rPr>
          <w:lang w:val="en-CA"/>
        </w:rPr>
        <w:t>in</w:t>
      </w:r>
      <w:r>
        <w:rPr>
          <w:lang w:val="en-CA"/>
        </w:rPr>
        <w:t xml:space="preserve"> the</w:t>
      </w:r>
      <w:r w:rsidR="001714EF">
        <w:rPr>
          <w:lang w:val="en-CA"/>
        </w:rPr>
        <w:t xml:space="preserve"> </w:t>
      </w:r>
      <w:r>
        <w:rPr>
          <w:lang w:val="en-CA"/>
        </w:rPr>
        <w:t>RA and LDB configurations, respectively</w:t>
      </w:r>
      <w:r w:rsidR="00800507">
        <w:rPr>
          <w:lang w:val="en-CA"/>
        </w:rPr>
        <w:t xml:space="preserve"> with a negligible run time change</w:t>
      </w:r>
      <w:r>
        <w:rPr>
          <w:lang w:val="en-CA"/>
        </w:rPr>
        <w:t>.</w:t>
      </w:r>
    </w:p>
    <w:p w14:paraId="01374724" w14:textId="77777777" w:rsidR="00974FB0" w:rsidRPr="00E83561" w:rsidRDefault="00974FB0" w:rsidP="009234A5">
      <w:pPr>
        <w:rPr>
          <w:lang w:val="en-CA"/>
        </w:rPr>
      </w:pPr>
    </w:p>
    <w:p w14:paraId="1539A21D" w14:textId="254C1EE6" w:rsidR="001F2594" w:rsidRDefault="00745F6B" w:rsidP="009234A5">
      <w:pPr>
        <w:pStyle w:val="Heading1"/>
        <w:rPr>
          <w:lang w:val="en-CA"/>
        </w:rPr>
      </w:pPr>
      <w:r w:rsidRPr="005B217D">
        <w:rPr>
          <w:lang w:val="en-CA"/>
        </w:rPr>
        <w:t>Introduction</w:t>
      </w:r>
    </w:p>
    <w:p w14:paraId="2C298CD1" w14:textId="5F1829E9" w:rsidR="00760938" w:rsidRDefault="0057116A" w:rsidP="00025FC0">
      <w:pPr>
        <w:rPr>
          <w:lang w:val="en-CA" w:eastAsia="ko-KR"/>
        </w:rPr>
      </w:pPr>
      <w:r>
        <w:rPr>
          <w:lang w:val="en-CA" w:eastAsia="ko-KR"/>
        </w:rPr>
        <w:t>In the last meeting, local dual tree has been adopted into VTM6.0</w:t>
      </w:r>
      <w:r w:rsidR="00760938">
        <w:rPr>
          <w:lang w:val="en-CA" w:eastAsia="ko-KR"/>
        </w:rPr>
        <w:t xml:space="preserve"> to remove chroma 2x2/2x4/4x2 intra blocks</w:t>
      </w:r>
      <w:r w:rsidR="009A7D2F">
        <w:rPr>
          <w:lang w:val="en-CA" w:eastAsia="ko-KR"/>
        </w:rPr>
        <w:t xml:space="preserve"> in single tree</w:t>
      </w:r>
      <w:r w:rsidR="007107D8">
        <w:rPr>
          <w:lang w:val="en-CA" w:eastAsia="ko-KR"/>
        </w:rPr>
        <w:t>.</w:t>
      </w:r>
      <w:r>
        <w:rPr>
          <w:lang w:val="en-CA" w:eastAsia="ko-KR"/>
        </w:rPr>
        <w:t xml:space="preserve"> This adoption introduces </w:t>
      </w:r>
      <w:r w:rsidR="009A7D2F">
        <w:rPr>
          <w:lang w:val="en-CA" w:eastAsia="ko-KR"/>
        </w:rPr>
        <w:t xml:space="preserve">the </w:t>
      </w:r>
      <w:r>
        <w:rPr>
          <w:lang w:val="en-CA" w:eastAsia="ko-KR"/>
        </w:rPr>
        <w:t xml:space="preserve">smallest chroma intra prediction unit (SCIPU). In an inter SCIPU, the chroma components inherit the split of the luma component while the chroma components are not split in an intra SCIPU (non-inter SCIPU). </w:t>
      </w:r>
      <w:r w:rsidR="0037533B">
        <w:rPr>
          <w:lang w:val="en-CA" w:eastAsia="ko-KR"/>
        </w:rPr>
        <w:t xml:space="preserve">A flag named </w:t>
      </w:r>
      <w:r w:rsidR="0037533B" w:rsidRPr="00056371">
        <w:rPr>
          <w:i/>
          <w:iCs/>
          <w:lang w:val="en-CA" w:eastAsia="ko-KR"/>
        </w:rPr>
        <w:t>mode_constraint_flag</w:t>
      </w:r>
      <w:r w:rsidR="0037533B">
        <w:rPr>
          <w:lang w:val="en-CA" w:eastAsia="ko-KR"/>
        </w:rPr>
        <w:t xml:space="preserve"> is signalled to </w:t>
      </w:r>
      <w:r>
        <w:rPr>
          <w:lang w:val="en-CA" w:eastAsia="ko-KR"/>
        </w:rPr>
        <w:t xml:space="preserve">indicate </w:t>
      </w:r>
      <w:r w:rsidR="0037533B">
        <w:rPr>
          <w:lang w:val="en-CA" w:eastAsia="ko-KR"/>
        </w:rPr>
        <w:t>the mode of a SCIPU</w:t>
      </w:r>
      <w:r>
        <w:rPr>
          <w:lang w:val="en-CA" w:eastAsia="ko-KR"/>
        </w:rPr>
        <w:t>.</w:t>
      </w:r>
      <w:r w:rsidR="0001744C">
        <w:rPr>
          <w:lang w:val="en-CA" w:eastAsia="ko-KR"/>
        </w:rPr>
        <w:t xml:space="preserve"> Th</w:t>
      </w:r>
      <w:r w:rsidR="0037533B">
        <w:rPr>
          <w:lang w:val="en-CA" w:eastAsia="ko-KR"/>
        </w:rPr>
        <w:t>is flag</w:t>
      </w:r>
      <w:r w:rsidR="0001744C">
        <w:rPr>
          <w:lang w:val="en-CA" w:eastAsia="ko-KR"/>
        </w:rPr>
        <w:t xml:space="preserve"> is encoded using a CABAC encoder. Since the </w:t>
      </w:r>
      <w:r w:rsidR="0037533B" w:rsidRPr="00056371">
        <w:rPr>
          <w:i/>
          <w:iCs/>
          <w:lang w:val="en-CA" w:eastAsia="ko-KR"/>
        </w:rPr>
        <w:t>mode_constraint_flag</w:t>
      </w:r>
      <w:r w:rsidR="0001744C">
        <w:rPr>
          <w:lang w:val="en-CA" w:eastAsia="ko-KR"/>
        </w:rPr>
        <w:t xml:space="preserve"> and </w:t>
      </w:r>
      <w:r w:rsidR="00864D73">
        <w:rPr>
          <w:lang w:val="en-CA" w:eastAsia="ko-KR"/>
        </w:rPr>
        <w:t xml:space="preserve">the </w:t>
      </w:r>
      <w:r w:rsidR="0001744C">
        <w:rPr>
          <w:lang w:val="en-CA" w:eastAsia="ko-KR"/>
        </w:rPr>
        <w:t>prediction mode flag share the same functionality</w:t>
      </w:r>
      <w:r w:rsidR="00760938">
        <w:rPr>
          <w:lang w:val="en-CA" w:eastAsia="ko-KR"/>
        </w:rPr>
        <w:t xml:space="preserve"> at difference levels</w:t>
      </w:r>
      <w:r w:rsidR="0001744C">
        <w:rPr>
          <w:lang w:val="en-CA" w:eastAsia="ko-KR"/>
        </w:rPr>
        <w:t xml:space="preserve">, the context index derivation of </w:t>
      </w:r>
      <w:r w:rsidR="00864D73" w:rsidRPr="00C15DC8">
        <w:rPr>
          <w:i/>
          <w:iCs/>
          <w:lang w:val="en-CA" w:eastAsia="ko-KR"/>
        </w:rPr>
        <w:t>mode_constraint_flag</w:t>
      </w:r>
      <w:r w:rsidR="0001744C">
        <w:rPr>
          <w:lang w:val="en-CA" w:eastAsia="ko-KR"/>
        </w:rPr>
        <w:t xml:space="preserve"> is performed </w:t>
      </w:r>
      <w:r w:rsidR="00F84988">
        <w:rPr>
          <w:lang w:val="en-CA" w:eastAsia="ko-KR"/>
        </w:rPr>
        <w:t xml:space="preserve">in </w:t>
      </w:r>
      <w:r w:rsidR="0001744C">
        <w:rPr>
          <w:lang w:val="en-CA" w:eastAsia="ko-KR"/>
        </w:rPr>
        <w:t xml:space="preserve">the same manner </w:t>
      </w:r>
      <w:r w:rsidR="00F84988">
        <w:rPr>
          <w:lang w:val="en-CA" w:eastAsia="ko-KR"/>
        </w:rPr>
        <w:t xml:space="preserve">as </w:t>
      </w:r>
      <w:r w:rsidR="0001744C">
        <w:rPr>
          <w:lang w:val="en-CA" w:eastAsia="ko-KR"/>
        </w:rPr>
        <w:t>the prediction mode flag.</w:t>
      </w:r>
      <w:r w:rsidR="00760938">
        <w:rPr>
          <w:lang w:val="en-CA" w:eastAsia="ko-KR"/>
        </w:rPr>
        <w:t xml:space="preserve"> In more detail, the context index is decided b</w:t>
      </w:r>
      <w:r w:rsidR="003B6E49">
        <w:rPr>
          <w:lang w:val="en-CA" w:eastAsia="ko-KR"/>
        </w:rPr>
        <w:t>y</w:t>
      </w:r>
      <w:r w:rsidR="00760938">
        <w:rPr>
          <w:lang w:val="en-CA" w:eastAsia="ko-KR"/>
        </w:rPr>
        <w:t xml:space="preserve"> checking whether the </w:t>
      </w:r>
      <w:r w:rsidR="00ED42E4">
        <w:rPr>
          <w:lang w:val="en-CA" w:eastAsia="ko-KR"/>
        </w:rPr>
        <w:t xml:space="preserve">left </w:t>
      </w:r>
      <w:r w:rsidR="00760938">
        <w:rPr>
          <w:lang w:val="en-CA" w:eastAsia="ko-KR"/>
        </w:rPr>
        <w:t>or above block is encoded using intra mod</w:t>
      </w:r>
      <w:r w:rsidR="003B6E49">
        <w:rPr>
          <w:lang w:val="en-CA" w:eastAsia="ko-KR"/>
        </w:rPr>
        <w:t>e</w:t>
      </w:r>
      <w:r w:rsidR="00760938">
        <w:rPr>
          <w:lang w:val="en-CA" w:eastAsia="ko-KR"/>
        </w:rPr>
        <w:t xml:space="preserve"> as illustrated in</w:t>
      </w:r>
      <w:r w:rsidR="00BA7E36">
        <w:rPr>
          <w:lang w:val="en-CA" w:eastAsia="ko-KR"/>
        </w:rPr>
        <w:t xml:space="preserve"> </w:t>
      </w:r>
      <w:r w:rsidR="003B6E49">
        <w:rPr>
          <w:lang w:val="en-CA" w:eastAsia="ko-KR"/>
        </w:rPr>
        <w:fldChar w:fldCharType="begin"/>
      </w:r>
      <w:r w:rsidR="003B6E49">
        <w:rPr>
          <w:lang w:val="en-CA" w:eastAsia="ko-KR"/>
        </w:rPr>
        <w:instrText xml:space="preserve"> REF _Ref20067776 \h </w:instrText>
      </w:r>
      <w:r w:rsidR="003B6E49">
        <w:rPr>
          <w:lang w:val="en-CA" w:eastAsia="ko-KR"/>
        </w:rPr>
      </w:r>
      <w:r w:rsidR="003B6E49">
        <w:rPr>
          <w:lang w:val="en-CA" w:eastAsia="ko-KR"/>
        </w:rPr>
        <w:fldChar w:fldCharType="separate"/>
      </w:r>
      <w:r w:rsidR="003B6E49">
        <w:t xml:space="preserve">Figure </w:t>
      </w:r>
      <w:r w:rsidR="003B6E49">
        <w:rPr>
          <w:noProof/>
        </w:rPr>
        <w:t>1</w:t>
      </w:r>
      <w:r w:rsidR="003B6E49">
        <w:rPr>
          <w:lang w:val="en-CA" w:eastAsia="ko-KR"/>
        </w:rPr>
        <w:fldChar w:fldCharType="end"/>
      </w:r>
      <w:r w:rsidR="003B6E49">
        <w:rPr>
          <w:lang w:val="en-CA" w:eastAsia="ko-KR"/>
        </w:rPr>
        <w:t xml:space="preserve">. </w:t>
      </w:r>
    </w:p>
    <w:p w14:paraId="485B502B" w14:textId="0DD5AA77" w:rsidR="003B6E49" w:rsidRDefault="004D31D1" w:rsidP="003B6E49">
      <w:pPr>
        <w:keepNext/>
        <w:jc w:val="center"/>
      </w:pPr>
      <w:r>
        <w:rPr>
          <w:noProof/>
        </w:rPr>
        <w:drawing>
          <wp:inline distT="0" distB="0" distL="0" distR="0" wp14:anchorId="39340C1F" wp14:editId="27128DC6">
            <wp:extent cx="3803650" cy="1485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3650" cy="1485265"/>
                    </a:xfrm>
                    <a:prstGeom prst="rect">
                      <a:avLst/>
                    </a:prstGeom>
                    <a:noFill/>
                    <a:ln>
                      <a:noFill/>
                    </a:ln>
                  </pic:spPr>
                </pic:pic>
              </a:graphicData>
            </a:graphic>
          </wp:inline>
        </w:drawing>
      </w:r>
    </w:p>
    <w:p w14:paraId="520C247C" w14:textId="0A12DD17" w:rsidR="00760938" w:rsidRDefault="003B6E49" w:rsidP="003B6E49">
      <w:pPr>
        <w:pStyle w:val="Caption"/>
        <w:jc w:val="center"/>
        <w:rPr>
          <w:lang w:val="en-CA" w:eastAsia="ko-KR"/>
        </w:rPr>
      </w:pPr>
      <w:bookmarkStart w:id="1" w:name="_Ref20067776"/>
      <w:r>
        <w:t xml:space="preserve">Figure </w:t>
      </w:r>
      <w:r w:rsidR="00596178">
        <w:fldChar w:fldCharType="begin"/>
      </w:r>
      <w:r w:rsidR="00596178">
        <w:instrText xml:space="preserve"> SEQ Figure \* ARABIC </w:instrText>
      </w:r>
      <w:r w:rsidR="00596178">
        <w:fldChar w:fldCharType="separate"/>
      </w:r>
      <w:r>
        <w:rPr>
          <w:noProof/>
        </w:rPr>
        <w:t>1</w:t>
      </w:r>
      <w:r w:rsidR="00596178">
        <w:rPr>
          <w:noProof/>
        </w:rPr>
        <w:fldChar w:fldCharType="end"/>
      </w:r>
      <w:bookmarkEnd w:id="1"/>
      <w:r>
        <w:t xml:space="preserve"> Position of the left and top blocks in context index derivation</w:t>
      </w:r>
    </w:p>
    <w:p w14:paraId="68110BC8" w14:textId="70FDF59C" w:rsidR="00760938" w:rsidRDefault="00760938" w:rsidP="00025FC0">
      <w:pPr>
        <w:rPr>
          <w:lang w:val="en-CA" w:eastAsia="ko-KR"/>
        </w:rPr>
      </w:pPr>
    </w:p>
    <w:p w14:paraId="59C44879" w14:textId="77777777" w:rsidR="00760938" w:rsidRDefault="00760938" w:rsidP="00025FC0">
      <w:pPr>
        <w:rPr>
          <w:lang w:val="en-CA" w:eastAsia="ko-KR"/>
        </w:rPr>
      </w:pPr>
    </w:p>
    <w:p w14:paraId="1EB71AAC" w14:textId="429EA97C" w:rsidR="00AE4046" w:rsidRDefault="00AE4046" w:rsidP="00AE4046">
      <w:pPr>
        <w:pStyle w:val="Heading1"/>
        <w:rPr>
          <w:lang w:val="en-CA"/>
        </w:rPr>
      </w:pPr>
      <w:r>
        <w:rPr>
          <w:lang w:val="en-CA"/>
        </w:rPr>
        <w:t>Proposed method</w:t>
      </w:r>
    </w:p>
    <w:p w14:paraId="750A0455" w14:textId="04175685" w:rsidR="00ED42E4" w:rsidRDefault="003B6E49" w:rsidP="00025FC0">
      <w:pPr>
        <w:rPr>
          <w:lang w:val="en-CA" w:eastAsia="ko-KR"/>
        </w:rPr>
      </w:pPr>
      <w:r>
        <w:rPr>
          <w:lang w:val="en-CA" w:eastAsia="ko-KR"/>
        </w:rPr>
        <w:t xml:space="preserve">This proposal further unifies signalling of SCIPU </w:t>
      </w:r>
      <w:r w:rsidR="004506FB">
        <w:rPr>
          <w:lang w:val="en-CA" w:eastAsia="ko-KR"/>
        </w:rPr>
        <w:t>mode</w:t>
      </w:r>
      <w:r>
        <w:rPr>
          <w:lang w:val="en-CA" w:eastAsia="ko-KR"/>
        </w:rPr>
        <w:t xml:space="preserve"> and prediction mode</w:t>
      </w:r>
      <w:r w:rsidR="00ED42E4">
        <w:rPr>
          <w:lang w:val="en-CA" w:eastAsia="ko-KR"/>
        </w:rPr>
        <w:t>: by using the same context coded bin to indicate mode for SCIPU and prediction mode of CU</w:t>
      </w:r>
      <w:r>
        <w:rPr>
          <w:lang w:val="en-CA" w:eastAsia="ko-KR"/>
        </w:rPr>
        <w:t xml:space="preserve">. </w:t>
      </w:r>
      <w:r w:rsidR="00026882">
        <w:rPr>
          <w:lang w:val="en-CA" w:eastAsia="ko-KR"/>
        </w:rPr>
        <w:t>Tw</w:t>
      </w:r>
      <w:r w:rsidR="00ED42E4">
        <w:rPr>
          <w:lang w:val="en-CA" w:eastAsia="ko-KR"/>
        </w:rPr>
        <w:t xml:space="preserve">o seemingly equivalent approaches were found </w:t>
      </w:r>
      <w:r w:rsidR="00026882">
        <w:rPr>
          <w:lang w:val="en-CA" w:eastAsia="ko-KR"/>
        </w:rPr>
        <w:t>to effect this change</w:t>
      </w:r>
      <w:r w:rsidR="00ED42E4">
        <w:rPr>
          <w:lang w:val="en-CA" w:eastAsia="ko-KR"/>
        </w:rPr>
        <w:t>:</w:t>
      </w:r>
    </w:p>
    <w:p w14:paraId="4FE07C08" w14:textId="5DE3E43F" w:rsidR="00AE4046" w:rsidRDefault="00ED42E4" w:rsidP="00ED42E4">
      <w:pPr>
        <w:pStyle w:val="ListParagraph"/>
        <w:numPr>
          <w:ilvl w:val="0"/>
          <w:numId w:val="14"/>
        </w:numPr>
        <w:rPr>
          <w:lang w:val="en-CA" w:eastAsia="ko-KR"/>
        </w:rPr>
      </w:pPr>
      <w:r>
        <w:rPr>
          <w:lang w:val="en-CA" w:eastAsia="ko-KR"/>
        </w:rPr>
        <w:t>T</w:t>
      </w:r>
      <w:r w:rsidR="003B6E49" w:rsidRPr="00ED42E4">
        <w:rPr>
          <w:lang w:val="en-CA" w:eastAsia="ko-KR"/>
        </w:rPr>
        <w:t xml:space="preserve">he </w:t>
      </w:r>
      <w:r w:rsidR="0037533B" w:rsidRPr="00056371">
        <w:rPr>
          <w:i/>
          <w:iCs/>
          <w:lang w:val="en-CA" w:eastAsia="ko-KR"/>
        </w:rPr>
        <w:t>mode_constraint_flag</w:t>
      </w:r>
      <w:r w:rsidR="003B6E49" w:rsidRPr="00ED42E4">
        <w:rPr>
          <w:lang w:val="en-CA" w:eastAsia="ko-KR"/>
        </w:rPr>
        <w:t xml:space="preserve"> is </w:t>
      </w:r>
      <w:r w:rsidR="0037533B" w:rsidRPr="00ED42E4">
        <w:rPr>
          <w:lang w:val="en-CA" w:eastAsia="ko-KR"/>
        </w:rPr>
        <w:t>removed,</w:t>
      </w:r>
      <w:r w:rsidR="003B6E49" w:rsidRPr="00ED42E4">
        <w:rPr>
          <w:lang w:val="en-CA" w:eastAsia="ko-KR"/>
        </w:rPr>
        <w:t xml:space="preserve"> and the</w:t>
      </w:r>
      <w:r>
        <w:rPr>
          <w:lang w:val="en-CA" w:eastAsia="ko-KR"/>
        </w:rPr>
        <w:t xml:space="preserve"> same syntax element for</w:t>
      </w:r>
      <w:r w:rsidR="003B6E49" w:rsidRPr="00ED42E4">
        <w:rPr>
          <w:lang w:val="en-CA" w:eastAsia="ko-KR"/>
        </w:rPr>
        <w:t xml:space="preserve"> prediction mode flag is also signalled to indicate whether a SCIPU is </w:t>
      </w:r>
      <w:r w:rsidR="00A02FA0" w:rsidRPr="00ED42E4">
        <w:rPr>
          <w:lang w:val="en-CA" w:eastAsia="ko-KR"/>
        </w:rPr>
        <w:t>inter or non-inter. By using this unification, an extra SCIPU flag</w:t>
      </w:r>
      <w:r w:rsidR="0004538D" w:rsidRPr="00ED42E4">
        <w:rPr>
          <w:lang w:val="en-CA" w:eastAsia="ko-KR"/>
        </w:rPr>
        <w:t xml:space="preserve"> syntax</w:t>
      </w:r>
      <w:r w:rsidR="00A02FA0" w:rsidRPr="00ED42E4">
        <w:rPr>
          <w:lang w:val="en-CA" w:eastAsia="ko-KR"/>
        </w:rPr>
        <w:t xml:space="preserve"> </w:t>
      </w:r>
      <w:r w:rsidR="000C69ED" w:rsidRPr="00ED42E4">
        <w:rPr>
          <w:lang w:val="en-CA" w:eastAsia="ko-KR"/>
        </w:rPr>
        <w:t>and its two contexts are</w:t>
      </w:r>
      <w:r w:rsidR="00A02FA0" w:rsidRPr="00ED42E4">
        <w:rPr>
          <w:lang w:val="en-CA" w:eastAsia="ko-KR"/>
        </w:rPr>
        <w:t xml:space="preserve"> no longer needed, thus the design and specification text are cleaner. </w:t>
      </w:r>
      <w:r w:rsidR="004506FB" w:rsidRPr="00ED42E4">
        <w:rPr>
          <w:lang w:val="en-CA" w:eastAsia="ko-KR"/>
        </w:rPr>
        <w:t xml:space="preserve">The </w:t>
      </w:r>
      <w:r w:rsidR="00D83E13" w:rsidRPr="00ED42E4">
        <w:rPr>
          <w:lang w:val="en-CA" w:eastAsia="ko-KR"/>
        </w:rPr>
        <w:t>corresponding specification text change is attached.</w:t>
      </w:r>
    </w:p>
    <w:p w14:paraId="524A3775" w14:textId="550BA669" w:rsidR="00AA08FF" w:rsidRPr="00ED42E4" w:rsidRDefault="00AA08FF" w:rsidP="00056371">
      <w:pPr>
        <w:pStyle w:val="ListParagraph"/>
        <w:numPr>
          <w:ilvl w:val="0"/>
          <w:numId w:val="14"/>
        </w:numPr>
        <w:rPr>
          <w:lang w:val="en-CA" w:eastAsia="ko-KR"/>
        </w:rPr>
      </w:pPr>
      <w:r>
        <w:rPr>
          <w:lang w:val="en-CA" w:eastAsia="ko-KR"/>
        </w:rPr>
        <w:t xml:space="preserve">The mode_constraint_flag and the prediction mode flag are retained as </w:t>
      </w:r>
      <w:r w:rsidR="00026882">
        <w:rPr>
          <w:lang w:val="en-CA" w:eastAsia="ko-KR"/>
        </w:rPr>
        <w:t>in VTM6.0</w:t>
      </w:r>
      <w:r>
        <w:rPr>
          <w:lang w:val="en-CA" w:eastAsia="ko-KR"/>
        </w:rPr>
        <w:t xml:space="preserve">; the context variables </w:t>
      </w:r>
      <w:r w:rsidR="0067328E">
        <w:rPr>
          <w:lang w:val="en-CA" w:eastAsia="ko-KR"/>
        </w:rPr>
        <w:t>associated with</w:t>
      </w:r>
      <w:r>
        <w:rPr>
          <w:lang w:val="en-CA" w:eastAsia="ko-KR"/>
        </w:rPr>
        <w:t xml:space="preserve"> the </w:t>
      </w:r>
      <w:r w:rsidR="0067328E">
        <w:rPr>
          <w:lang w:val="en-CA" w:eastAsia="ko-KR"/>
        </w:rPr>
        <w:t xml:space="preserve">syntax elements </w:t>
      </w:r>
      <w:r>
        <w:rPr>
          <w:lang w:val="en-CA" w:eastAsia="ko-KR"/>
        </w:rPr>
        <w:t>mode_constraint_flag and prediction mode flag are set to be the same.</w:t>
      </w:r>
      <w:r w:rsidR="00026882">
        <w:rPr>
          <w:lang w:val="en-CA" w:eastAsia="ko-KR"/>
        </w:rPr>
        <w:t xml:space="preserve"> Two contexts used for the mode_constraint_flag in VTM6.0 are no longer needed.</w:t>
      </w:r>
    </w:p>
    <w:p w14:paraId="1261E4F7" w14:textId="365A0040" w:rsidR="008E39D0" w:rsidRDefault="008E39D0" w:rsidP="00F7482B">
      <w:pPr>
        <w:rPr>
          <w:lang w:val="en-CA"/>
        </w:rPr>
      </w:pPr>
    </w:p>
    <w:p w14:paraId="15C9CECB" w14:textId="04C2433C" w:rsidR="00CF4BD6" w:rsidRDefault="00CF4BD6" w:rsidP="00CF4BD6">
      <w:pPr>
        <w:pStyle w:val="Heading1"/>
        <w:rPr>
          <w:lang w:val="en-CA"/>
        </w:rPr>
      </w:pPr>
      <w:r>
        <w:rPr>
          <w:lang w:val="en-CA"/>
        </w:rPr>
        <w:t>Experimental results</w:t>
      </w:r>
    </w:p>
    <w:p w14:paraId="2B9A0055" w14:textId="27A3C18F" w:rsidR="00CF4BD6" w:rsidRPr="0004538D" w:rsidRDefault="00CF4BD6" w:rsidP="00CF4BD6">
      <w:pPr>
        <w:rPr>
          <w:rFonts w:eastAsia="Malgun Gothic"/>
          <w:lang w:eastAsia="ko-KR"/>
        </w:rPr>
      </w:pPr>
      <w:r>
        <w:rPr>
          <w:lang w:val="en-CA"/>
        </w:rPr>
        <w:t>The proposed method has been implemented on top of VTM6.0</w:t>
      </w:r>
      <w:r w:rsidR="00B21D7E">
        <w:rPr>
          <w:lang w:val="en-CA"/>
        </w:rPr>
        <w:t xml:space="preserve"> and has been tested under the test conditions defined in JVET-N1010. </w:t>
      </w:r>
      <w:r w:rsidR="00A623B0">
        <w:rPr>
          <w:rFonts w:eastAsia="Malgun Gothic"/>
          <w:lang w:eastAsia="ko-KR"/>
        </w:rPr>
        <w:fldChar w:fldCharType="begin"/>
      </w:r>
      <w:r w:rsidR="00A623B0">
        <w:rPr>
          <w:lang w:val="en-CA"/>
        </w:rPr>
        <w:instrText xml:space="preserve"> REF _Ref20070708 \h </w:instrText>
      </w:r>
      <w:r w:rsidR="00A623B0">
        <w:rPr>
          <w:rFonts w:eastAsia="Malgun Gothic"/>
          <w:lang w:eastAsia="ko-KR"/>
        </w:rPr>
      </w:r>
      <w:r w:rsidR="00A623B0">
        <w:rPr>
          <w:rFonts w:eastAsia="Malgun Gothic"/>
          <w:lang w:eastAsia="ko-KR"/>
        </w:rPr>
        <w:fldChar w:fldCharType="separate"/>
      </w:r>
      <w:r w:rsidR="00A623B0">
        <w:t xml:space="preserve">Table </w:t>
      </w:r>
      <w:r w:rsidR="00A623B0">
        <w:rPr>
          <w:noProof/>
        </w:rPr>
        <w:t>1</w:t>
      </w:r>
      <w:r w:rsidR="00A623B0">
        <w:rPr>
          <w:rFonts w:eastAsia="Malgun Gothic"/>
          <w:lang w:eastAsia="ko-KR"/>
        </w:rPr>
        <w:fldChar w:fldCharType="end"/>
      </w:r>
      <w:r w:rsidR="00A623B0">
        <w:rPr>
          <w:rFonts w:eastAsia="Malgun Gothic"/>
          <w:lang w:eastAsia="ko-KR"/>
        </w:rPr>
        <w:t xml:space="preserve"> </w:t>
      </w:r>
      <w:r w:rsidR="00B21D7E">
        <w:rPr>
          <w:rFonts w:eastAsia="Malgun Gothic"/>
          <w:lang w:eastAsia="ko-KR"/>
        </w:rPr>
        <w:t>shows the test results in RA and LD configuration.</w:t>
      </w:r>
    </w:p>
    <w:p w14:paraId="3295D5FC" w14:textId="0AB83CDA" w:rsidR="0004538D" w:rsidRDefault="0004538D" w:rsidP="00CF4BD6">
      <w:pPr>
        <w:rPr>
          <w:lang w:val="en-CA"/>
        </w:rPr>
      </w:pPr>
      <w:r>
        <w:rPr>
          <w:lang w:val="en-CA"/>
        </w:rPr>
        <w:t xml:space="preserve">The experimental results show that, the proposed unification achieves an average (Y, U, V) BD-rate gain of (-0.01%, 0.07%, 0.01%) </w:t>
      </w:r>
      <w:r w:rsidRPr="001714EF">
        <w:rPr>
          <w:lang w:val="en-CA"/>
        </w:rPr>
        <w:t>and (-0.05%, 0.04%, 0.13%)</w:t>
      </w:r>
      <w:r>
        <w:rPr>
          <w:lang w:val="en-CA"/>
        </w:rPr>
        <w:t xml:space="preserve"> in the RA and LDB configurations, respectively with a negligible runtime change.</w:t>
      </w:r>
      <w:r w:rsidR="00D83E13">
        <w:rPr>
          <w:lang w:val="en-CA"/>
        </w:rPr>
        <w:t xml:space="preserve"> Notably, the luma gain is reportedly 0.14% in Class F in the LDB configuration.</w:t>
      </w:r>
    </w:p>
    <w:p w14:paraId="6A84D12A" w14:textId="77777777" w:rsidR="004506FB" w:rsidRDefault="004506FB" w:rsidP="00CF4BD6">
      <w:pPr>
        <w:rPr>
          <w:lang w:val="en-CA"/>
        </w:rPr>
      </w:pPr>
    </w:p>
    <w:p w14:paraId="48B62C48" w14:textId="70C2C164" w:rsidR="00D83E13" w:rsidRDefault="00D83E13" w:rsidP="00D83E13">
      <w:pPr>
        <w:pStyle w:val="Caption"/>
        <w:keepNext/>
        <w:jc w:val="center"/>
      </w:pPr>
      <w:bookmarkStart w:id="2" w:name="_Ref20070708"/>
      <w:r>
        <w:t xml:space="preserve">Table </w:t>
      </w:r>
      <w:r w:rsidR="00596178">
        <w:fldChar w:fldCharType="begin"/>
      </w:r>
      <w:r w:rsidR="00596178">
        <w:instrText xml:space="preserve"> SEQ Table \* ARABIC </w:instrText>
      </w:r>
      <w:r w:rsidR="00596178">
        <w:fldChar w:fldCharType="separate"/>
      </w:r>
      <w:r>
        <w:rPr>
          <w:noProof/>
        </w:rPr>
        <w:t>1</w:t>
      </w:r>
      <w:r w:rsidR="00596178">
        <w:rPr>
          <w:noProof/>
        </w:rPr>
        <w:fldChar w:fldCharType="end"/>
      </w:r>
      <w:bookmarkEnd w:id="2"/>
      <w:r>
        <w:t xml:space="preserve"> Experimental results</w:t>
      </w:r>
    </w:p>
    <w:tbl>
      <w:tblPr>
        <w:tblW w:w="6940" w:type="dxa"/>
        <w:jc w:val="center"/>
        <w:tblLook w:val="04A0" w:firstRow="1" w:lastRow="0" w:firstColumn="1" w:lastColumn="0" w:noHBand="0" w:noVBand="1"/>
      </w:tblPr>
      <w:tblGrid>
        <w:gridCol w:w="1640"/>
        <w:gridCol w:w="1144"/>
        <w:gridCol w:w="1144"/>
        <w:gridCol w:w="1144"/>
        <w:gridCol w:w="934"/>
        <w:gridCol w:w="934"/>
      </w:tblGrid>
      <w:tr w:rsidR="004506FB" w:rsidRPr="004506FB" w14:paraId="52C25CE8"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61E0C8D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86A05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Random Access Main 10</w:t>
            </w:r>
          </w:p>
        </w:tc>
      </w:tr>
      <w:tr w:rsidR="004506FB" w:rsidRPr="004506FB" w14:paraId="178C6EEF"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057323A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D2C4CD6" w14:textId="6D64DDB6"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Over VTM-6.0</w:t>
            </w:r>
          </w:p>
        </w:tc>
      </w:tr>
      <w:tr w:rsidR="004506FB" w:rsidRPr="004506FB" w14:paraId="55DD9B5B"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01887B5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6BF0EBD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149436C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07358F"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09E75A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A15800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DecT</w:t>
            </w:r>
          </w:p>
        </w:tc>
      </w:tr>
      <w:tr w:rsidR="004506FB" w:rsidRPr="004506FB" w14:paraId="66FC6214" w14:textId="77777777" w:rsidTr="004506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9DD3D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A1</w:t>
            </w:r>
          </w:p>
        </w:tc>
        <w:tc>
          <w:tcPr>
            <w:tcW w:w="1144" w:type="dxa"/>
            <w:tcBorders>
              <w:top w:val="nil"/>
              <w:left w:val="nil"/>
              <w:bottom w:val="nil"/>
              <w:right w:val="nil"/>
            </w:tcBorders>
            <w:shd w:val="clear" w:color="auto" w:fill="auto"/>
            <w:noWrap/>
            <w:vAlign w:val="center"/>
            <w:hideMark/>
          </w:tcPr>
          <w:p w14:paraId="0ED4BA8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nil"/>
              <w:right w:val="nil"/>
            </w:tcBorders>
            <w:shd w:val="clear" w:color="auto" w:fill="auto"/>
            <w:noWrap/>
            <w:vAlign w:val="center"/>
            <w:hideMark/>
          </w:tcPr>
          <w:p w14:paraId="12044AE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49B91C9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934" w:type="dxa"/>
            <w:tcBorders>
              <w:top w:val="nil"/>
              <w:left w:val="nil"/>
              <w:bottom w:val="nil"/>
              <w:right w:val="nil"/>
            </w:tcBorders>
            <w:shd w:val="clear" w:color="auto" w:fill="auto"/>
            <w:noWrap/>
            <w:vAlign w:val="center"/>
            <w:hideMark/>
          </w:tcPr>
          <w:p w14:paraId="5D8A7C9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24DA550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115%</w:t>
            </w:r>
          </w:p>
        </w:tc>
      </w:tr>
      <w:tr w:rsidR="004506FB" w:rsidRPr="004506FB" w14:paraId="4D0B5DC7"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B7B1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A2</w:t>
            </w:r>
          </w:p>
        </w:tc>
        <w:tc>
          <w:tcPr>
            <w:tcW w:w="1144" w:type="dxa"/>
            <w:tcBorders>
              <w:top w:val="nil"/>
              <w:left w:val="nil"/>
              <w:bottom w:val="nil"/>
              <w:right w:val="nil"/>
            </w:tcBorders>
            <w:shd w:val="clear" w:color="auto" w:fill="auto"/>
            <w:noWrap/>
            <w:vAlign w:val="center"/>
            <w:hideMark/>
          </w:tcPr>
          <w:p w14:paraId="19BF36A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0.03%</w:t>
            </w:r>
          </w:p>
        </w:tc>
        <w:tc>
          <w:tcPr>
            <w:tcW w:w="1144" w:type="dxa"/>
            <w:tcBorders>
              <w:top w:val="nil"/>
              <w:left w:val="nil"/>
              <w:bottom w:val="nil"/>
              <w:right w:val="nil"/>
            </w:tcBorders>
            <w:shd w:val="clear" w:color="auto" w:fill="auto"/>
            <w:noWrap/>
            <w:vAlign w:val="center"/>
            <w:hideMark/>
          </w:tcPr>
          <w:p w14:paraId="57A01E7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34BCF8B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0.03%</w:t>
            </w:r>
          </w:p>
        </w:tc>
        <w:tc>
          <w:tcPr>
            <w:tcW w:w="934" w:type="dxa"/>
            <w:tcBorders>
              <w:top w:val="nil"/>
              <w:left w:val="nil"/>
              <w:bottom w:val="nil"/>
              <w:right w:val="nil"/>
            </w:tcBorders>
            <w:shd w:val="clear" w:color="auto" w:fill="auto"/>
            <w:noWrap/>
            <w:vAlign w:val="center"/>
            <w:hideMark/>
          </w:tcPr>
          <w:p w14:paraId="509D931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4821A03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92%</w:t>
            </w:r>
          </w:p>
        </w:tc>
      </w:tr>
      <w:tr w:rsidR="004506FB" w:rsidRPr="004506FB" w14:paraId="3FFAE97A"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197D4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B</w:t>
            </w:r>
          </w:p>
        </w:tc>
        <w:tc>
          <w:tcPr>
            <w:tcW w:w="1144" w:type="dxa"/>
            <w:tcBorders>
              <w:top w:val="nil"/>
              <w:left w:val="nil"/>
              <w:bottom w:val="nil"/>
              <w:right w:val="nil"/>
            </w:tcBorders>
            <w:shd w:val="clear" w:color="auto" w:fill="auto"/>
            <w:noWrap/>
            <w:vAlign w:val="center"/>
            <w:hideMark/>
          </w:tcPr>
          <w:p w14:paraId="14E8BCE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nil"/>
              <w:right w:val="nil"/>
            </w:tcBorders>
            <w:shd w:val="clear" w:color="auto" w:fill="auto"/>
            <w:noWrap/>
            <w:vAlign w:val="center"/>
            <w:hideMark/>
          </w:tcPr>
          <w:p w14:paraId="3FA4B4A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0.09%</w:t>
            </w:r>
          </w:p>
        </w:tc>
        <w:tc>
          <w:tcPr>
            <w:tcW w:w="1144" w:type="dxa"/>
            <w:tcBorders>
              <w:top w:val="nil"/>
              <w:left w:val="nil"/>
              <w:bottom w:val="nil"/>
              <w:right w:val="single" w:sz="4" w:space="0" w:color="auto"/>
            </w:tcBorders>
            <w:shd w:val="clear" w:color="auto" w:fill="auto"/>
            <w:noWrap/>
            <w:vAlign w:val="center"/>
            <w:hideMark/>
          </w:tcPr>
          <w:p w14:paraId="2CB33B5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-0.02%</w:t>
            </w:r>
          </w:p>
        </w:tc>
        <w:tc>
          <w:tcPr>
            <w:tcW w:w="934" w:type="dxa"/>
            <w:tcBorders>
              <w:top w:val="nil"/>
              <w:left w:val="nil"/>
              <w:bottom w:val="nil"/>
              <w:right w:val="nil"/>
            </w:tcBorders>
            <w:shd w:val="clear" w:color="auto" w:fill="auto"/>
            <w:noWrap/>
            <w:vAlign w:val="center"/>
            <w:hideMark/>
          </w:tcPr>
          <w:p w14:paraId="72F950A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6198DA4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109%</w:t>
            </w:r>
          </w:p>
        </w:tc>
      </w:tr>
      <w:tr w:rsidR="004506FB" w:rsidRPr="004506FB" w14:paraId="13F90C55"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BC7B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C</w:t>
            </w:r>
          </w:p>
        </w:tc>
        <w:tc>
          <w:tcPr>
            <w:tcW w:w="1144" w:type="dxa"/>
            <w:tcBorders>
              <w:top w:val="nil"/>
              <w:left w:val="nil"/>
              <w:bottom w:val="nil"/>
              <w:right w:val="nil"/>
            </w:tcBorders>
            <w:shd w:val="clear" w:color="auto" w:fill="auto"/>
            <w:noWrap/>
            <w:vAlign w:val="center"/>
            <w:hideMark/>
          </w:tcPr>
          <w:p w14:paraId="658860A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-0.02%</w:t>
            </w:r>
          </w:p>
        </w:tc>
        <w:tc>
          <w:tcPr>
            <w:tcW w:w="1144" w:type="dxa"/>
            <w:tcBorders>
              <w:top w:val="nil"/>
              <w:left w:val="nil"/>
              <w:bottom w:val="nil"/>
              <w:right w:val="nil"/>
            </w:tcBorders>
            <w:shd w:val="clear" w:color="auto" w:fill="auto"/>
            <w:noWrap/>
            <w:vAlign w:val="center"/>
            <w:hideMark/>
          </w:tcPr>
          <w:p w14:paraId="3BF1164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2AF158D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0.03%</w:t>
            </w:r>
          </w:p>
        </w:tc>
        <w:tc>
          <w:tcPr>
            <w:tcW w:w="934" w:type="dxa"/>
            <w:tcBorders>
              <w:top w:val="nil"/>
              <w:left w:val="nil"/>
              <w:bottom w:val="nil"/>
              <w:right w:val="nil"/>
            </w:tcBorders>
            <w:shd w:val="clear" w:color="auto" w:fill="auto"/>
            <w:noWrap/>
            <w:vAlign w:val="center"/>
            <w:hideMark/>
          </w:tcPr>
          <w:p w14:paraId="07E949C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1BBF464F"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86%</w:t>
            </w:r>
          </w:p>
        </w:tc>
      </w:tr>
      <w:tr w:rsidR="004506FB" w:rsidRPr="004506FB" w14:paraId="7CEB2069"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5AE53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E</w:t>
            </w:r>
          </w:p>
        </w:tc>
        <w:tc>
          <w:tcPr>
            <w:tcW w:w="1144" w:type="dxa"/>
            <w:tcBorders>
              <w:top w:val="nil"/>
              <w:left w:val="nil"/>
              <w:bottom w:val="nil"/>
              <w:right w:val="nil"/>
            </w:tcBorders>
            <w:shd w:val="clear" w:color="auto" w:fill="auto"/>
            <w:noWrap/>
            <w:vAlign w:val="center"/>
            <w:hideMark/>
          </w:tcPr>
          <w:p w14:paraId="3E18E5C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1144" w:type="dxa"/>
            <w:tcBorders>
              <w:top w:val="nil"/>
              <w:left w:val="nil"/>
              <w:bottom w:val="nil"/>
              <w:right w:val="nil"/>
            </w:tcBorders>
            <w:shd w:val="clear" w:color="auto" w:fill="auto"/>
            <w:noWrap/>
            <w:vAlign w:val="center"/>
            <w:hideMark/>
          </w:tcPr>
          <w:p w14:paraId="5C34830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659354B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nil"/>
            </w:tcBorders>
            <w:shd w:val="clear" w:color="auto" w:fill="auto"/>
            <w:noWrap/>
            <w:vAlign w:val="center"/>
            <w:hideMark/>
          </w:tcPr>
          <w:p w14:paraId="6025107F"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08F6BE3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r>
      <w:tr w:rsidR="004506FB" w:rsidRPr="004506FB" w14:paraId="606BF3B2" w14:textId="77777777" w:rsidTr="004506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7485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40AF168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180052F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F7AEB3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099DE2D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914076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r>
      <w:tr w:rsidR="004506FB" w:rsidRPr="004506FB" w14:paraId="4CDA8A47" w14:textId="77777777" w:rsidTr="004506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0DD3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0CE4446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-0.05%</w:t>
            </w:r>
          </w:p>
        </w:tc>
        <w:tc>
          <w:tcPr>
            <w:tcW w:w="1144" w:type="dxa"/>
            <w:tcBorders>
              <w:top w:val="single" w:sz="8" w:space="0" w:color="auto"/>
              <w:left w:val="nil"/>
              <w:bottom w:val="nil"/>
              <w:right w:val="nil"/>
            </w:tcBorders>
            <w:shd w:val="clear" w:color="auto" w:fill="auto"/>
            <w:noWrap/>
            <w:vAlign w:val="center"/>
            <w:hideMark/>
          </w:tcPr>
          <w:p w14:paraId="2C20013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2DAD1B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0.04%</w:t>
            </w:r>
          </w:p>
        </w:tc>
        <w:tc>
          <w:tcPr>
            <w:tcW w:w="934" w:type="dxa"/>
            <w:tcBorders>
              <w:top w:val="single" w:sz="8" w:space="0" w:color="auto"/>
              <w:left w:val="nil"/>
              <w:bottom w:val="nil"/>
              <w:right w:val="nil"/>
            </w:tcBorders>
            <w:shd w:val="clear" w:color="auto" w:fill="auto"/>
            <w:noWrap/>
            <w:vAlign w:val="center"/>
            <w:hideMark/>
          </w:tcPr>
          <w:p w14:paraId="7FABA78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745D3C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82%</w:t>
            </w:r>
          </w:p>
        </w:tc>
      </w:tr>
      <w:tr w:rsidR="004506FB" w:rsidRPr="004506FB" w14:paraId="3C77C725" w14:textId="77777777" w:rsidTr="004506F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F7B1E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17713BF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-0.03%</w:t>
            </w:r>
          </w:p>
        </w:tc>
        <w:tc>
          <w:tcPr>
            <w:tcW w:w="1144" w:type="dxa"/>
            <w:tcBorders>
              <w:top w:val="nil"/>
              <w:left w:val="nil"/>
              <w:bottom w:val="single" w:sz="8" w:space="0" w:color="auto"/>
              <w:right w:val="nil"/>
            </w:tcBorders>
            <w:shd w:val="clear" w:color="auto" w:fill="auto"/>
            <w:noWrap/>
            <w:vAlign w:val="center"/>
            <w:hideMark/>
          </w:tcPr>
          <w:p w14:paraId="6E166A8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6D021AF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-0.03%</w:t>
            </w:r>
          </w:p>
        </w:tc>
        <w:tc>
          <w:tcPr>
            <w:tcW w:w="934" w:type="dxa"/>
            <w:tcBorders>
              <w:top w:val="nil"/>
              <w:left w:val="nil"/>
              <w:bottom w:val="single" w:sz="8" w:space="0" w:color="auto"/>
              <w:right w:val="nil"/>
            </w:tcBorders>
            <w:shd w:val="clear" w:color="auto" w:fill="auto"/>
            <w:noWrap/>
            <w:vAlign w:val="center"/>
            <w:hideMark/>
          </w:tcPr>
          <w:p w14:paraId="04D1E9E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07DB6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92%</w:t>
            </w:r>
          </w:p>
        </w:tc>
      </w:tr>
      <w:tr w:rsidR="004506FB" w:rsidRPr="004506FB" w14:paraId="0F65281D"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5A1FA50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nil"/>
            </w:tcBorders>
            <w:shd w:val="clear" w:color="auto" w:fill="auto"/>
            <w:noWrap/>
            <w:vAlign w:val="bottom"/>
            <w:hideMark/>
          </w:tcPr>
          <w:p w14:paraId="0B0B5F3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44" w:type="dxa"/>
            <w:tcBorders>
              <w:top w:val="nil"/>
              <w:left w:val="nil"/>
              <w:bottom w:val="nil"/>
              <w:right w:val="nil"/>
            </w:tcBorders>
            <w:shd w:val="clear" w:color="auto" w:fill="auto"/>
            <w:noWrap/>
            <w:vAlign w:val="bottom"/>
            <w:hideMark/>
          </w:tcPr>
          <w:p w14:paraId="4E5111C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44" w:type="dxa"/>
            <w:tcBorders>
              <w:top w:val="nil"/>
              <w:left w:val="nil"/>
              <w:bottom w:val="nil"/>
              <w:right w:val="nil"/>
            </w:tcBorders>
            <w:shd w:val="clear" w:color="auto" w:fill="auto"/>
            <w:noWrap/>
            <w:vAlign w:val="bottom"/>
            <w:hideMark/>
          </w:tcPr>
          <w:p w14:paraId="1724EE9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7EE2002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3F2BD3B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506FB" w:rsidRPr="004506FB" w14:paraId="4E905885"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36C088D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4EBC0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 xml:space="preserve">Low delay B Main10 </w:t>
            </w:r>
          </w:p>
        </w:tc>
      </w:tr>
      <w:tr w:rsidR="004506FB" w:rsidRPr="004506FB" w14:paraId="33DC3EB9"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12A0C97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5D002B" w14:textId="2D5CFDDF"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Over VTM-6.0</w:t>
            </w:r>
          </w:p>
        </w:tc>
      </w:tr>
      <w:tr w:rsidR="004506FB" w:rsidRPr="004506FB" w14:paraId="4D2C3CEB" w14:textId="77777777" w:rsidTr="004506FB">
        <w:trPr>
          <w:trHeight w:val="255"/>
          <w:jc w:val="center"/>
        </w:trPr>
        <w:tc>
          <w:tcPr>
            <w:tcW w:w="1640" w:type="dxa"/>
            <w:tcBorders>
              <w:top w:val="nil"/>
              <w:left w:val="nil"/>
              <w:bottom w:val="nil"/>
              <w:right w:val="nil"/>
            </w:tcBorders>
            <w:shd w:val="clear" w:color="auto" w:fill="auto"/>
            <w:noWrap/>
            <w:vAlign w:val="center"/>
            <w:hideMark/>
          </w:tcPr>
          <w:p w14:paraId="235F158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11C9991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7E03A26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7B5F4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54040B3A"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2F8C7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DecT</w:t>
            </w:r>
          </w:p>
        </w:tc>
      </w:tr>
      <w:tr w:rsidR="004506FB" w:rsidRPr="004506FB" w14:paraId="07A49D17" w14:textId="77777777" w:rsidTr="004506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9EA1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A1</w:t>
            </w:r>
          </w:p>
        </w:tc>
        <w:tc>
          <w:tcPr>
            <w:tcW w:w="1144" w:type="dxa"/>
            <w:tcBorders>
              <w:top w:val="nil"/>
              <w:left w:val="nil"/>
              <w:bottom w:val="nil"/>
              <w:right w:val="nil"/>
            </w:tcBorders>
            <w:shd w:val="clear" w:color="auto" w:fill="auto"/>
            <w:noWrap/>
            <w:vAlign w:val="center"/>
            <w:hideMark/>
          </w:tcPr>
          <w:p w14:paraId="24069C0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1144" w:type="dxa"/>
            <w:tcBorders>
              <w:top w:val="nil"/>
              <w:left w:val="nil"/>
              <w:bottom w:val="nil"/>
              <w:right w:val="nil"/>
            </w:tcBorders>
            <w:shd w:val="clear" w:color="auto" w:fill="auto"/>
            <w:noWrap/>
            <w:vAlign w:val="center"/>
            <w:hideMark/>
          </w:tcPr>
          <w:p w14:paraId="2C9D3F7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2798A08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nil"/>
            </w:tcBorders>
            <w:shd w:val="clear" w:color="auto" w:fill="auto"/>
            <w:noWrap/>
            <w:vAlign w:val="center"/>
            <w:hideMark/>
          </w:tcPr>
          <w:p w14:paraId="2553554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08FA5BE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r>
      <w:tr w:rsidR="004506FB" w:rsidRPr="004506FB" w14:paraId="33666D87"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2B2B9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A2</w:t>
            </w:r>
          </w:p>
        </w:tc>
        <w:tc>
          <w:tcPr>
            <w:tcW w:w="1144" w:type="dxa"/>
            <w:tcBorders>
              <w:top w:val="nil"/>
              <w:left w:val="nil"/>
              <w:bottom w:val="nil"/>
              <w:right w:val="nil"/>
            </w:tcBorders>
            <w:shd w:val="clear" w:color="auto" w:fill="auto"/>
            <w:noWrap/>
            <w:vAlign w:val="center"/>
            <w:hideMark/>
          </w:tcPr>
          <w:p w14:paraId="0034D89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1144" w:type="dxa"/>
            <w:tcBorders>
              <w:top w:val="nil"/>
              <w:left w:val="nil"/>
              <w:bottom w:val="nil"/>
              <w:right w:val="nil"/>
            </w:tcBorders>
            <w:shd w:val="clear" w:color="auto" w:fill="auto"/>
            <w:noWrap/>
            <w:vAlign w:val="center"/>
            <w:hideMark/>
          </w:tcPr>
          <w:p w14:paraId="0666C9D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3059150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nil"/>
            </w:tcBorders>
            <w:shd w:val="clear" w:color="auto" w:fill="auto"/>
            <w:noWrap/>
            <w:vAlign w:val="center"/>
            <w:hideMark/>
          </w:tcPr>
          <w:p w14:paraId="64891F1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B7ADC6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 </w:t>
            </w:r>
          </w:p>
        </w:tc>
      </w:tr>
      <w:tr w:rsidR="004506FB" w:rsidRPr="004506FB" w14:paraId="0529621F"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84B5A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B</w:t>
            </w:r>
          </w:p>
        </w:tc>
        <w:tc>
          <w:tcPr>
            <w:tcW w:w="1144" w:type="dxa"/>
            <w:tcBorders>
              <w:top w:val="nil"/>
              <w:left w:val="nil"/>
              <w:bottom w:val="nil"/>
              <w:right w:val="nil"/>
            </w:tcBorders>
            <w:shd w:val="clear" w:color="auto" w:fill="auto"/>
            <w:noWrap/>
            <w:vAlign w:val="center"/>
            <w:hideMark/>
          </w:tcPr>
          <w:p w14:paraId="2D3A7B5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-0.02%</w:t>
            </w:r>
          </w:p>
        </w:tc>
        <w:tc>
          <w:tcPr>
            <w:tcW w:w="1144" w:type="dxa"/>
            <w:tcBorders>
              <w:top w:val="nil"/>
              <w:left w:val="nil"/>
              <w:bottom w:val="nil"/>
              <w:right w:val="nil"/>
            </w:tcBorders>
            <w:shd w:val="clear" w:color="auto" w:fill="auto"/>
            <w:noWrap/>
            <w:vAlign w:val="center"/>
            <w:hideMark/>
          </w:tcPr>
          <w:p w14:paraId="3799F21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27E985D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0.08%</w:t>
            </w:r>
          </w:p>
        </w:tc>
        <w:tc>
          <w:tcPr>
            <w:tcW w:w="934" w:type="dxa"/>
            <w:tcBorders>
              <w:top w:val="nil"/>
              <w:left w:val="nil"/>
              <w:bottom w:val="nil"/>
              <w:right w:val="nil"/>
            </w:tcBorders>
            <w:shd w:val="clear" w:color="auto" w:fill="auto"/>
            <w:noWrap/>
            <w:vAlign w:val="center"/>
            <w:hideMark/>
          </w:tcPr>
          <w:p w14:paraId="44C0845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28A2B5E9"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114%</w:t>
            </w:r>
          </w:p>
        </w:tc>
      </w:tr>
      <w:tr w:rsidR="004506FB" w:rsidRPr="004506FB" w14:paraId="4BA290DF"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5F4C3"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C</w:t>
            </w:r>
          </w:p>
        </w:tc>
        <w:tc>
          <w:tcPr>
            <w:tcW w:w="1144" w:type="dxa"/>
            <w:tcBorders>
              <w:top w:val="nil"/>
              <w:left w:val="nil"/>
              <w:bottom w:val="nil"/>
              <w:right w:val="nil"/>
            </w:tcBorders>
            <w:shd w:val="clear" w:color="auto" w:fill="auto"/>
            <w:noWrap/>
            <w:vAlign w:val="center"/>
            <w:hideMark/>
          </w:tcPr>
          <w:p w14:paraId="3CABAAD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nil"/>
              <w:right w:val="nil"/>
            </w:tcBorders>
            <w:shd w:val="clear" w:color="auto" w:fill="auto"/>
            <w:noWrap/>
            <w:vAlign w:val="center"/>
            <w:hideMark/>
          </w:tcPr>
          <w:p w14:paraId="20C5D752"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nil"/>
              <w:right w:val="single" w:sz="4" w:space="0" w:color="auto"/>
            </w:tcBorders>
            <w:shd w:val="clear" w:color="auto" w:fill="auto"/>
            <w:noWrap/>
            <w:vAlign w:val="center"/>
            <w:hideMark/>
          </w:tcPr>
          <w:p w14:paraId="60E216C4"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0.05%</w:t>
            </w:r>
          </w:p>
        </w:tc>
        <w:tc>
          <w:tcPr>
            <w:tcW w:w="934" w:type="dxa"/>
            <w:tcBorders>
              <w:top w:val="nil"/>
              <w:left w:val="nil"/>
              <w:bottom w:val="nil"/>
              <w:right w:val="nil"/>
            </w:tcBorders>
            <w:shd w:val="clear" w:color="auto" w:fill="auto"/>
            <w:noWrap/>
            <w:vAlign w:val="center"/>
            <w:hideMark/>
          </w:tcPr>
          <w:p w14:paraId="5C903CF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247F8874"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86%</w:t>
            </w:r>
          </w:p>
        </w:tc>
      </w:tr>
      <w:tr w:rsidR="004506FB" w:rsidRPr="004506FB" w14:paraId="2E374EE7" w14:textId="77777777" w:rsidTr="004506F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9CA6D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E</w:t>
            </w:r>
          </w:p>
        </w:tc>
        <w:tc>
          <w:tcPr>
            <w:tcW w:w="1144" w:type="dxa"/>
            <w:tcBorders>
              <w:top w:val="nil"/>
              <w:left w:val="nil"/>
              <w:bottom w:val="nil"/>
              <w:right w:val="nil"/>
            </w:tcBorders>
            <w:shd w:val="clear" w:color="auto" w:fill="auto"/>
            <w:noWrap/>
            <w:vAlign w:val="center"/>
            <w:hideMark/>
          </w:tcPr>
          <w:p w14:paraId="32B921D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-0.14%</w:t>
            </w:r>
          </w:p>
        </w:tc>
        <w:tc>
          <w:tcPr>
            <w:tcW w:w="1144" w:type="dxa"/>
            <w:tcBorders>
              <w:top w:val="nil"/>
              <w:left w:val="nil"/>
              <w:bottom w:val="nil"/>
              <w:right w:val="nil"/>
            </w:tcBorders>
            <w:shd w:val="clear" w:color="auto" w:fill="auto"/>
            <w:noWrap/>
            <w:vAlign w:val="center"/>
            <w:hideMark/>
          </w:tcPr>
          <w:p w14:paraId="0353A3CD"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0.28%</w:t>
            </w:r>
          </w:p>
        </w:tc>
        <w:tc>
          <w:tcPr>
            <w:tcW w:w="1144" w:type="dxa"/>
            <w:tcBorders>
              <w:top w:val="nil"/>
              <w:left w:val="nil"/>
              <w:bottom w:val="nil"/>
              <w:right w:val="single" w:sz="4" w:space="0" w:color="auto"/>
            </w:tcBorders>
            <w:shd w:val="clear" w:color="auto" w:fill="auto"/>
            <w:noWrap/>
            <w:vAlign w:val="center"/>
            <w:hideMark/>
          </w:tcPr>
          <w:p w14:paraId="3ABFA48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0.30%</w:t>
            </w:r>
          </w:p>
        </w:tc>
        <w:tc>
          <w:tcPr>
            <w:tcW w:w="934" w:type="dxa"/>
            <w:tcBorders>
              <w:top w:val="nil"/>
              <w:left w:val="nil"/>
              <w:bottom w:val="nil"/>
              <w:right w:val="nil"/>
            </w:tcBorders>
            <w:shd w:val="clear" w:color="auto" w:fill="auto"/>
            <w:noWrap/>
            <w:vAlign w:val="center"/>
            <w:hideMark/>
          </w:tcPr>
          <w:p w14:paraId="6517733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4FACAB6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88%</w:t>
            </w:r>
          </w:p>
        </w:tc>
      </w:tr>
      <w:tr w:rsidR="004506FB" w:rsidRPr="004506FB" w14:paraId="40CFAA91" w14:textId="77777777" w:rsidTr="004506F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AC34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4506FB">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5581EF4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-0.05%</w:t>
            </w:r>
          </w:p>
        </w:tc>
        <w:tc>
          <w:tcPr>
            <w:tcW w:w="1144" w:type="dxa"/>
            <w:tcBorders>
              <w:top w:val="single" w:sz="8" w:space="0" w:color="auto"/>
              <w:left w:val="nil"/>
              <w:bottom w:val="nil"/>
              <w:right w:val="nil"/>
            </w:tcBorders>
            <w:shd w:val="clear" w:color="auto" w:fill="auto"/>
            <w:noWrap/>
            <w:vAlign w:val="center"/>
            <w:hideMark/>
          </w:tcPr>
          <w:p w14:paraId="74C46B80"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E5CF401"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0.13%</w:t>
            </w:r>
          </w:p>
        </w:tc>
        <w:tc>
          <w:tcPr>
            <w:tcW w:w="934" w:type="dxa"/>
            <w:tcBorders>
              <w:top w:val="single" w:sz="8" w:space="0" w:color="auto"/>
              <w:left w:val="nil"/>
              <w:bottom w:val="nil"/>
              <w:right w:val="nil"/>
            </w:tcBorders>
            <w:shd w:val="clear" w:color="auto" w:fill="auto"/>
            <w:noWrap/>
            <w:vAlign w:val="center"/>
            <w:hideMark/>
          </w:tcPr>
          <w:p w14:paraId="3F09906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CF652B4"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97%</w:t>
            </w:r>
          </w:p>
        </w:tc>
      </w:tr>
      <w:tr w:rsidR="004506FB" w:rsidRPr="004506FB" w14:paraId="78FB2494" w14:textId="77777777" w:rsidTr="004506F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CF5B2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E90F9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-0.02%</w:t>
            </w:r>
          </w:p>
        </w:tc>
        <w:tc>
          <w:tcPr>
            <w:tcW w:w="1144" w:type="dxa"/>
            <w:tcBorders>
              <w:top w:val="single" w:sz="8" w:space="0" w:color="auto"/>
              <w:left w:val="nil"/>
              <w:bottom w:val="nil"/>
              <w:right w:val="nil"/>
            </w:tcBorders>
            <w:shd w:val="clear" w:color="auto" w:fill="auto"/>
            <w:noWrap/>
            <w:vAlign w:val="center"/>
            <w:hideMark/>
          </w:tcPr>
          <w:p w14:paraId="620893BC"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7E1878BF"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0.20%</w:t>
            </w:r>
          </w:p>
        </w:tc>
        <w:tc>
          <w:tcPr>
            <w:tcW w:w="934" w:type="dxa"/>
            <w:tcBorders>
              <w:top w:val="single" w:sz="8" w:space="0" w:color="auto"/>
              <w:left w:val="nil"/>
              <w:bottom w:val="nil"/>
              <w:right w:val="nil"/>
            </w:tcBorders>
            <w:shd w:val="clear" w:color="auto" w:fill="auto"/>
            <w:noWrap/>
            <w:vAlign w:val="center"/>
            <w:hideMark/>
          </w:tcPr>
          <w:p w14:paraId="0BDD3558"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054317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83%</w:t>
            </w:r>
          </w:p>
        </w:tc>
      </w:tr>
      <w:tr w:rsidR="004506FB" w:rsidRPr="004506FB" w14:paraId="27C15E25" w14:textId="77777777" w:rsidTr="004506F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B74D5B"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41F852E"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-0.01%</w:t>
            </w:r>
          </w:p>
        </w:tc>
        <w:tc>
          <w:tcPr>
            <w:tcW w:w="1144" w:type="dxa"/>
            <w:tcBorders>
              <w:top w:val="nil"/>
              <w:left w:val="nil"/>
              <w:bottom w:val="single" w:sz="8" w:space="0" w:color="auto"/>
              <w:right w:val="nil"/>
            </w:tcBorders>
            <w:shd w:val="clear" w:color="auto" w:fill="auto"/>
            <w:noWrap/>
            <w:vAlign w:val="center"/>
            <w:hideMark/>
          </w:tcPr>
          <w:p w14:paraId="78452FD7"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1494E4F"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0.23%</w:t>
            </w:r>
          </w:p>
        </w:tc>
        <w:tc>
          <w:tcPr>
            <w:tcW w:w="934" w:type="dxa"/>
            <w:tcBorders>
              <w:top w:val="nil"/>
              <w:left w:val="nil"/>
              <w:bottom w:val="single" w:sz="8" w:space="0" w:color="auto"/>
              <w:right w:val="nil"/>
            </w:tcBorders>
            <w:shd w:val="clear" w:color="auto" w:fill="auto"/>
            <w:noWrap/>
            <w:vAlign w:val="center"/>
            <w:hideMark/>
          </w:tcPr>
          <w:p w14:paraId="444DE246"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99%</w:t>
            </w:r>
          </w:p>
        </w:tc>
        <w:tc>
          <w:tcPr>
            <w:tcW w:w="934" w:type="dxa"/>
            <w:tcBorders>
              <w:top w:val="nil"/>
              <w:left w:val="nil"/>
              <w:bottom w:val="single" w:sz="8" w:space="0" w:color="auto"/>
              <w:right w:val="single" w:sz="8" w:space="0" w:color="auto"/>
            </w:tcBorders>
            <w:shd w:val="clear" w:color="auto" w:fill="auto"/>
            <w:noWrap/>
            <w:vAlign w:val="center"/>
            <w:hideMark/>
          </w:tcPr>
          <w:p w14:paraId="7AEE6C65" w14:textId="77777777" w:rsidR="004506FB" w:rsidRPr="004506FB" w:rsidRDefault="004506FB" w:rsidP="0045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4506FB">
              <w:rPr>
                <w:color w:val="000000"/>
                <w:szCs w:val="22"/>
              </w:rPr>
              <w:t>110%</w:t>
            </w:r>
          </w:p>
        </w:tc>
      </w:tr>
    </w:tbl>
    <w:p w14:paraId="73A5C5EF" w14:textId="39A75AD6" w:rsidR="00A02FA0" w:rsidRDefault="00A02FA0" w:rsidP="00CF4BD6">
      <w:pPr>
        <w:rPr>
          <w:lang w:val="en-CA"/>
        </w:rPr>
      </w:pPr>
    </w:p>
    <w:p w14:paraId="645484B4" w14:textId="77777777" w:rsidR="00A02FA0" w:rsidRDefault="00A02FA0" w:rsidP="00CF4BD6">
      <w:pPr>
        <w:rPr>
          <w:lang w:val="en-CA"/>
        </w:rPr>
      </w:pPr>
    </w:p>
    <w:p w14:paraId="0FC09DDB" w14:textId="77777777" w:rsidR="00AB6441" w:rsidRPr="005B217D" w:rsidRDefault="00AB6441" w:rsidP="00AB6441">
      <w:pPr>
        <w:pStyle w:val="Heading1"/>
        <w:rPr>
          <w:lang w:val="en-CA"/>
        </w:rPr>
      </w:pPr>
      <w:r>
        <w:rPr>
          <w:lang w:val="en-CA"/>
        </w:rPr>
        <w:t>Conclusion</w:t>
      </w:r>
    </w:p>
    <w:p w14:paraId="6B749932" w14:textId="28E6312F" w:rsidR="00AB6441" w:rsidRDefault="00AB6441" w:rsidP="00AB6441">
      <w:pPr>
        <w:rPr>
          <w:lang w:eastAsia="ko-KR"/>
        </w:rPr>
      </w:pPr>
      <w:r>
        <w:rPr>
          <w:lang w:eastAsia="ko-KR"/>
        </w:rPr>
        <w:t xml:space="preserve">This proposal proposes to </w:t>
      </w:r>
      <w:r w:rsidR="000169AF">
        <w:rPr>
          <w:lang w:eastAsia="ko-KR"/>
        </w:rPr>
        <w:t>unify the signalling of SCIPU mode and prediction mode</w:t>
      </w:r>
      <w:r>
        <w:rPr>
          <w:lang w:eastAsia="ko-KR"/>
        </w:rPr>
        <w:t>. It is recommended to adopt the proposed technique to be included in the next VTM.</w:t>
      </w:r>
    </w:p>
    <w:p w14:paraId="2B9D34F9" w14:textId="77777777" w:rsidR="00CF4BD6" w:rsidRPr="00CF4BD6" w:rsidRDefault="00CF4BD6" w:rsidP="00CF4BD6">
      <w:pPr>
        <w:rPr>
          <w:lang w:val="en-CA"/>
        </w:rPr>
      </w:pPr>
    </w:p>
    <w:p w14:paraId="5F0CF8E4" w14:textId="010F5FDA" w:rsidR="001F2594" w:rsidRPr="005B217D" w:rsidRDefault="001F2594" w:rsidP="00E11923">
      <w:pPr>
        <w:pStyle w:val="Heading1"/>
        <w:rPr>
          <w:lang w:val="en-CA"/>
        </w:rPr>
      </w:pPr>
      <w:r w:rsidRPr="005B217D">
        <w:rPr>
          <w:lang w:val="en-CA"/>
        </w:rPr>
        <w:t>Patent rights declaration</w:t>
      </w:r>
    </w:p>
    <w:p w14:paraId="32EAF635" w14:textId="013E9152"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21316" w14:textId="77777777" w:rsidR="00596178" w:rsidRDefault="00596178">
      <w:r>
        <w:separator/>
      </w:r>
    </w:p>
  </w:endnote>
  <w:endnote w:type="continuationSeparator" w:id="0">
    <w:p w14:paraId="37C81B2D" w14:textId="77777777" w:rsidR="00596178" w:rsidRDefault="0059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EB16B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56371">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B1833" w14:textId="77777777" w:rsidR="00596178" w:rsidRDefault="00596178">
      <w:r>
        <w:separator/>
      </w:r>
    </w:p>
  </w:footnote>
  <w:footnote w:type="continuationSeparator" w:id="0">
    <w:p w14:paraId="6D169A66" w14:textId="77777777" w:rsidR="00596178" w:rsidRDefault="005961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6B6175D"/>
    <w:multiLevelType w:val="hybridMultilevel"/>
    <w:tmpl w:val="D59697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9AF"/>
    <w:rsid w:val="0001744C"/>
    <w:rsid w:val="00017BCD"/>
    <w:rsid w:val="00025FC0"/>
    <w:rsid w:val="00026882"/>
    <w:rsid w:val="000308A3"/>
    <w:rsid w:val="0004538D"/>
    <w:rsid w:val="000458BC"/>
    <w:rsid w:val="00045943"/>
    <w:rsid w:val="00045C41"/>
    <w:rsid w:val="00046C03"/>
    <w:rsid w:val="00056371"/>
    <w:rsid w:val="00065039"/>
    <w:rsid w:val="0007614F"/>
    <w:rsid w:val="00094CD2"/>
    <w:rsid w:val="000B0C0F"/>
    <w:rsid w:val="000B1C6B"/>
    <w:rsid w:val="000B4FF9"/>
    <w:rsid w:val="000C09AC"/>
    <w:rsid w:val="000C69ED"/>
    <w:rsid w:val="000D39CB"/>
    <w:rsid w:val="000E00F3"/>
    <w:rsid w:val="000F158C"/>
    <w:rsid w:val="00102F3D"/>
    <w:rsid w:val="00120223"/>
    <w:rsid w:val="00124E38"/>
    <w:rsid w:val="0012580B"/>
    <w:rsid w:val="00131F90"/>
    <w:rsid w:val="0013458C"/>
    <w:rsid w:val="0013526E"/>
    <w:rsid w:val="00146152"/>
    <w:rsid w:val="00155526"/>
    <w:rsid w:val="00171371"/>
    <w:rsid w:val="001714EF"/>
    <w:rsid w:val="00175A24"/>
    <w:rsid w:val="00187E58"/>
    <w:rsid w:val="001A297E"/>
    <w:rsid w:val="001A368E"/>
    <w:rsid w:val="001A6F7C"/>
    <w:rsid w:val="001A7329"/>
    <w:rsid w:val="001A792F"/>
    <w:rsid w:val="001B4E28"/>
    <w:rsid w:val="001C3525"/>
    <w:rsid w:val="001C3AFB"/>
    <w:rsid w:val="001D1BD2"/>
    <w:rsid w:val="001E0248"/>
    <w:rsid w:val="001E02BE"/>
    <w:rsid w:val="001E3B37"/>
    <w:rsid w:val="001F2594"/>
    <w:rsid w:val="002055A6"/>
    <w:rsid w:val="00206409"/>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21BC"/>
    <w:rsid w:val="00306206"/>
    <w:rsid w:val="00317D85"/>
    <w:rsid w:val="003222D4"/>
    <w:rsid w:val="00327C56"/>
    <w:rsid w:val="003315A1"/>
    <w:rsid w:val="003373EC"/>
    <w:rsid w:val="00342FF4"/>
    <w:rsid w:val="00346148"/>
    <w:rsid w:val="003669EA"/>
    <w:rsid w:val="00366A6A"/>
    <w:rsid w:val="003706CC"/>
    <w:rsid w:val="0037533B"/>
    <w:rsid w:val="00377710"/>
    <w:rsid w:val="003A2D8E"/>
    <w:rsid w:val="003A7CE6"/>
    <w:rsid w:val="003B6E49"/>
    <w:rsid w:val="003C20E4"/>
    <w:rsid w:val="003D6342"/>
    <w:rsid w:val="003E6F90"/>
    <w:rsid w:val="003E73ED"/>
    <w:rsid w:val="003F5D0F"/>
    <w:rsid w:val="00414101"/>
    <w:rsid w:val="004219CF"/>
    <w:rsid w:val="004234F0"/>
    <w:rsid w:val="00433DDB"/>
    <w:rsid w:val="00435A29"/>
    <w:rsid w:val="00437619"/>
    <w:rsid w:val="004506FB"/>
    <w:rsid w:val="00455E8F"/>
    <w:rsid w:val="00465A1E"/>
    <w:rsid w:val="004A2A63"/>
    <w:rsid w:val="004B210C"/>
    <w:rsid w:val="004D31D1"/>
    <w:rsid w:val="004D405F"/>
    <w:rsid w:val="004E4F4F"/>
    <w:rsid w:val="004E6789"/>
    <w:rsid w:val="004F61E3"/>
    <w:rsid w:val="00502E10"/>
    <w:rsid w:val="0051015C"/>
    <w:rsid w:val="00516CF1"/>
    <w:rsid w:val="00531AE9"/>
    <w:rsid w:val="00550A66"/>
    <w:rsid w:val="00567EC7"/>
    <w:rsid w:val="00570013"/>
    <w:rsid w:val="0057116A"/>
    <w:rsid w:val="005801A2"/>
    <w:rsid w:val="005952A5"/>
    <w:rsid w:val="00596178"/>
    <w:rsid w:val="005A33A1"/>
    <w:rsid w:val="005B217D"/>
    <w:rsid w:val="005C385F"/>
    <w:rsid w:val="005E1AC6"/>
    <w:rsid w:val="005F6F1B"/>
    <w:rsid w:val="00615995"/>
    <w:rsid w:val="00616155"/>
    <w:rsid w:val="00624B33"/>
    <w:rsid w:val="0063041A"/>
    <w:rsid w:val="00630AA2"/>
    <w:rsid w:val="0064303A"/>
    <w:rsid w:val="00646707"/>
    <w:rsid w:val="00657F7E"/>
    <w:rsid w:val="00662E58"/>
    <w:rsid w:val="006637F2"/>
    <w:rsid w:val="006642A5"/>
    <w:rsid w:val="00664DCF"/>
    <w:rsid w:val="006668BC"/>
    <w:rsid w:val="0067328E"/>
    <w:rsid w:val="006B18CF"/>
    <w:rsid w:val="006C5D39"/>
    <w:rsid w:val="006D6D9B"/>
    <w:rsid w:val="006E2810"/>
    <w:rsid w:val="006E5417"/>
    <w:rsid w:val="006F0794"/>
    <w:rsid w:val="007023DE"/>
    <w:rsid w:val="007107D8"/>
    <w:rsid w:val="00712F60"/>
    <w:rsid w:val="00720E3B"/>
    <w:rsid w:val="0074393F"/>
    <w:rsid w:val="00745F6B"/>
    <w:rsid w:val="00755241"/>
    <w:rsid w:val="0075585E"/>
    <w:rsid w:val="00760938"/>
    <w:rsid w:val="00770571"/>
    <w:rsid w:val="007768FF"/>
    <w:rsid w:val="007824D3"/>
    <w:rsid w:val="00796EE3"/>
    <w:rsid w:val="007A7D29"/>
    <w:rsid w:val="007B4AB8"/>
    <w:rsid w:val="007D1181"/>
    <w:rsid w:val="007E01A3"/>
    <w:rsid w:val="007F1F8B"/>
    <w:rsid w:val="007F67A1"/>
    <w:rsid w:val="00800507"/>
    <w:rsid w:val="00811C05"/>
    <w:rsid w:val="008206C8"/>
    <w:rsid w:val="0086387C"/>
    <w:rsid w:val="00864D73"/>
    <w:rsid w:val="00874A6C"/>
    <w:rsid w:val="00876C65"/>
    <w:rsid w:val="008A4B4C"/>
    <w:rsid w:val="008B0A2A"/>
    <w:rsid w:val="008C239F"/>
    <w:rsid w:val="008E39D0"/>
    <w:rsid w:val="008E480C"/>
    <w:rsid w:val="00907757"/>
    <w:rsid w:val="009212B0"/>
    <w:rsid w:val="00921FA1"/>
    <w:rsid w:val="009234A5"/>
    <w:rsid w:val="00933453"/>
    <w:rsid w:val="009336F7"/>
    <w:rsid w:val="0093636C"/>
    <w:rsid w:val="009374A7"/>
    <w:rsid w:val="00955F6D"/>
    <w:rsid w:val="00963017"/>
    <w:rsid w:val="00974FB0"/>
    <w:rsid w:val="00977C16"/>
    <w:rsid w:val="0098551D"/>
    <w:rsid w:val="0099518F"/>
    <w:rsid w:val="009A523D"/>
    <w:rsid w:val="009A7D2F"/>
    <w:rsid w:val="009B02A1"/>
    <w:rsid w:val="009D7CE6"/>
    <w:rsid w:val="009F496B"/>
    <w:rsid w:val="00A01439"/>
    <w:rsid w:val="00A02E61"/>
    <w:rsid w:val="00A02FA0"/>
    <w:rsid w:val="00A05CFF"/>
    <w:rsid w:val="00A13048"/>
    <w:rsid w:val="00A45016"/>
    <w:rsid w:val="00A46843"/>
    <w:rsid w:val="00A53E25"/>
    <w:rsid w:val="00A56B97"/>
    <w:rsid w:val="00A6093D"/>
    <w:rsid w:val="00A623B0"/>
    <w:rsid w:val="00A767DC"/>
    <w:rsid w:val="00A76A6D"/>
    <w:rsid w:val="00A83253"/>
    <w:rsid w:val="00A91AD8"/>
    <w:rsid w:val="00AA08FF"/>
    <w:rsid w:val="00AA6E84"/>
    <w:rsid w:val="00AB1A1C"/>
    <w:rsid w:val="00AB6441"/>
    <w:rsid w:val="00AB6C00"/>
    <w:rsid w:val="00AD05A8"/>
    <w:rsid w:val="00AE341B"/>
    <w:rsid w:val="00AE4046"/>
    <w:rsid w:val="00B01905"/>
    <w:rsid w:val="00B07CA7"/>
    <w:rsid w:val="00B1279A"/>
    <w:rsid w:val="00B21D7E"/>
    <w:rsid w:val="00B4194A"/>
    <w:rsid w:val="00B437E8"/>
    <w:rsid w:val="00B5222E"/>
    <w:rsid w:val="00B53179"/>
    <w:rsid w:val="00B57A23"/>
    <w:rsid w:val="00B600CD"/>
    <w:rsid w:val="00B61C96"/>
    <w:rsid w:val="00B73A2A"/>
    <w:rsid w:val="00B75A51"/>
    <w:rsid w:val="00B827C6"/>
    <w:rsid w:val="00B94B06"/>
    <w:rsid w:val="00B94C28"/>
    <w:rsid w:val="00BA7E36"/>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4BD6"/>
    <w:rsid w:val="00CF558F"/>
    <w:rsid w:val="00D010C0"/>
    <w:rsid w:val="00D073E2"/>
    <w:rsid w:val="00D4179F"/>
    <w:rsid w:val="00D446EC"/>
    <w:rsid w:val="00D51BF0"/>
    <w:rsid w:val="00D531DB"/>
    <w:rsid w:val="00D55942"/>
    <w:rsid w:val="00D807BF"/>
    <w:rsid w:val="00D82FCC"/>
    <w:rsid w:val="00D83E13"/>
    <w:rsid w:val="00DA17FC"/>
    <w:rsid w:val="00DA2AE7"/>
    <w:rsid w:val="00DA7887"/>
    <w:rsid w:val="00DB1F06"/>
    <w:rsid w:val="00DB2C26"/>
    <w:rsid w:val="00DD02F4"/>
    <w:rsid w:val="00DD6622"/>
    <w:rsid w:val="00DE1C7C"/>
    <w:rsid w:val="00DE6B43"/>
    <w:rsid w:val="00E11923"/>
    <w:rsid w:val="00E262D4"/>
    <w:rsid w:val="00E36250"/>
    <w:rsid w:val="00E40D3D"/>
    <w:rsid w:val="00E47F2D"/>
    <w:rsid w:val="00E54511"/>
    <w:rsid w:val="00E61686"/>
    <w:rsid w:val="00E61DAC"/>
    <w:rsid w:val="00E72B80"/>
    <w:rsid w:val="00E75FE3"/>
    <w:rsid w:val="00E83561"/>
    <w:rsid w:val="00E86C4C"/>
    <w:rsid w:val="00E907A3"/>
    <w:rsid w:val="00EA5AE0"/>
    <w:rsid w:val="00EB56E1"/>
    <w:rsid w:val="00EB7AB1"/>
    <w:rsid w:val="00ED42E4"/>
    <w:rsid w:val="00EE7CD8"/>
    <w:rsid w:val="00EF48CC"/>
    <w:rsid w:val="00F00801"/>
    <w:rsid w:val="00F2488D"/>
    <w:rsid w:val="00F601A0"/>
    <w:rsid w:val="00F712E9"/>
    <w:rsid w:val="00F73032"/>
    <w:rsid w:val="00F7482B"/>
    <w:rsid w:val="00F848FC"/>
    <w:rsid w:val="00F84988"/>
    <w:rsid w:val="00F906F6"/>
    <w:rsid w:val="00F9282A"/>
    <w:rsid w:val="00F96BAD"/>
    <w:rsid w:val="00FA139D"/>
    <w:rsid w:val="00FB0E84"/>
    <w:rsid w:val="00FC2405"/>
    <w:rsid w:val="00FD01C2"/>
    <w:rsid w:val="00FD3F69"/>
    <w:rsid w:val="00FE595C"/>
    <w:rsid w:val="00FF0CE3"/>
    <w:rsid w:val="00FF2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table" w:styleId="TableGrid">
    <w:name w:val="Table Grid"/>
    <w:basedOn w:val="TableNormal"/>
    <w:rsid w:val="00760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B6E49"/>
    <w:rPr>
      <w:b/>
      <w:bCs/>
      <w:sz w:val="20"/>
    </w:rPr>
  </w:style>
  <w:style w:type="character" w:styleId="CommentReference">
    <w:name w:val="annotation reference"/>
    <w:basedOn w:val="DefaultParagraphFont"/>
    <w:rsid w:val="00ED42E4"/>
    <w:rPr>
      <w:sz w:val="16"/>
      <w:szCs w:val="16"/>
    </w:rPr>
  </w:style>
  <w:style w:type="paragraph" w:styleId="CommentText">
    <w:name w:val="annotation text"/>
    <w:basedOn w:val="Normal"/>
    <w:link w:val="CommentTextChar"/>
    <w:rsid w:val="00ED42E4"/>
    <w:rPr>
      <w:sz w:val="20"/>
    </w:rPr>
  </w:style>
  <w:style w:type="character" w:customStyle="1" w:styleId="CommentTextChar">
    <w:name w:val="Comment Text Char"/>
    <w:basedOn w:val="DefaultParagraphFont"/>
    <w:link w:val="CommentText"/>
    <w:rsid w:val="00ED42E4"/>
  </w:style>
  <w:style w:type="paragraph" w:styleId="CommentSubject">
    <w:name w:val="annotation subject"/>
    <w:basedOn w:val="CommentText"/>
    <w:next w:val="CommentText"/>
    <w:link w:val="CommentSubjectChar"/>
    <w:rsid w:val="00ED42E4"/>
    <w:rPr>
      <w:b/>
      <w:bCs/>
    </w:rPr>
  </w:style>
  <w:style w:type="character" w:customStyle="1" w:styleId="CommentSubjectChar">
    <w:name w:val="Comment Subject Char"/>
    <w:basedOn w:val="CommentTextChar"/>
    <w:link w:val="CommentSubject"/>
    <w:rsid w:val="00ED42E4"/>
    <w:rPr>
      <w:b/>
      <w:bCs/>
    </w:rPr>
  </w:style>
  <w:style w:type="paragraph" w:styleId="ListParagraph">
    <w:name w:val="List Paragraph"/>
    <w:basedOn w:val="Normal"/>
    <w:uiPriority w:val="34"/>
    <w:qFormat/>
    <w:rsid w:val="00ED4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9137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1737C-6493-4E7F-9513-A7576852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724</Words>
  <Characters>4132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14</cp:revision>
  <cp:lastPrinted>1900-01-01T08:00:00Z</cp:lastPrinted>
  <dcterms:created xsi:type="dcterms:W3CDTF">2019-09-23T21:59:00Z</dcterms:created>
  <dcterms:modified xsi:type="dcterms:W3CDTF">2019-09-25T05:11:00Z</dcterms:modified>
</cp:coreProperties>
</file>