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84EFC7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51927">
              <w:rPr>
                <w:lang w:val="en-CA"/>
              </w:rPr>
              <w:t>N0806</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4D29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544C4B0C" w:rsidR="00E61DAC" w:rsidRPr="005B217D" w:rsidRDefault="00AA1554" w:rsidP="00C50843">
            <w:pPr>
              <w:spacing w:before="60" w:after="60"/>
              <w:rPr>
                <w:b/>
                <w:szCs w:val="22"/>
                <w:lang w:val="en-CA"/>
              </w:rPr>
            </w:pPr>
            <w:r>
              <w:rPr>
                <w:b/>
                <w:szCs w:val="22"/>
                <w:lang w:val="en-CA"/>
              </w:rPr>
              <w:t>Suggested luma mapping with chroma scaling modifications in N0</w:t>
            </w:r>
            <w:r w:rsidR="00C50843">
              <w:rPr>
                <w:b/>
                <w:szCs w:val="22"/>
                <w:lang w:val="en-CA"/>
              </w:rPr>
              <w:t>220/</w:t>
            </w:r>
            <w:r>
              <w:rPr>
                <w:b/>
                <w:szCs w:val="22"/>
                <w:lang w:val="en-CA"/>
              </w:rPr>
              <w:t>N0389</w:t>
            </w:r>
            <w:r w:rsidR="00C50843">
              <w:rPr>
                <w:b/>
                <w:szCs w:val="22"/>
                <w:lang w:val="en-CA"/>
              </w:rPr>
              <w:t>/</w:t>
            </w:r>
            <w:r>
              <w:rPr>
                <w:b/>
                <w:szCs w:val="22"/>
                <w:lang w:val="en-CA"/>
              </w:rPr>
              <w:t xml:space="preserve">N0477 </w:t>
            </w:r>
          </w:p>
        </w:tc>
      </w:tr>
      <w:tr w:rsidR="00E61DAC" w:rsidRPr="005B217D" w14:paraId="3D8B01B2" w14:textId="77777777" w:rsidTr="004D29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D29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D293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8707F5" w14:textId="2119F171" w:rsidR="00E61DAC" w:rsidRDefault="004D293A">
            <w:pPr>
              <w:spacing w:before="60" w:after="60"/>
              <w:rPr>
                <w:szCs w:val="22"/>
                <w:lang w:val="en-CA"/>
              </w:rPr>
            </w:pPr>
            <w:r>
              <w:rPr>
                <w:szCs w:val="22"/>
                <w:lang w:val="en-CA"/>
              </w:rPr>
              <w:t>Edouard François</w:t>
            </w:r>
            <w:r w:rsidR="009A0BE9">
              <w:rPr>
                <w:szCs w:val="22"/>
                <w:lang w:val="en-CA"/>
              </w:rPr>
              <w:t>,</w:t>
            </w:r>
            <w:r w:rsidR="00C50843">
              <w:rPr>
                <w:szCs w:val="22"/>
                <w:lang w:val="en-CA"/>
              </w:rPr>
              <w:t xml:space="preserve"> </w:t>
            </w:r>
            <w:r w:rsidR="009A0BE9">
              <w:rPr>
                <w:szCs w:val="22"/>
                <w:lang w:val="en-CA"/>
              </w:rPr>
              <w:t>Christophe Chevance</w:t>
            </w:r>
            <w:r w:rsidR="009E59F3">
              <w:rPr>
                <w:szCs w:val="22"/>
                <w:lang w:val="en-CA"/>
              </w:rPr>
              <w:t xml:space="preserve"> (Technicolor)</w:t>
            </w:r>
          </w:p>
          <w:p w14:paraId="26921661" w14:textId="6F0B03A5" w:rsidR="009E59F3" w:rsidRDefault="009E59F3">
            <w:pPr>
              <w:spacing w:before="60" w:after="60"/>
              <w:rPr>
                <w:szCs w:val="22"/>
                <w:lang w:val="en-CA"/>
              </w:rPr>
            </w:pPr>
            <w:r>
              <w:rPr>
                <w:szCs w:val="22"/>
                <w:lang w:val="en-CA"/>
              </w:rPr>
              <w:t>Yan Ye</w:t>
            </w:r>
            <w:r w:rsidR="002B257D">
              <w:rPr>
                <w:szCs w:val="22"/>
                <w:lang w:val="en-CA"/>
              </w:rPr>
              <w:t xml:space="preserve">, </w:t>
            </w:r>
            <w:proofErr w:type="spellStart"/>
            <w:r w:rsidR="002B257D">
              <w:rPr>
                <w:szCs w:val="22"/>
                <w:lang w:val="en-CA"/>
              </w:rPr>
              <w:t>Jie</w:t>
            </w:r>
            <w:proofErr w:type="spellEnd"/>
            <w:r w:rsidR="002B257D">
              <w:rPr>
                <w:szCs w:val="22"/>
                <w:lang w:val="en-CA"/>
              </w:rPr>
              <w:t xml:space="preserve"> Chen, Ruling Liao</w:t>
            </w:r>
            <w:r>
              <w:rPr>
                <w:szCs w:val="22"/>
                <w:lang w:val="en-CA"/>
              </w:rPr>
              <w:t xml:space="preserve"> (Alibaba)</w:t>
            </w:r>
          </w:p>
          <w:p w14:paraId="49D81240" w14:textId="25976257" w:rsidR="002B257D" w:rsidRPr="005B217D" w:rsidRDefault="002B257D" w:rsidP="00C50843">
            <w:pPr>
              <w:spacing w:before="60" w:after="60"/>
              <w:rPr>
                <w:szCs w:val="22"/>
                <w:lang w:val="en-CA"/>
              </w:rPr>
            </w:pPr>
            <w:proofErr w:type="spellStart"/>
            <w:r w:rsidRPr="002B257D">
              <w:rPr>
                <w:szCs w:val="22"/>
                <w:lang w:val="en-CA"/>
              </w:rPr>
              <w:t>T</w:t>
            </w:r>
            <w:r w:rsidR="00C50843">
              <w:rPr>
                <w:szCs w:val="22"/>
                <w:lang w:val="en-CA"/>
              </w:rPr>
              <w:t>aoran</w:t>
            </w:r>
            <w:proofErr w:type="spellEnd"/>
            <w:r w:rsidRPr="002B257D">
              <w:rPr>
                <w:szCs w:val="22"/>
                <w:lang w:val="en-CA"/>
              </w:rPr>
              <w:t xml:space="preserve"> Lu, F</w:t>
            </w:r>
            <w:r w:rsidR="00C50843">
              <w:rPr>
                <w:szCs w:val="22"/>
                <w:lang w:val="en-CA"/>
              </w:rPr>
              <w:t>angjun Pu, Peng Yin, Sean McCarthy, Walt Husak, Tao</w:t>
            </w:r>
            <w:r w:rsidRPr="002B257D">
              <w:rPr>
                <w:szCs w:val="22"/>
                <w:lang w:val="en-CA"/>
              </w:rPr>
              <w:t xml:space="preserve"> Chen</w:t>
            </w:r>
            <w:r w:rsidR="007B4670">
              <w:rPr>
                <w:szCs w:val="22"/>
                <w:lang w:val="en-CA"/>
              </w:rPr>
              <w:t xml:space="preserve"> </w:t>
            </w:r>
            <w:r w:rsidRPr="002B257D">
              <w:rPr>
                <w:szCs w:val="22"/>
                <w:lang w:val="en-CA"/>
              </w:rPr>
              <w:t>(Dolby</w:t>
            </w:r>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38E094F5" w:rsidR="002B257D" w:rsidRPr="005B217D" w:rsidRDefault="00E61DAC" w:rsidP="00E24891">
            <w:pPr>
              <w:spacing w:before="60" w:after="60"/>
              <w:rPr>
                <w:szCs w:val="22"/>
                <w:lang w:val="en-CA"/>
              </w:rPr>
            </w:pPr>
            <w:r w:rsidRPr="005B217D">
              <w:rPr>
                <w:szCs w:val="22"/>
                <w:lang w:val="en-CA"/>
              </w:rPr>
              <w:br/>
            </w:r>
            <w:hyperlink r:id="rId10" w:history="1">
              <w:r w:rsidR="002B257D" w:rsidRPr="00226473">
                <w:rPr>
                  <w:rStyle w:val="Hyperlink"/>
                  <w:szCs w:val="22"/>
                  <w:lang w:val="en-CA"/>
                </w:rPr>
                <w:t>edouard.francois@technicolor.comyan.ye@alibaba-inc.com</w:t>
              </w:r>
            </w:hyperlink>
            <w:r w:rsidR="00E24891">
              <w:rPr>
                <w:rStyle w:val="Hyperlink"/>
                <w:szCs w:val="22"/>
                <w:lang w:val="en-CA"/>
              </w:rPr>
              <w:br/>
            </w:r>
            <w:r w:rsidR="002B257D">
              <w:rPr>
                <w:rStyle w:val="Hyperlink"/>
              </w:rPr>
              <w:t>pyin@dolby.com</w:t>
            </w:r>
          </w:p>
        </w:tc>
      </w:tr>
      <w:tr w:rsidR="00E61DAC" w:rsidRPr="005B217D" w14:paraId="49AFAA61" w14:textId="77777777" w:rsidTr="004D293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4B874520" w:rsidR="00E61DAC" w:rsidRPr="005B217D" w:rsidRDefault="004D293A">
            <w:pPr>
              <w:spacing w:before="60" w:after="60"/>
              <w:rPr>
                <w:szCs w:val="22"/>
                <w:lang w:val="en-CA"/>
              </w:rPr>
            </w:pPr>
            <w:r>
              <w:rPr>
                <w:szCs w:val="22"/>
                <w:lang w:val="en-CA"/>
              </w:rPr>
              <w:t>Technicolor</w:t>
            </w:r>
            <w:r w:rsidR="009E59F3">
              <w:rPr>
                <w:szCs w:val="22"/>
                <w:lang w:val="en-CA"/>
              </w:rPr>
              <w:t>, Alibaba</w:t>
            </w:r>
            <w:r w:rsidR="002B257D">
              <w:rPr>
                <w:szCs w:val="22"/>
                <w:lang w:val="en-CA"/>
              </w:rPr>
              <w:t xml:space="preserve"> Group, 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9004B4" w14:textId="33912BED" w:rsidR="002B257D" w:rsidRDefault="004A36EA" w:rsidP="005D1513">
      <w:pPr>
        <w:rPr>
          <w:lang w:val="en-CA"/>
        </w:rPr>
      </w:pPr>
      <w:r>
        <w:rPr>
          <w:lang w:val="en-CA"/>
        </w:rPr>
        <w:t>This contribution uses JVET-N0220 as the bas</w:t>
      </w:r>
      <w:r w:rsidR="00150659">
        <w:rPr>
          <w:lang w:val="en-CA"/>
        </w:rPr>
        <w:t>e package</w:t>
      </w:r>
      <w:r>
        <w:rPr>
          <w:lang w:val="en-CA"/>
        </w:rPr>
        <w:t xml:space="preserve"> and combines the </w:t>
      </w:r>
      <w:r w:rsidR="002B257D">
        <w:rPr>
          <w:lang w:val="en-CA"/>
        </w:rPr>
        <w:t>following</w:t>
      </w:r>
      <w:r>
        <w:rPr>
          <w:lang w:val="en-CA"/>
        </w:rPr>
        <w:t xml:space="preserve"> chroma residual scaling related</w:t>
      </w:r>
      <w:r w:rsidR="002B257D">
        <w:rPr>
          <w:lang w:val="en-CA"/>
        </w:rPr>
        <w:t xml:space="preserve"> aspects from</w:t>
      </w:r>
      <w:r w:rsidR="005D1513">
        <w:rPr>
          <w:lang w:val="en-CA"/>
        </w:rPr>
        <w:t xml:space="preserve"> JVET-N0389 and </w:t>
      </w:r>
      <w:r>
        <w:rPr>
          <w:lang w:val="en-CA"/>
        </w:rPr>
        <w:t xml:space="preserve">JVET-N0477: </w:t>
      </w:r>
    </w:p>
    <w:p w14:paraId="78A846CF" w14:textId="276181ED" w:rsidR="004A36EA" w:rsidRDefault="003E3914" w:rsidP="003E3914">
      <w:pPr>
        <w:pStyle w:val="ListParagraph"/>
        <w:numPr>
          <w:ilvl w:val="0"/>
          <w:numId w:val="12"/>
        </w:numPr>
        <w:contextualSpacing w:val="0"/>
        <w:rPr>
          <w:lang w:val="en-CA"/>
        </w:rPr>
      </w:pPr>
      <w:r>
        <w:rPr>
          <w:lang w:val="en-CA"/>
        </w:rPr>
        <w:t xml:space="preserve">From </w:t>
      </w:r>
      <w:r w:rsidR="004A36EA">
        <w:rPr>
          <w:lang w:val="en-CA"/>
        </w:rPr>
        <w:t xml:space="preserve">JVET-N0389: </w:t>
      </w:r>
      <w:r>
        <w:rPr>
          <w:lang w:val="en-CA"/>
        </w:rPr>
        <w:t>w</w:t>
      </w:r>
      <w:r w:rsidR="004A36EA">
        <w:rPr>
          <w:lang w:val="en-CA"/>
        </w:rPr>
        <w:t xml:space="preserve">hen </w:t>
      </w:r>
      <w:r>
        <w:rPr>
          <w:lang w:val="en-CA"/>
        </w:rPr>
        <w:t xml:space="preserve">dual tree </w:t>
      </w:r>
      <w:r w:rsidR="004A36EA">
        <w:rPr>
          <w:lang w:val="en-CA"/>
        </w:rPr>
        <w:t>partitioning is on, the scaling factor is derived using the</w:t>
      </w:r>
      <w:r w:rsidR="004A36EA" w:rsidRPr="004B28DA">
        <w:rPr>
          <w:lang w:val="en-CA"/>
        </w:rPr>
        <w:t xml:space="preserve"> </w:t>
      </w:r>
      <w:r w:rsidR="007E0BFE">
        <w:rPr>
          <w:lang w:val="en-CA"/>
        </w:rPr>
        <w:t xml:space="preserve">top-left </w:t>
      </w:r>
      <w:r w:rsidR="004A36EA" w:rsidRPr="0010639C">
        <w:rPr>
          <w:lang w:val="en-CA"/>
        </w:rPr>
        <w:t>reconstruction sample</w:t>
      </w:r>
      <w:r w:rsidR="004A36EA" w:rsidRPr="004B28DA">
        <w:rPr>
          <w:lang w:val="en-CA"/>
        </w:rPr>
        <w:t xml:space="preserve"> </w:t>
      </w:r>
      <w:r w:rsidR="004A36EA">
        <w:rPr>
          <w:lang w:val="en-CA"/>
        </w:rPr>
        <w:t xml:space="preserve">neighboring the luma block </w:t>
      </w:r>
      <w:r w:rsidR="00A66EF7">
        <w:rPr>
          <w:lang w:val="en-CA"/>
        </w:rPr>
        <w:t xml:space="preserve">containing the luma sample </w:t>
      </w:r>
      <w:r w:rsidR="004A36EA">
        <w:rPr>
          <w:lang w:val="en-CA"/>
        </w:rPr>
        <w:t>collocated with t</w:t>
      </w:r>
      <w:r>
        <w:rPr>
          <w:lang w:val="en-CA"/>
        </w:rPr>
        <w:t xml:space="preserve">he top-left </w:t>
      </w:r>
      <w:r w:rsidR="00A66EF7">
        <w:rPr>
          <w:lang w:val="en-CA"/>
        </w:rPr>
        <w:t xml:space="preserve">sample of the </w:t>
      </w:r>
      <w:r>
        <w:rPr>
          <w:lang w:val="en-CA"/>
        </w:rPr>
        <w:t xml:space="preserve">chroma block; </w:t>
      </w:r>
    </w:p>
    <w:p w14:paraId="5B54BADB" w14:textId="35B7D974" w:rsidR="003E3914" w:rsidRPr="003E3914" w:rsidRDefault="003E3914" w:rsidP="003E3914">
      <w:pPr>
        <w:pStyle w:val="ListParagraph"/>
        <w:numPr>
          <w:ilvl w:val="0"/>
          <w:numId w:val="12"/>
        </w:numPr>
        <w:contextualSpacing w:val="0"/>
        <w:rPr>
          <w:lang w:val="en-CA"/>
        </w:rPr>
      </w:pPr>
      <w:r>
        <w:rPr>
          <w:lang w:val="en-CA"/>
        </w:rPr>
        <w:t xml:space="preserve">From JVET-0477: 1) when single tree partitioning is </w:t>
      </w:r>
      <w:r w:rsidR="009C4557">
        <w:rPr>
          <w:lang w:val="en-CA"/>
        </w:rPr>
        <w:t>on</w:t>
      </w:r>
      <w:r>
        <w:rPr>
          <w:lang w:val="en-CA"/>
        </w:rPr>
        <w:t xml:space="preserve">, and when the block is intra coded, the scaling factor is derived using the top-left reference sample used in intra prediction; 2) chroma scaling factor derivation is conditioned upon chroma </w:t>
      </w:r>
      <w:proofErr w:type="spellStart"/>
      <w:r>
        <w:rPr>
          <w:lang w:val="en-CA"/>
        </w:rPr>
        <w:t>cbf’s</w:t>
      </w:r>
      <w:proofErr w:type="spellEnd"/>
      <w:r>
        <w:rPr>
          <w:lang w:val="en-CA"/>
        </w:rPr>
        <w:t xml:space="preserve">. </w:t>
      </w:r>
    </w:p>
    <w:p w14:paraId="65370AC4" w14:textId="79FCF856" w:rsidR="003E3914" w:rsidRDefault="003E3914" w:rsidP="005D1513">
      <w:pPr>
        <w:rPr>
          <w:lang w:val="en-CA"/>
        </w:rPr>
      </w:pPr>
      <w:r>
        <w:rPr>
          <w:lang w:val="en-CA"/>
        </w:rPr>
        <w:t xml:space="preserve">Further, it is proposed to disable chroma residual scaling </w:t>
      </w:r>
      <w:r w:rsidR="00D4099C">
        <w:rPr>
          <w:lang w:val="en-CA"/>
        </w:rPr>
        <w:t>if</w:t>
      </w:r>
      <w:r>
        <w:rPr>
          <w:lang w:val="en-CA"/>
        </w:rPr>
        <w:t xml:space="preserve"> the chroma block contains less than</w:t>
      </w:r>
      <w:r w:rsidR="00D4099C">
        <w:rPr>
          <w:lang w:val="en-CA"/>
        </w:rPr>
        <w:t xml:space="preserve"> or equal to</w:t>
      </w:r>
      <w:bookmarkStart w:id="0" w:name="_GoBack"/>
      <w:r>
        <w:rPr>
          <w:lang w:val="en-CA"/>
        </w:rPr>
        <w:t xml:space="preserve"> 8</w:t>
      </w:r>
      <w:bookmarkEnd w:id="0"/>
      <w:r>
        <w:rPr>
          <w:lang w:val="en-CA"/>
        </w:rPr>
        <w:t xml:space="preserve"> samples. </w:t>
      </w:r>
    </w:p>
    <w:p w14:paraId="62FD7531" w14:textId="02104775" w:rsidR="005D1513" w:rsidRDefault="00A66EF7" w:rsidP="00A66EF7">
      <w:pPr>
        <w:rPr>
          <w:lang w:val="en-CA"/>
        </w:rPr>
      </w:pPr>
      <w:r>
        <w:rPr>
          <w:lang w:val="en-CA"/>
        </w:rPr>
        <w:t>For SDR content, reported {</w:t>
      </w:r>
      <w:r w:rsidR="005D1513">
        <w:rPr>
          <w:lang w:val="en-CA"/>
        </w:rPr>
        <w:t>Y, U</w:t>
      </w:r>
      <w:r>
        <w:rPr>
          <w:lang w:val="en-CA"/>
        </w:rPr>
        <w:t xml:space="preserve">, </w:t>
      </w:r>
      <w:r w:rsidR="005D1513">
        <w:rPr>
          <w:lang w:val="en-CA"/>
        </w:rPr>
        <w:t>V</w:t>
      </w:r>
      <w:r>
        <w:rPr>
          <w:lang w:val="en-CA"/>
        </w:rPr>
        <w:t>}</w:t>
      </w:r>
      <w:r w:rsidR="005D1513">
        <w:rPr>
          <w:lang w:val="en-CA"/>
        </w:rPr>
        <w:t xml:space="preserve"> BD-rate variations are </w:t>
      </w:r>
      <w:r>
        <w:rPr>
          <w:lang w:val="en-CA"/>
        </w:rPr>
        <w:t>{</w:t>
      </w:r>
      <w:r w:rsidR="00281156" w:rsidRPr="00281156">
        <w:rPr>
          <w:lang w:val="en-CA"/>
        </w:rPr>
        <w:t>0.03%</w:t>
      </w:r>
      <w:r w:rsidR="00281156">
        <w:rPr>
          <w:lang w:val="en-CA"/>
        </w:rPr>
        <w:t xml:space="preserve">, </w:t>
      </w:r>
      <w:r w:rsidR="00281156" w:rsidRPr="00281156">
        <w:rPr>
          <w:lang w:val="en-CA"/>
        </w:rPr>
        <w:t>-0.61%</w:t>
      </w:r>
      <w:r w:rsidR="00281156">
        <w:rPr>
          <w:lang w:val="en-CA"/>
        </w:rPr>
        <w:t xml:space="preserve">, </w:t>
      </w:r>
      <w:r w:rsidR="00281156" w:rsidRPr="00281156">
        <w:rPr>
          <w:lang w:val="en-CA"/>
        </w:rPr>
        <w:t>-0.56%</w:t>
      </w:r>
      <w:r w:rsidRPr="0010639C">
        <w:rPr>
          <w:lang w:val="en-CA"/>
        </w:rPr>
        <w:t>} in RA</w:t>
      </w:r>
      <w:r w:rsidR="005D1513" w:rsidRPr="0010639C">
        <w:rPr>
          <w:lang w:val="en-CA"/>
        </w:rPr>
        <w:t>.</w:t>
      </w:r>
      <w:r w:rsidR="005D1513" w:rsidRPr="005402DF">
        <w:rPr>
          <w:lang w:val="en-CA"/>
        </w:rPr>
        <w:t xml:space="preserve"> </w:t>
      </w:r>
      <w:r w:rsidR="005D1513">
        <w:rPr>
          <w:lang w:val="en-CA"/>
        </w:rPr>
        <w:t>For HDR content, reported BD-rate variations</w:t>
      </w:r>
      <w:r w:rsidR="00EC355A" w:rsidRPr="00EC355A">
        <w:rPr>
          <w:lang w:val="en-CA"/>
        </w:rPr>
        <w:t xml:space="preserve"> </w:t>
      </w:r>
      <w:r w:rsidR="00EC355A">
        <w:rPr>
          <w:lang w:val="en-CA"/>
        </w:rPr>
        <w:t>are {</w:t>
      </w:r>
      <w:r w:rsidR="00281156" w:rsidRPr="00281156">
        <w:rPr>
          <w:lang w:val="en-CA"/>
        </w:rPr>
        <w:t>0.40%</w:t>
      </w:r>
      <w:r w:rsidR="00281156">
        <w:rPr>
          <w:lang w:val="en-CA"/>
        </w:rPr>
        <w:t xml:space="preserve">, </w:t>
      </w:r>
      <w:r w:rsidR="00281156" w:rsidRPr="00281156">
        <w:rPr>
          <w:lang w:val="en-CA"/>
        </w:rPr>
        <w:t>-6.81%</w:t>
      </w:r>
      <w:r w:rsidR="00281156">
        <w:rPr>
          <w:lang w:val="en-CA"/>
        </w:rPr>
        <w:t xml:space="preserve">, </w:t>
      </w:r>
      <w:r w:rsidR="00281156" w:rsidRPr="00281156">
        <w:rPr>
          <w:lang w:val="en-CA"/>
        </w:rPr>
        <w:t>-6.71%</w:t>
      </w:r>
      <w:r w:rsidR="00EC355A" w:rsidRPr="0010639C">
        <w:rPr>
          <w:lang w:val="en-CA"/>
        </w:rPr>
        <w:t>} in RA</w:t>
      </w:r>
      <w:r w:rsidR="00EC355A">
        <w:rPr>
          <w:lang w:val="en-CA"/>
        </w:rPr>
        <w:t>,</w:t>
      </w:r>
      <w:r w:rsidR="005D1513">
        <w:rPr>
          <w:lang w:val="en-CA"/>
        </w:rPr>
        <w:t xml:space="preserve"> </w:t>
      </w:r>
      <w:r>
        <w:rPr>
          <w:lang w:val="en-CA"/>
        </w:rPr>
        <w:t xml:space="preserve">in terms of </w:t>
      </w:r>
      <w:proofErr w:type="spellStart"/>
      <w:r>
        <w:rPr>
          <w:lang w:val="en-CA"/>
        </w:rPr>
        <w:t>wPSNR</w:t>
      </w:r>
      <w:proofErr w:type="spellEnd"/>
      <w:r>
        <w:rPr>
          <w:lang w:val="en-CA"/>
        </w:rPr>
        <w:t xml:space="preserve">. </w:t>
      </w:r>
    </w:p>
    <w:p w14:paraId="7D2AC1F0" w14:textId="475BBB42" w:rsidR="00745F6B" w:rsidRPr="005B217D" w:rsidRDefault="00745F6B" w:rsidP="00E11923">
      <w:pPr>
        <w:pStyle w:val="Heading1"/>
        <w:rPr>
          <w:lang w:val="en-CA"/>
        </w:rPr>
      </w:pPr>
      <w:r w:rsidRPr="005B217D">
        <w:rPr>
          <w:lang w:val="en-CA"/>
        </w:rPr>
        <w:t>Introduction</w:t>
      </w:r>
    </w:p>
    <w:p w14:paraId="160284BB" w14:textId="691DF4BB" w:rsidR="003E3914" w:rsidRDefault="004A36EA" w:rsidP="00254EF0">
      <w:pPr>
        <w:rPr>
          <w:lang w:val="en-CA"/>
        </w:rPr>
      </w:pPr>
      <w:r>
        <w:rPr>
          <w:lang w:val="en-CA"/>
        </w:rPr>
        <w:t>JVET-N0220, JVET-N0389 and JVET-N0427 all propose changes to</w:t>
      </w:r>
      <w:r w:rsidR="003E3914">
        <w:rPr>
          <w:lang w:val="en-CA"/>
        </w:rPr>
        <w:t xml:space="preserve"> the</w:t>
      </w:r>
      <w:r>
        <w:rPr>
          <w:lang w:val="en-CA"/>
        </w:rPr>
        <w:t xml:space="preserve"> </w:t>
      </w:r>
      <w:r w:rsidR="007E0BFE">
        <w:rPr>
          <w:lang w:val="en-CA"/>
        </w:rPr>
        <w:t>luma mapping with chroma scaling (</w:t>
      </w:r>
      <w:r>
        <w:rPr>
          <w:lang w:val="en-CA"/>
        </w:rPr>
        <w:t>LMCS</w:t>
      </w:r>
      <w:r w:rsidR="009C4557">
        <w:rPr>
          <w:lang w:val="en-CA"/>
        </w:rPr>
        <w:t>)</w:t>
      </w:r>
      <w:r>
        <w:rPr>
          <w:lang w:val="en-CA"/>
        </w:rPr>
        <w:t xml:space="preserve"> tool. </w:t>
      </w:r>
      <w:r w:rsidR="003E3914">
        <w:rPr>
          <w:lang w:val="en-CA"/>
        </w:rPr>
        <w:t xml:space="preserve">This contribution is a combination of these three proposals. In this combined proposal, </w:t>
      </w:r>
      <w:r>
        <w:rPr>
          <w:lang w:val="en-CA"/>
        </w:rPr>
        <w:t xml:space="preserve">JVET-N0220 </w:t>
      </w:r>
      <w:r w:rsidR="003E3914">
        <w:rPr>
          <w:lang w:val="en-CA"/>
        </w:rPr>
        <w:t>is used as</w:t>
      </w:r>
      <w:r w:rsidR="005905E3">
        <w:rPr>
          <w:lang w:val="en-CA"/>
        </w:rPr>
        <w:t xml:space="preserve"> the basis package, and some elements from JVET-N0389 and JVET-N0427 are incorporated. </w:t>
      </w:r>
    </w:p>
    <w:p w14:paraId="34ABA200" w14:textId="1B34C47D" w:rsidR="004A36EA" w:rsidRPr="00A21CF4" w:rsidRDefault="003E3914" w:rsidP="00254EF0">
      <w:pPr>
        <w:rPr>
          <w:lang w:val="en-CA"/>
        </w:rPr>
      </w:pPr>
      <w:r>
        <w:rPr>
          <w:lang w:val="en-CA"/>
        </w:rPr>
        <w:t>JVET-</w:t>
      </w:r>
      <w:r w:rsidRPr="00A21CF4">
        <w:rPr>
          <w:lang w:val="en-CA"/>
        </w:rPr>
        <w:t>N0220 proposes</w:t>
      </w:r>
      <w:r w:rsidR="004A36EA" w:rsidRPr="00A21CF4">
        <w:rPr>
          <w:lang w:val="en-CA"/>
        </w:rPr>
        <w:t xml:space="preserve"> the following elements </w:t>
      </w:r>
      <w:r w:rsidR="00150659" w:rsidRPr="00A21CF4">
        <w:rPr>
          <w:lang w:val="en-CA"/>
        </w:rPr>
        <w:t>targeted at simplifying LMCS. It is reported in JVET-N0220 that the proposed design simplifications do not negatively impact coding performance.</w:t>
      </w:r>
    </w:p>
    <w:p w14:paraId="02A8599A" w14:textId="3D8C402B" w:rsidR="00A21CF4" w:rsidRPr="00DA1814" w:rsidRDefault="009C4557" w:rsidP="00A21CF4">
      <w:pPr>
        <w:pStyle w:val="ListParagraph"/>
        <w:numPr>
          <w:ilvl w:val="0"/>
          <w:numId w:val="14"/>
        </w:numPr>
        <w:rPr>
          <w:lang w:val="en-CA"/>
        </w:rPr>
      </w:pPr>
      <w:r>
        <w:rPr>
          <w:lang w:val="en-CA"/>
        </w:rPr>
        <w:t xml:space="preserve">In chroma scaling factor derivation, instead of averaging the entire luma prediction block, </w:t>
      </w:r>
      <w:r w:rsidR="00A21CF4" w:rsidRPr="00DA1814">
        <w:rPr>
          <w:lang w:val="en-CA"/>
        </w:rPr>
        <w:t xml:space="preserve">the top-left mapped luma sample of the luma prediction block collocated with the chroma block </w:t>
      </w:r>
      <w:r>
        <w:rPr>
          <w:lang w:val="en-CA"/>
        </w:rPr>
        <w:t xml:space="preserve">is used </w:t>
      </w:r>
      <w:r w:rsidR="00A21CF4" w:rsidRPr="00DA1814">
        <w:rPr>
          <w:lang w:val="en-CA"/>
        </w:rPr>
        <w:t>to reduce pipeline delay</w:t>
      </w:r>
    </w:p>
    <w:p w14:paraId="0F82123C" w14:textId="48868C0F" w:rsidR="00A21CF4" w:rsidRPr="00DA1814" w:rsidRDefault="00A21CF4" w:rsidP="00A21CF4">
      <w:pPr>
        <w:pStyle w:val="ListParagraph"/>
        <w:numPr>
          <w:ilvl w:val="0"/>
          <w:numId w:val="14"/>
        </w:numPr>
        <w:rPr>
          <w:lang w:val="en-CA"/>
        </w:rPr>
      </w:pPr>
      <w:r w:rsidRPr="00DA1814">
        <w:t>Add clipping on chroma residu</w:t>
      </w:r>
      <w:r w:rsidR="009C4557">
        <w:t>al</w:t>
      </w:r>
      <w:r w:rsidRPr="00DA1814">
        <w:t xml:space="preserve"> signal before scaling to reduce storage size</w:t>
      </w:r>
    </w:p>
    <w:p w14:paraId="0C023E80" w14:textId="7266A699" w:rsidR="00A21CF4" w:rsidRPr="00DA1814" w:rsidRDefault="00A21CF4" w:rsidP="00A21CF4">
      <w:pPr>
        <w:pStyle w:val="ListParagraph"/>
        <w:numPr>
          <w:ilvl w:val="0"/>
          <w:numId w:val="14"/>
        </w:numPr>
        <w:rPr>
          <w:lang w:val="en-CA"/>
        </w:rPr>
      </w:pPr>
      <w:r w:rsidRPr="00DA1814">
        <w:t>Unification of the fixed-point precision used in luma mapping and chroma residu</w:t>
      </w:r>
      <w:r w:rsidR="009C4557">
        <w:t>al</w:t>
      </w:r>
      <w:r w:rsidRPr="00DA1814">
        <w:t xml:space="preserve"> scaling to 11</w:t>
      </w:r>
    </w:p>
    <w:p w14:paraId="4D246F8B" w14:textId="67123EDB" w:rsidR="00A21CF4" w:rsidRPr="00DA1814" w:rsidRDefault="00A21CF4" w:rsidP="00A21CF4">
      <w:pPr>
        <w:pStyle w:val="ListParagraph"/>
        <w:numPr>
          <w:ilvl w:val="0"/>
          <w:numId w:val="14"/>
        </w:numPr>
        <w:rPr>
          <w:lang w:val="en-CA"/>
        </w:rPr>
      </w:pPr>
      <w:r w:rsidRPr="00DA1814">
        <w:rPr>
          <w:lang w:val="en-CA"/>
        </w:rPr>
        <w:t>Unification of the method of calculating chroma residu</w:t>
      </w:r>
      <w:r w:rsidR="009C4557">
        <w:rPr>
          <w:lang w:val="en-CA"/>
        </w:rPr>
        <w:t>al</w:t>
      </w:r>
      <w:r w:rsidRPr="00DA1814">
        <w:rPr>
          <w:lang w:val="en-CA"/>
        </w:rPr>
        <w:t xml:space="preserve"> scale with the method of calculating the luma inverse scale, and removal of the pre-computed LUT</w:t>
      </w:r>
    </w:p>
    <w:p w14:paraId="5233AF4A" w14:textId="7EEDF534" w:rsidR="005905E3" w:rsidRDefault="004A36EA" w:rsidP="005905E3">
      <w:pPr>
        <w:rPr>
          <w:lang w:val="en-CA"/>
        </w:rPr>
      </w:pPr>
      <w:r>
        <w:rPr>
          <w:lang w:val="en-CA"/>
        </w:rPr>
        <w:t xml:space="preserve">JVET-N0389 proposes to enable the chroma residual scaling process for dual-tree </w:t>
      </w:r>
      <w:proofErr w:type="gramStart"/>
      <w:r>
        <w:rPr>
          <w:lang w:val="en-CA"/>
        </w:rPr>
        <w:t>partitions</w:t>
      </w:r>
      <w:r w:rsidR="005905E3">
        <w:rPr>
          <w:lang w:val="en-CA"/>
        </w:rPr>
        <w:t>, but</w:t>
      </w:r>
      <w:proofErr w:type="gramEnd"/>
      <w:r w:rsidR="005905E3">
        <w:rPr>
          <w:lang w:val="en-CA"/>
        </w:rPr>
        <w:t xml:space="preserve"> derives the chroma scaling factor using reconstructed samples on the top and/or to the left of the </w:t>
      </w:r>
      <w:r w:rsidR="005905E3" w:rsidRPr="005905E3">
        <w:rPr>
          <w:lang w:val="en-CA"/>
        </w:rPr>
        <w:t>top-left</w:t>
      </w:r>
      <w:r w:rsidR="005905E3">
        <w:rPr>
          <w:lang w:val="en-CA"/>
        </w:rPr>
        <w:t xml:space="preserve"> corner of the </w:t>
      </w:r>
      <w:r w:rsidR="005905E3" w:rsidRPr="005905E3">
        <w:rPr>
          <w:lang w:val="en-CA"/>
        </w:rPr>
        <w:t xml:space="preserve">luma block </w:t>
      </w:r>
      <w:r w:rsidR="005905E3">
        <w:rPr>
          <w:lang w:val="en-CA"/>
        </w:rPr>
        <w:t xml:space="preserve">that contains the luma sample </w:t>
      </w:r>
      <w:r w:rsidR="005905E3" w:rsidRPr="005905E3">
        <w:rPr>
          <w:lang w:val="en-CA"/>
        </w:rPr>
        <w:t xml:space="preserve">collocated with the top-left </w:t>
      </w:r>
      <w:r w:rsidR="005905E3">
        <w:rPr>
          <w:lang w:val="en-CA"/>
        </w:rPr>
        <w:t xml:space="preserve">sample of the </w:t>
      </w:r>
      <w:r w:rsidR="005905E3" w:rsidRPr="005905E3">
        <w:rPr>
          <w:lang w:val="en-CA"/>
        </w:rPr>
        <w:t>chroma block.</w:t>
      </w:r>
      <w:r w:rsidR="005905E3">
        <w:rPr>
          <w:lang w:val="en-CA"/>
        </w:rPr>
        <w:t xml:space="preserve"> </w:t>
      </w:r>
      <w:r w:rsidR="005905E3">
        <w:rPr>
          <w:lang w:val="en-CA"/>
        </w:rPr>
        <w:lastRenderedPageBreak/>
        <w:t>Several variants are pro</w:t>
      </w:r>
      <w:r w:rsidR="00EC355A">
        <w:rPr>
          <w:lang w:val="en-CA"/>
        </w:rPr>
        <w:t xml:space="preserve">posed and tested in JVET-N0389 and are reported to </w:t>
      </w:r>
      <w:r w:rsidR="007E0BFE">
        <w:rPr>
          <w:lang w:val="en-CA"/>
        </w:rPr>
        <w:t xml:space="preserve">better balance luma/chroma </w:t>
      </w:r>
      <w:r w:rsidR="00EC355A">
        <w:rPr>
          <w:lang w:val="en-CA"/>
        </w:rPr>
        <w:t xml:space="preserve">BD-rate </w:t>
      </w:r>
      <w:r w:rsidR="007E0BFE">
        <w:rPr>
          <w:lang w:val="en-CA"/>
        </w:rPr>
        <w:t xml:space="preserve">variations </w:t>
      </w:r>
      <w:r w:rsidR="00EC355A">
        <w:rPr>
          <w:lang w:val="en-CA"/>
        </w:rPr>
        <w:t xml:space="preserve">compared to VTM4.0 (where chroma scaling is disabled for dual-tree partition). </w:t>
      </w:r>
    </w:p>
    <w:p w14:paraId="6B08A868" w14:textId="7DA33B1F" w:rsidR="005905E3" w:rsidRPr="005905E3" w:rsidRDefault="005905E3" w:rsidP="005905E3">
      <w:pPr>
        <w:rPr>
          <w:lang w:val="en-CA"/>
        </w:rPr>
      </w:pPr>
      <w:r>
        <w:rPr>
          <w:lang w:val="en-CA"/>
        </w:rPr>
        <w:t>JVET-N0477 proposes to simplify the luma averaging process</w:t>
      </w:r>
      <w:r w:rsidR="007E0BFE">
        <w:rPr>
          <w:lang w:val="en-CA"/>
        </w:rPr>
        <w:t xml:space="preserve"> used to derive the chroma scaling factor</w:t>
      </w:r>
      <w:r>
        <w:rPr>
          <w:lang w:val="en-CA"/>
        </w:rPr>
        <w:t xml:space="preserve"> in the following way: for intra coded blocks, the top-left reference sample used to generate the intra prediction is used to derive the chroma scaling factor; for inter coded blocks, up to 4x4 luma prediction samples are used to calculate the average, which is then used to derive the chroma scaling factor.  </w:t>
      </w:r>
      <w:r w:rsidR="005824D7">
        <w:rPr>
          <w:lang w:val="en-CA"/>
        </w:rPr>
        <w:t xml:space="preserve">JVET-N0477 further proposes to bypass the chroma scaling factor derivation process if </w:t>
      </w:r>
      <w:proofErr w:type="spellStart"/>
      <w:r w:rsidR="005824D7">
        <w:rPr>
          <w:lang w:val="en-CA"/>
        </w:rPr>
        <w:t>tu_cb_cbf</w:t>
      </w:r>
      <w:proofErr w:type="spellEnd"/>
      <w:r w:rsidR="005824D7">
        <w:rPr>
          <w:lang w:val="en-CA"/>
        </w:rPr>
        <w:t xml:space="preserve"> and </w:t>
      </w:r>
      <w:proofErr w:type="spellStart"/>
      <w:r w:rsidR="005824D7">
        <w:rPr>
          <w:lang w:val="en-CA"/>
        </w:rPr>
        <w:t>tu_cr_cbf</w:t>
      </w:r>
      <w:proofErr w:type="spellEnd"/>
      <w:r w:rsidR="005824D7">
        <w:rPr>
          <w:lang w:val="en-CA"/>
        </w:rPr>
        <w:t xml:space="preserve"> are both equal to 0. </w:t>
      </w:r>
      <w:r w:rsidR="00EC355A">
        <w:rPr>
          <w:lang w:val="en-CA"/>
        </w:rPr>
        <w:t>JVET-N0477 report</w:t>
      </w:r>
      <w:r w:rsidR="00444F90">
        <w:rPr>
          <w:lang w:val="en-CA"/>
        </w:rPr>
        <w:t>s</w:t>
      </w:r>
      <w:r w:rsidR="00EC355A">
        <w:rPr>
          <w:lang w:val="en-CA"/>
        </w:rPr>
        <w:t xml:space="preserve"> complexity and latency reduction with negligible impact on BD-rate performance.</w:t>
      </w:r>
    </w:p>
    <w:p w14:paraId="3AC898E7" w14:textId="1B5BC21A" w:rsidR="004A36EA" w:rsidRDefault="00AA1554" w:rsidP="004A36EA">
      <w:pPr>
        <w:rPr>
          <w:lang w:val="en-CA"/>
        </w:rPr>
      </w:pPr>
      <w:r>
        <w:rPr>
          <w:lang w:val="en-CA"/>
        </w:rPr>
        <w:t>In this contribution, the following process for chroma scaling factor derivation is proposed:</w:t>
      </w:r>
    </w:p>
    <w:p w14:paraId="3C9EA32B" w14:textId="09E4CDE5" w:rsidR="004A36EA" w:rsidRDefault="004A36EA" w:rsidP="004A36EA">
      <w:pPr>
        <w:pStyle w:val="ListParagraph"/>
        <w:numPr>
          <w:ilvl w:val="0"/>
          <w:numId w:val="12"/>
        </w:numPr>
        <w:contextualSpacing w:val="0"/>
        <w:rPr>
          <w:lang w:val="en-CA"/>
        </w:rPr>
      </w:pPr>
      <w:r>
        <w:rPr>
          <w:lang w:val="en-CA"/>
        </w:rPr>
        <w:t xml:space="preserve">When </w:t>
      </w:r>
      <w:r w:rsidR="00AA1554">
        <w:rPr>
          <w:lang w:val="en-CA"/>
        </w:rPr>
        <w:t>dual tree</w:t>
      </w:r>
      <w:r>
        <w:rPr>
          <w:lang w:val="en-CA"/>
        </w:rPr>
        <w:t xml:space="preserve"> partitioning is on, the scaling factor is derived using the</w:t>
      </w:r>
      <w:r w:rsidR="00AA1554">
        <w:rPr>
          <w:lang w:val="en-CA"/>
        </w:rPr>
        <w:t xml:space="preserve"> reconstructed samples on to the </w:t>
      </w:r>
      <w:r w:rsidR="00444F90">
        <w:rPr>
          <w:lang w:val="en-CA"/>
        </w:rPr>
        <w:t xml:space="preserve">top-left, </w:t>
      </w:r>
      <w:r w:rsidR="00AA1554">
        <w:rPr>
          <w:lang w:val="en-CA"/>
        </w:rPr>
        <w:t xml:space="preserve">top or to the left of the </w:t>
      </w:r>
      <w:r>
        <w:rPr>
          <w:lang w:val="en-CA"/>
        </w:rPr>
        <w:t xml:space="preserve">luma block </w:t>
      </w:r>
      <w:r w:rsidR="00AA1554">
        <w:rPr>
          <w:lang w:val="en-CA"/>
        </w:rPr>
        <w:t xml:space="preserve">containing the luma sample </w:t>
      </w:r>
      <w:r>
        <w:rPr>
          <w:lang w:val="en-CA"/>
        </w:rPr>
        <w:t xml:space="preserve">collocated with the top-left </w:t>
      </w:r>
      <w:r w:rsidR="00AA1554">
        <w:rPr>
          <w:lang w:val="en-CA"/>
        </w:rPr>
        <w:t xml:space="preserve">sample of the </w:t>
      </w:r>
      <w:r>
        <w:rPr>
          <w:lang w:val="en-CA"/>
        </w:rPr>
        <w:t>chroma block.</w:t>
      </w:r>
      <w:r w:rsidR="00AA1554">
        <w:rPr>
          <w:lang w:val="en-CA"/>
        </w:rPr>
        <w:t xml:space="preserve"> Specifically, </w:t>
      </w:r>
      <w:r w:rsidR="00444F90">
        <w:rPr>
          <w:lang w:val="en-CA"/>
        </w:rPr>
        <w:t>one of the top-left, top or left samples is used depending on their availability. If none is available, chroma residual scaling is not applied.</w:t>
      </w:r>
      <w:r w:rsidR="00AA1554">
        <w:rPr>
          <w:lang w:val="en-CA"/>
        </w:rPr>
        <w:t xml:space="preserve">  </w:t>
      </w:r>
    </w:p>
    <w:p w14:paraId="2CE68CE0" w14:textId="3B2E854C" w:rsidR="004A36EA" w:rsidRPr="004B28DA" w:rsidRDefault="004A36EA" w:rsidP="004A36EA">
      <w:pPr>
        <w:pStyle w:val="ListParagraph"/>
        <w:numPr>
          <w:ilvl w:val="0"/>
          <w:numId w:val="12"/>
        </w:numPr>
        <w:contextualSpacing w:val="0"/>
        <w:rPr>
          <w:lang w:val="en-CA"/>
        </w:rPr>
      </w:pPr>
      <w:r>
        <w:rPr>
          <w:lang w:val="en-CA"/>
        </w:rPr>
        <w:t xml:space="preserve">When </w:t>
      </w:r>
      <w:r w:rsidR="00AA1554">
        <w:rPr>
          <w:lang w:val="en-CA"/>
        </w:rPr>
        <w:t>dual tree</w:t>
      </w:r>
      <w:r>
        <w:rPr>
          <w:lang w:val="en-CA"/>
        </w:rPr>
        <w:t xml:space="preserve"> partitioning is off, the scaling factor for intra coded chroma block is derived using the</w:t>
      </w:r>
      <w:r w:rsidRPr="004B28DA">
        <w:rPr>
          <w:lang w:val="en-CA"/>
        </w:rPr>
        <w:t xml:space="preserve"> top-left </w:t>
      </w:r>
      <w:r>
        <w:rPr>
          <w:lang w:val="en-CA"/>
        </w:rPr>
        <w:t>reference</w:t>
      </w:r>
      <w:r w:rsidRPr="004B28DA">
        <w:rPr>
          <w:lang w:val="en-CA"/>
        </w:rPr>
        <w:t xml:space="preserve"> sample </w:t>
      </w:r>
      <w:r w:rsidR="00AA1554">
        <w:rPr>
          <w:lang w:val="en-CA"/>
        </w:rPr>
        <w:t>used to generate the intra prediction of th</w:t>
      </w:r>
      <w:r>
        <w:rPr>
          <w:lang w:val="en-CA"/>
        </w:rPr>
        <w:t>e luma block collocated with the chroma block.</w:t>
      </w:r>
    </w:p>
    <w:p w14:paraId="23B74891" w14:textId="1DA57616" w:rsidR="004A36EA" w:rsidRDefault="004A36EA" w:rsidP="004A36EA">
      <w:pPr>
        <w:pStyle w:val="ListParagraph"/>
        <w:numPr>
          <w:ilvl w:val="0"/>
          <w:numId w:val="12"/>
        </w:numPr>
        <w:contextualSpacing w:val="0"/>
        <w:rPr>
          <w:lang w:val="en-CA"/>
        </w:rPr>
      </w:pPr>
      <w:r>
        <w:rPr>
          <w:lang w:val="en-CA"/>
        </w:rPr>
        <w:t>For inter coded chroma blocks, the scaling factor is derived fr</w:t>
      </w:r>
      <w:r w:rsidR="00AA1554">
        <w:rPr>
          <w:lang w:val="en-CA"/>
        </w:rPr>
        <w:t xml:space="preserve">om the </w:t>
      </w:r>
      <w:r>
        <w:rPr>
          <w:lang w:val="en-CA"/>
        </w:rPr>
        <w:t>luma prediction sample collocated with the top-left sample</w:t>
      </w:r>
      <w:r w:rsidR="00AA1554">
        <w:rPr>
          <w:lang w:val="en-CA"/>
        </w:rPr>
        <w:t xml:space="preserve"> of the chroma block, i.e., the top-left prediction sample is used</w:t>
      </w:r>
      <w:r>
        <w:rPr>
          <w:lang w:val="en-CA"/>
        </w:rPr>
        <w:t>.</w:t>
      </w:r>
    </w:p>
    <w:p w14:paraId="264B8417" w14:textId="538580E4" w:rsidR="004A36EA" w:rsidRPr="002B257D" w:rsidRDefault="00AA1554" w:rsidP="00AA1554">
      <w:pPr>
        <w:rPr>
          <w:highlight w:val="yellow"/>
          <w:lang w:val="en-CA"/>
        </w:rPr>
      </w:pPr>
      <w:r>
        <w:rPr>
          <w:lang w:val="en-CA"/>
        </w:rPr>
        <w:t xml:space="preserve">In addition, it is proposed to bypass the chroma scaling factor derivation process if </w:t>
      </w:r>
      <w:proofErr w:type="spellStart"/>
      <w:r>
        <w:rPr>
          <w:lang w:val="en-CA"/>
        </w:rPr>
        <w:t>tu_cb_cbf</w:t>
      </w:r>
      <w:proofErr w:type="spellEnd"/>
      <w:r>
        <w:rPr>
          <w:lang w:val="en-CA"/>
        </w:rPr>
        <w:t xml:space="preserve"> and </w:t>
      </w:r>
      <w:proofErr w:type="spellStart"/>
      <w:r>
        <w:rPr>
          <w:lang w:val="en-CA"/>
        </w:rPr>
        <w:t>tu_cr_cbf</w:t>
      </w:r>
      <w:proofErr w:type="spellEnd"/>
      <w:r>
        <w:rPr>
          <w:lang w:val="en-CA"/>
        </w:rPr>
        <w:t xml:space="preserve"> are both equal to 0. Further, </w:t>
      </w:r>
      <w:r w:rsidR="003E3914" w:rsidRPr="003E3914">
        <w:rPr>
          <w:lang w:val="en-CA"/>
        </w:rPr>
        <w:t xml:space="preserve">based on </w:t>
      </w:r>
      <w:r w:rsidR="004A36EA" w:rsidRPr="003E3914">
        <w:rPr>
          <w:lang w:val="en-CA"/>
        </w:rPr>
        <w:t>rec</w:t>
      </w:r>
      <w:r w:rsidR="003E3914" w:rsidRPr="003E3914">
        <w:rPr>
          <w:lang w:val="en-CA"/>
        </w:rPr>
        <w:t xml:space="preserve">ommendation of hardware </w:t>
      </w:r>
      <w:r w:rsidR="003E3914" w:rsidRPr="00CD10DD">
        <w:rPr>
          <w:lang w:val="en-CA"/>
        </w:rPr>
        <w:t>implementation experts</w:t>
      </w:r>
      <w:r w:rsidRPr="00CD10DD">
        <w:rPr>
          <w:lang w:val="en-CA"/>
        </w:rPr>
        <w:t>, it is proposed to di</w:t>
      </w:r>
      <w:r w:rsidR="005824D7" w:rsidRPr="00CD10DD">
        <w:rPr>
          <w:lang w:val="en-CA"/>
        </w:rPr>
        <w:t xml:space="preserve">sable </w:t>
      </w:r>
      <w:r w:rsidR="004A36EA" w:rsidRPr="00CD10DD">
        <w:rPr>
          <w:lang w:val="en-CA"/>
        </w:rPr>
        <w:t>chr</w:t>
      </w:r>
      <w:r w:rsidR="005824D7" w:rsidRPr="00CD10DD">
        <w:rPr>
          <w:lang w:val="en-CA"/>
        </w:rPr>
        <w:t>oma</w:t>
      </w:r>
      <w:r w:rsidR="004A36EA" w:rsidRPr="00CD10DD">
        <w:rPr>
          <w:lang w:val="en-CA"/>
        </w:rPr>
        <w:t xml:space="preserve"> res</w:t>
      </w:r>
      <w:r w:rsidR="005824D7" w:rsidRPr="00CD10DD">
        <w:rPr>
          <w:lang w:val="en-CA"/>
        </w:rPr>
        <w:t>idual</w:t>
      </w:r>
      <w:r w:rsidR="004A36EA" w:rsidRPr="00CD10DD">
        <w:rPr>
          <w:lang w:val="en-CA"/>
        </w:rPr>
        <w:t xml:space="preserve"> scaling for chr</w:t>
      </w:r>
      <w:r w:rsidR="005824D7" w:rsidRPr="00CD10DD">
        <w:rPr>
          <w:lang w:val="en-CA"/>
        </w:rPr>
        <w:t>oma blocks containing less than</w:t>
      </w:r>
      <w:r w:rsidR="00D4099C" w:rsidRPr="00D4099C">
        <w:rPr>
          <w:lang w:val="en-CA"/>
        </w:rPr>
        <w:t xml:space="preserve"> </w:t>
      </w:r>
      <w:r w:rsidR="00D4099C">
        <w:rPr>
          <w:lang w:val="en-CA"/>
        </w:rPr>
        <w:t>or equal</w:t>
      </w:r>
      <w:r w:rsidR="00D4099C">
        <w:rPr>
          <w:lang w:val="en-CA"/>
        </w:rPr>
        <w:t xml:space="preserve"> to</w:t>
      </w:r>
      <w:r w:rsidR="005824D7" w:rsidRPr="00CD10DD">
        <w:rPr>
          <w:lang w:val="en-CA"/>
        </w:rPr>
        <w:t xml:space="preserve"> </w:t>
      </w:r>
      <w:r w:rsidR="004A36EA" w:rsidRPr="00CD10DD">
        <w:rPr>
          <w:lang w:val="en-CA"/>
        </w:rPr>
        <w:t>8 samples</w:t>
      </w:r>
      <w:r w:rsidR="00444F90" w:rsidRPr="00CD10DD">
        <w:rPr>
          <w:lang w:val="en-CA"/>
        </w:rPr>
        <w:t>.</w:t>
      </w:r>
    </w:p>
    <w:p w14:paraId="04DDEA84" w14:textId="44C098AC" w:rsidR="00B42A7E" w:rsidRPr="00150659" w:rsidRDefault="00B42A7E" w:rsidP="00B42A7E">
      <w:pPr>
        <w:rPr>
          <w:lang w:val="en-CA"/>
        </w:rPr>
      </w:pPr>
    </w:p>
    <w:p w14:paraId="7FCC2049" w14:textId="35E1A1B5" w:rsidR="00B42A7E" w:rsidRDefault="005824D7" w:rsidP="00B42A7E">
      <w:pPr>
        <w:pStyle w:val="Heading1"/>
        <w:rPr>
          <w:lang w:val="en-CA"/>
        </w:rPr>
      </w:pPr>
      <w:r>
        <w:rPr>
          <w:lang w:val="en-CA"/>
        </w:rPr>
        <w:t>Simulation r</w:t>
      </w:r>
      <w:r w:rsidR="00B42A7E">
        <w:rPr>
          <w:lang w:val="en-CA"/>
        </w:rPr>
        <w:t>esults</w:t>
      </w:r>
    </w:p>
    <w:p w14:paraId="631F560C" w14:textId="47FCFB5A" w:rsidR="006F2043" w:rsidRDefault="006F2043" w:rsidP="005B7694">
      <w:pPr>
        <w:rPr>
          <w:lang w:val="en-CA"/>
        </w:rPr>
      </w:pPr>
    </w:p>
    <w:p w14:paraId="2076E447" w14:textId="77777777" w:rsidR="00C065ED" w:rsidRPr="00A360C5" w:rsidRDefault="00C065ED" w:rsidP="00C065ED">
      <w:pPr>
        <w:rPr>
          <w:b/>
          <w:lang w:val="en-CA"/>
        </w:rPr>
      </w:pPr>
      <w:r w:rsidRPr="00A360C5">
        <w:rPr>
          <w:b/>
          <w:lang w:val="en-CA"/>
        </w:rPr>
        <w:t>SDR content</w:t>
      </w:r>
    </w:p>
    <w:p w14:paraId="0C204559" w14:textId="0FA5BB76" w:rsidR="00C065ED" w:rsidRDefault="00C065ED" w:rsidP="00C065ED">
      <w:pPr>
        <w:rPr>
          <w:lang w:val="en-CA"/>
        </w:rPr>
      </w:pPr>
      <w:r>
        <w:rPr>
          <w:lang w:val="en-CA"/>
        </w:rPr>
        <w:t xml:space="preserve">BD-rate variations relative to VTM4.0 using Option2 are reported in the table below. Results are in the attached </w:t>
      </w:r>
      <w:proofErr w:type="spellStart"/>
      <w:r>
        <w:rPr>
          <w:lang w:val="en-CA"/>
        </w:rPr>
        <w:t>xls</w:t>
      </w:r>
      <w:proofErr w:type="spellEnd"/>
      <w:r>
        <w:rPr>
          <w:lang w:val="en-CA"/>
        </w:rPr>
        <w:t xml:space="preserve"> file “</w:t>
      </w:r>
      <w:r w:rsidRPr="00870D6A">
        <w:rPr>
          <w:lang w:val="en-CA"/>
        </w:rPr>
        <w:t>N0220_</w:t>
      </w:r>
      <w:r w:rsidR="00BC2B05">
        <w:rPr>
          <w:lang w:val="en-CA"/>
        </w:rPr>
        <w:t>N0389_N0477_</w:t>
      </w:r>
      <w:r w:rsidRPr="00870D6A">
        <w:rPr>
          <w:lang w:val="en-CA"/>
        </w:rPr>
        <w:t>vs_</w:t>
      </w:r>
      <w:r w:rsidR="00BC2B05">
        <w:rPr>
          <w:lang w:val="en-CA"/>
        </w:rPr>
        <w:t>VTM4.0</w:t>
      </w:r>
      <w:r w:rsidRPr="00870D6A">
        <w:rPr>
          <w:lang w:val="en-CA"/>
        </w:rPr>
        <w:t>_SDR</w:t>
      </w:r>
      <w:r>
        <w:rPr>
          <w:lang w:val="en-CA"/>
        </w:rPr>
        <w:t>”.</w:t>
      </w:r>
    </w:p>
    <w:p w14:paraId="64156A84" w14:textId="24A44330" w:rsidR="00374F1A" w:rsidRDefault="00374F1A" w:rsidP="00C065ED">
      <w:pPr>
        <w:rPr>
          <w:lang w:val="en-CA"/>
        </w:rPr>
      </w:pPr>
    </w:p>
    <w:tbl>
      <w:tblPr>
        <w:tblW w:w="7941" w:type="dxa"/>
        <w:jc w:val="center"/>
        <w:tblLook w:val="04A0" w:firstRow="1" w:lastRow="0" w:firstColumn="1" w:lastColumn="0" w:noHBand="0" w:noVBand="1"/>
      </w:tblPr>
      <w:tblGrid>
        <w:gridCol w:w="1640"/>
        <w:gridCol w:w="1060"/>
        <w:gridCol w:w="1060"/>
        <w:gridCol w:w="2061"/>
        <w:gridCol w:w="1060"/>
        <w:gridCol w:w="1060"/>
      </w:tblGrid>
      <w:tr w:rsidR="00374F1A" w:rsidRPr="00374F1A" w14:paraId="1B1BB64A"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28D03AF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72069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C74C34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3674AE9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55BE13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DB60C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r>
      <w:tr w:rsidR="00374F1A" w:rsidRPr="00374F1A" w14:paraId="030AC18D"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112CF71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511299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E76659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F235D5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Over VTM 4.0 </w:t>
            </w:r>
          </w:p>
        </w:tc>
        <w:tc>
          <w:tcPr>
            <w:tcW w:w="1060" w:type="dxa"/>
            <w:tcBorders>
              <w:top w:val="nil"/>
              <w:left w:val="nil"/>
              <w:bottom w:val="nil"/>
              <w:right w:val="nil"/>
            </w:tcBorders>
            <w:shd w:val="clear" w:color="auto" w:fill="auto"/>
            <w:noWrap/>
            <w:vAlign w:val="center"/>
            <w:hideMark/>
          </w:tcPr>
          <w:p w14:paraId="2AC0C19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CEFE9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r>
      <w:tr w:rsidR="00374F1A" w:rsidRPr="00374F1A" w14:paraId="08009C90"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4EB0030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17033D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811D2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6C48A33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9AAF98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32B96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DecT</w:t>
            </w:r>
            <w:proofErr w:type="spellEnd"/>
          </w:p>
        </w:tc>
      </w:tr>
      <w:tr w:rsidR="00374F1A" w:rsidRPr="00374F1A" w14:paraId="65D6C9DE"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82ED7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BDDE8E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B3D59A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7BA57D8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16CCF19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F5E0A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98%</w:t>
            </w:r>
          </w:p>
        </w:tc>
      </w:tr>
      <w:tr w:rsidR="00374F1A" w:rsidRPr="00374F1A" w14:paraId="350B7BA4"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0B2F5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236FA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E7F0DB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1.35%</w:t>
            </w:r>
          </w:p>
        </w:tc>
        <w:tc>
          <w:tcPr>
            <w:tcW w:w="2061" w:type="dxa"/>
            <w:tcBorders>
              <w:top w:val="nil"/>
              <w:left w:val="nil"/>
              <w:bottom w:val="nil"/>
              <w:right w:val="single" w:sz="4" w:space="0" w:color="auto"/>
            </w:tcBorders>
            <w:shd w:val="clear" w:color="auto" w:fill="auto"/>
            <w:noWrap/>
            <w:vAlign w:val="center"/>
            <w:hideMark/>
          </w:tcPr>
          <w:p w14:paraId="1B3F151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1.32%</w:t>
            </w:r>
          </w:p>
        </w:tc>
        <w:tc>
          <w:tcPr>
            <w:tcW w:w="1060" w:type="dxa"/>
            <w:tcBorders>
              <w:top w:val="nil"/>
              <w:left w:val="nil"/>
              <w:bottom w:val="nil"/>
              <w:right w:val="nil"/>
            </w:tcBorders>
            <w:shd w:val="clear" w:color="auto" w:fill="auto"/>
            <w:noWrap/>
            <w:vAlign w:val="center"/>
            <w:hideMark/>
          </w:tcPr>
          <w:p w14:paraId="5E187F3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CD4A6A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97%</w:t>
            </w:r>
          </w:p>
        </w:tc>
      </w:tr>
      <w:tr w:rsidR="00374F1A" w:rsidRPr="00374F1A" w14:paraId="5CFEE046"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303F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70CF0B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67B038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-0.51%</w:t>
            </w:r>
          </w:p>
        </w:tc>
        <w:tc>
          <w:tcPr>
            <w:tcW w:w="2061" w:type="dxa"/>
            <w:tcBorders>
              <w:top w:val="nil"/>
              <w:left w:val="nil"/>
              <w:bottom w:val="nil"/>
              <w:right w:val="single" w:sz="4" w:space="0" w:color="auto"/>
            </w:tcBorders>
            <w:shd w:val="clear" w:color="auto" w:fill="auto"/>
            <w:noWrap/>
            <w:vAlign w:val="center"/>
            <w:hideMark/>
          </w:tcPr>
          <w:p w14:paraId="68433F9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hideMark/>
          </w:tcPr>
          <w:p w14:paraId="76EB4CE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BF2644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90%</w:t>
            </w:r>
          </w:p>
        </w:tc>
      </w:tr>
      <w:tr w:rsidR="00374F1A" w:rsidRPr="00374F1A" w14:paraId="229F3405"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EEB26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3ECC2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C2A802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-1.67%</w:t>
            </w:r>
          </w:p>
        </w:tc>
        <w:tc>
          <w:tcPr>
            <w:tcW w:w="2061" w:type="dxa"/>
            <w:tcBorders>
              <w:top w:val="nil"/>
              <w:left w:val="nil"/>
              <w:bottom w:val="nil"/>
              <w:right w:val="single" w:sz="4" w:space="0" w:color="auto"/>
            </w:tcBorders>
            <w:shd w:val="clear" w:color="auto" w:fill="auto"/>
            <w:noWrap/>
            <w:vAlign w:val="center"/>
            <w:hideMark/>
          </w:tcPr>
          <w:p w14:paraId="65835AC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-1.62%</w:t>
            </w:r>
          </w:p>
        </w:tc>
        <w:tc>
          <w:tcPr>
            <w:tcW w:w="1060" w:type="dxa"/>
            <w:tcBorders>
              <w:top w:val="nil"/>
              <w:left w:val="nil"/>
              <w:bottom w:val="nil"/>
              <w:right w:val="nil"/>
            </w:tcBorders>
            <w:shd w:val="clear" w:color="auto" w:fill="auto"/>
            <w:noWrap/>
            <w:vAlign w:val="center"/>
            <w:hideMark/>
          </w:tcPr>
          <w:p w14:paraId="7B3E020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4E14EF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91%</w:t>
            </w:r>
          </w:p>
        </w:tc>
      </w:tr>
      <w:tr w:rsidR="00374F1A" w:rsidRPr="00374F1A" w14:paraId="45E02454"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9B78E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77B4FD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0B32EA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-2.31%</w:t>
            </w:r>
          </w:p>
        </w:tc>
        <w:tc>
          <w:tcPr>
            <w:tcW w:w="2061" w:type="dxa"/>
            <w:tcBorders>
              <w:top w:val="nil"/>
              <w:left w:val="nil"/>
              <w:bottom w:val="nil"/>
              <w:right w:val="single" w:sz="4" w:space="0" w:color="auto"/>
            </w:tcBorders>
            <w:shd w:val="clear" w:color="auto" w:fill="auto"/>
            <w:noWrap/>
            <w:vAlign w:val="center"/>
            <w:hideMark/>
          </w:tcPr>
          <w:p w14:paraId="0512334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-2.42%</w:t>
            </w:r>
          </w:p>
        </w:tc>
        <w:tc>
          <w:tcPr>
            <w:tcW w:w="1060" w:type="dxa"/>
            <w:tcBorders>
              <w:top w:val="nil"/>
              <w:left w:val="nil"/>
              <w:bottom w:val="nil"/>
              <w:right w:val="nil"/>
            </w:tcBorders>
            <w:shd w:val="clear" w:color="auto" w:fill="auto"/>
            <w:noWrap/>
            <w:vAlign w:val="center"/>
            <w:hideMark/>
          </w:tcPr>
          <w:p w14:paraId="26453C5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929063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90%</w:t>
            </w:r>
          </w:p>
        </w:tc>
      </w:tr>
      <w:tr w:rsidR="00374F1A" w:rsidRPr="00374F1A" w14:paraId="48CF1535"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E74C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B3283A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BF09E1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-0.61%</w:t>
            </w:r>
          </w:p>
        </w:tc>
        <w:tc>
          <w:tcPr>
            <w:tcW w:w="2061" w:type="dxa"/>
            <w:tcBorders>
              <w:top w:val="single" w:sz="8" w:space="0" w:color="auto"/>
              <w:left w:val="nil"/>
              <w:bottom w:val="nil"/>
              <w:right w:val="single" w:sz="4" w:space="0" w:color="auto"/>
            </w:tcBorders>
            <w:shd w:val="clear" w:color="auto" w:fill="auto"/>
            <w:noWrap/>
            <w:vAlign w:val="center"/>
            <w:hideMark/>
          </w:tcPr>
          <w:p w14:paraId="28ECBF4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1D72DD1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A995E9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93%</w:t>
            </w:r>
          </w:p>
        </w:tc>
      </w:tr>
      <w:tr w:rsidR="00374F1A" w:rsidRPr="00374F1A" w14:paraId="652421BA" w14:textId="77777777" w:rsidTr="002811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6D753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37569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3029A6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-1.11%</w:t>
            </w:r>
          </w:p>
        </w:tc>
        <w:tc>
          <w:tcPr>
            <w:tcW w:w="2061" w:type="dxa"/>
            <w:tcBorders>
              <w:top w:val="single" w:sz="8" w:space="0" w:color="auto"/>
              <w:left w:val="nil"/>
              <w:bottom w:val="nil"/>
              <w:right w:val="single" w:sz="4" w:space="0" w:color="auto"/>
            </w:tcBorders>
            <w:shd w:val="clear" w:color="auto" w:fill="auto"/>
            <w:noWrap/>
            <w:vAlign w:val="center"/>
            <w:hideMark/>
          </w:tcPr>
          <w:p w14:paraId="15E950C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-1.23%</w:t>
            </w:r>
          </w:p>
        </w:tc>
        <w:tc>
          <w:tcPr>
            <w:tcW w:w="1060" w:type="dxa"/>
            <w:tcBorders>
              <w:top w:val="single" w:sz="8" w:space="0" w:color="auto"/>
              <w:left w:val="nil"/>
              <w:bottom w:val="nil"/>
              <w:right w:val="nil"/>
            </w:tcBorders>
            <w:shd w:val="clear" w:color="auto" w:fill="auto"/>
            <w:noWrap/>
            <w:vAlign w:val="center"/>
            <w:hideMark/>
          </w:tcPr>
          <w:p w14:paraId="32CDD95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E16A0D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91%</w:t>
            </w:r>
          </w:p>
        </w:tc>
      </w:tr>
      <w:tr w:rsidR="00374F1A" w:rsidRPr="00374F1A" w14:paraId="21F1FA17" w14:textId="77777777" w:rsidTr="002811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2ED86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31B11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0.30%</w:t>
            </w:r>
          </w:p>
        </w:tc>
        <w:tc>
          <w:tcPr>
            <w:tcW w:w="1060" w:type="dxa"/>
            <w:tcBorders>
              <w:top w:val="nil"/>
              <w:left w:val="nil"/>
              <w:bottom w:val="single" w:sz="8" w:space="0" w:color="auto"/>
              <w:right w:val="nil"/>
            </w:tcBorders>
            <w:shd w:val="clear" w:color="auto" w:fill="auto"/>
            <w:noWrap/>
            <w:vAlign w:val="center"/>
            <w:hideMark/>
          </w:tcPr>
          <w:p w14:paraId="136414A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-1.41%</w:t>
            </w:r>
          </w:p>
        </w:tc>
        <w:tc>
          <w:tcPr>
            <w:tcW w:w="2061" w:type="dxa"/>
            <w:tcBorders>
              <w:top w:val="nil"/>
              <w:left w:val="nil"/>
              <w:bottom w:val="single" w:sz="8" w:space="0" w:color="auto"/>
              <w:right w:val="single" w:sz="4" w:space="0" w:color="auto"/>
            </w:tcBorders>
            <w:shd w:val="clear" w:color="auto" w:fill="auto"/>
            <w:noWrap/>
            <w:vAlign w:val="center"/>
            <w:hideMark/>
          </w:tcPr>
          <w:p w14:paraId="017A0FB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-1.32%</w:t>
            </w:r>
          </w:p>
        </w:tc>
        <w:tc>
          <w:tcPr>
            <w:tcW w:w="1060" w:type="dxa"/>
            <w:tcBorders>
              <w:top w:val="nil"/>
              <w:left w:val="nil"/>
              <w:bottom w:val="single" w:sz="8" w:space="0" w:color="auto"/>
              <w:right w:val="nil"/>
            </w:tcBorders>
            <w:shd w:val="clear" w:color="auto" w:fill="auto"/>
            <w:noWrap/>
            <w:vAlign w:val="center"/>
            <w:hideMark/>
          </w:tcPr>
          <w:p w14:paraId="42B96A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E4897B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97%</w:t>
            </w:r>
          </w:p>
        </w:tc>
      </w:tr>
      <w:tr w:rsidR="00374F1A" w:rsidRPr="00374F1A" w14:paraId="172561AD"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5B14025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9A9E5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5E74CC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57A572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16E1E4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8B681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74F1A" w:rsidRPr="00374F1A" w14:paraId="7F170DEF"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1020D9B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74D910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C1BF4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4D45C7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1ED02B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8F435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r>
      <w:tr w:rsidR="00374F1A" w:rsidRPr="00374F1A" w14:paraId="4281EA6F"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327E85E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AE3E75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42E576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DB2A9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Over VTM 4.0 </w:t>
            </w:r>
          </w:p>
        </w:tc>
        <w:tc>
          <w:tcPr>
            <w:tcW w:w="1060" w:type="dxa"/>
            <w:tcBorders>
              <w:top w:val="nil"/>
              <w:left w:val="nil"/>
              <w:bottom w:val="nil"/>
              <w:right w:val="nil"/>
            </w:tcBorders>
            <w:shd w:val="clear" w:color="auto" w:fill="auto"/>
            <w:noWrap/>
            <w:vAlign w:val="center"/>
            <w:hideMark/>
          </w:tcPr>
          <w:p w14:paraId="42FD8A1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A881A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r>
      <w:tr w:rsidR="00374F1A" w:rsidRPr="00374F1A" w14:paraId="42A702B0"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0D0B823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D8F1BF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2FF3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8AE6D5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A6A2E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C4B6D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DecT</w:t>
            </w:r>
            <w:proofErr w:type="spellEnd"/>
          </w:p>
        </w:tc>
      </w:tr>
      <w:tr w:rsidR="00374F1A" w:rsidRPr="00374F1A" w14:paraId="0B76CCB5"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EF6B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EB05E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4F00D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52E0AE6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108F348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0DFF99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98%</w:t>
            </w:r>
          </w:p>
        </w:tc>
      </w:tr>
      <w:tr w:rsidR="00374F1A" w:rsidRPr="00374F1A" w14:paraId="6C1151EA"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7EDB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87FEB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42AB6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-0.41%</w:t>
            </w:r>
          </w:p>
        </w:tc>
        <w:tc>
          <w:tcPr>
            <w:tcW w:w="2061" w:type="dxa"/>
            <w:tcBorders>
              <w:top w:val="nil"/>
              <w:left w:val="nil"/>
              <w:bottom w:val="nil"/>
              <w:right w:val="single" w:sz="4" w:space="0" w:color="auto"/>
            </w:tcBorders>
            <w:shd w:val="clear" w:color="auto" w:fill="auto"/>
            <w:noWrap/>
            <w:vAlign w:val="center"/>
            <w:hideMark/>
          </w:tcPr>
          <w:p w14:paraId="3EB5BBB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5CEE877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45D0887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94%</w:t>
            </w:r>
          </w:p>
        </w:tc>
      </w:tr>
      <w:tr w:rsidR="00374F1A" w:rsidRPr="00374F1A" w14:paraId="32C04E6E"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807FC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lastRenderedPageBreak/>
              <w:t>Class B</w:t>
            </w:r>
          </w:p>
        </w:tc>
        <w:tc>
          <w:tcPr>
            <w:tcW w:w="1060" w:type="dxa"/>
            <w:tcBorders>
              <w:top w:val="nil"/>
              <w:left w:val="nil"/>
              <w:bottom w:val="nil"/>
              <w:right w:val="nil"/>
            </w:tcBorders>
            <w:shd w:val="clear" w:color="auto" w:fill="auto"/>
            <w:noWrap/>
            <w:vAlign w:val="center"/>
            <w:hideMark/>
          </w:tcPr>
          <w:p w14:paraId="2FB30C9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2F6330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-0.72%</w:t>
            </w:r>
          </w:p>
        </w:tc>
        <w:tc>
          <w:tcPr>
            <w:tcW w:w="2061" w:type="dxa"/>
            <w:tcBorders>
              <w:top w:val="nil"/>
              <w:left w:val="nil"/>
              <w:bottom w:val="nil"/>
              <w:right w:val="single" w:sz="4" w:space="0" w:color="auto"/>
            </w:tcBorders>
            <w:shd w:val="clear" w:color="auto" w:fill="auto"/>
            <w:noWrap/>
            <w:vAlign w:val="center"/>
            <w:hideMark/>
          </w:tcPr>
          <w:p w14:paraId="3A1156C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463B276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664593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93%</w:t>
            </w:r>
          </w:p>
        </w:tc>
      </w:tr>
      <w:tr w:rsidR="00374F1A" w:rsidRPr="00374F1A" w14:paraId="7A97C818"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DA09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557C8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497BE3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-1.35%</w:t>
            </w:r>
          </w:p>
        </w:tc>
        <w:tc>
          <w:tcPr>
            <w:tcW w:w="2061" w:type="dxa"/>
            <w:tcBorders>
              <w:top w:val="nil"/>
              <w:left w:val="nil"/>
              <w:bottom w:val="nil"/>
              <w:right w:val="single" w:sz="4" w:space="0" w:color="auto"/>
            </w:tcBorders>
            <w:shd w:val="clear" w:color="auto" w:fill="auto"/>
            <w:noWrap/>
            <w:vAlign w:val="center"/>
            <w:hideMark/>
          </w:tcPr>
          <w:p w14:paraId="3C69C03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hideMark/>
          </w:tcPr>
          <w:p w14:paraId="3FFEDAB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F1959D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93%</w:t>
            </w:r>
          </w:p>
        </w:tc>
      </w:tr>
      <w:tr w:rsidR="00374F1A" w:rsidRPr="00374F1A" w14:paraId="28CA6E80"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E435C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CEF22D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17E03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080105E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4D498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20AF0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r>
      <w:tr w:rsidR="00374F1A" w:rsidRPr="00374F1A" w14:paraId="7597CF4D"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FDDE4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E44D8A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237712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-0.61%</w:t>
            </w:r>
          </w:p>
        </w:tc>
        <w:tc>
          <w:tcPr>
            <w:tcW w:w="2061" w:type="dxa"/>
            <w:tcBorders>
              <w:top w:val="single" w:sz="8" w:space="0" w:color="auto"/>
              <w:left w:val="nil"/>
              <w:bottom w:val="nil"/>
              <w:right w:val="single" w:sz="4" w:space="0" w:color="auto"/>
            </w:tcBorders>
            <w:shd w:val="clear" w:color="auto" w:fill="auto"/>
            <w:noWrap/>
            <w:vAlign w:val="center"/>
            <w:hideMark/>
          </w:tcPr>
          <w:p w14:paraId="53FBD44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7F0AB6B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5910D3B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94%</w:t>
            </w:r>
          </w:p>
        </w:tc>
      </w:tr>
      <w:tr w:rsidR="00374F1A" w:rsidRPr="00374F1A" w14:paraId="45A0596E"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8AE6A"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E47F2A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934917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-1.46%</w:t>
            </w:r>
          </w:p>
        </w:tc>
        <w:tc>
          <w:tcPr>
            <w:tcW w:w="2061" w:type="dxa"/>
            <w:tcBorders>
              <w:top w:val="single" w:sz="8" w:space="0" w:color="auto"/>
              <w:left w:val="nil"/>
              <w:bottom w:val="nil"/>
              <w:right w:val="single" w:sz="4" w:space="0" w:color="auto"/>
            </w:tcBorders>
            <w:shd w:val="clear" w:color="auto" w:fill="auto"/>
            <w:noWrap/>
            <w:vAlign w:val="center"/>
            <w:hideMark/>
          </w:tcPr>
          <w:p w14:paraId="50BE317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-1.41%</w:t>
            </w:r>
          </w:p>
        </w:tc>
        <w:tc>
          <w:tcPr>
            <w:tcW w:w="1060" w:type="dxa"/>
            <w:tcBorders>
              <w:top w:val="single" w:sz="8" w:space="0" w:color="auto"/>
              <w:left w:val="nil"/>
              <w:bottom w:val="nil"/>
              <w:right w:val="nil"/>
            </w:tcBorders>
            <w:shd w:val="clear" w:color="auto" w:fill="auto"/>
            <w:noWrap/>
            <w:vAlign w:val="center"/>
            <w:hideMark/>
          </w:tcPr>
          <w:p w14:paraId="2B7C7FE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243299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91%</w:t>
            </w:r>
          </w:p>
        </w:tc>
      </w:tr>
      <w:tr w:rsidR="00374F1A" w:rsidRPr="00374F1A" w14:paraId="5CA155B6" w14:textId="77777777" w:rsidTr="002811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93B24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42BBF3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5D535DE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-1.20%</w:t>
            </w:r>
          </w:p>
        </w:tc>
        <w:tc>
          <w:tcPr>
            <w:tcW w:w="2061" w:type="dxa"/>
            <w:tcBorders>
              <w:top w:val="nil"/>
              <w:left w:val="nil"/>
              <w:bottom w:val="single" w:sz="8" w:space="0" w:color="auto"/>
              <w:right w:val="single" w:sz="4" w:space="0" w:color="auto"/>
            </w:tcBorders>
            <w:shd w:val="clear" w:color="auto" w:fill="auto"/>
            <w:noWrap/>
            <w:vAlign w:val="center"/>
            <w:hideMark/>
          </w:tcPr>
          <w:p w14:paraId="62460DE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-0.98%</w:t>
            </w:r>
          </w:p>
        </w:tc>
        <w:tc>
          <w:tcPr>
            <w:tcW w:w="1060" w:type="dxa"/>
            <w:tcBorders>
              <w:top w:val="nil"/>
              <w:left w:val="nil"/>
              <w:bottom w:val="single" w:sz="8" w:space="0" w:color="auto"/>
              <w:right w:val="nil"/>
            </w:tcBorders>
            <w:shd w:val="clear" w:color="auto" w:fill="auto"/>
            <w:noWrap/>
            <w:vAlign w:val="center"/>
            <w:hideMark/>
          </w:tcPr>
          <w:p w14:paraId="348F5BF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AC7C36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95%</w:t>
            </w:r>
          </w:p>
        </w:tc>
      </w:tr>
      <w:tr w:rsidR="00374F1A" w:rsidRPr="00374F1A" w14:paraId="7E028D55"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3461FF9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E97CB0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053BC3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776804B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C8A851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9200F9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74F1A" w:rsidRPr="00374F1A" w14:paraId="61C8EFE5"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42F4FDA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BB3A83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4A0B5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21A1167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BE8A11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67997F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374F1A">
              <w:rPr>
                <w:rFonts w:ascii="Calibri" w:hAnsi="Calibri"/>
                <w:color w:val="000000"/>
                <w:sz w:val="24"/>
                <w:szCs w:val="24"/>
              </w:rPr>
              <w:t> </w:t>
            </w:r>
          </w:p>
        </w:tc>
      </w:tr>
      <w:tr w:rsidR="00374F1A" w:rsidRPr="00374F1A" w14:paraId="77050ED1"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74A8115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EAEE93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735A0F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F6C462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xml:space="preserve">Over VTM 4.0 </w:t>
            </w:r>
          </w:p>
        </w:tc>
        <w:tc>
          <w:tcPr>
            <w:tcW w:w="1060" w:type="dxa"/>
            <w:tcBorders>
              <w:top w:val="nil"/>
              <w:left w:val="nil"/>
              <w:bottom w:val="nil"/>
              <w:right w:val="nil"/>
            </w:tcBorders>
            <w:shd w:val="clear" w:color="auto" w:fill="auto"/>
            <w:noWrap/>
            <w:vAlign w:val="center"/>
            <w:hideMark/>
          </w:tcPr>
          <w:p w14:paraId="27CBD84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35DA5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 </w:t>
            </w:r>
          </w:p>
        </w:tc>
      </w:tr>
      <w:tr w:rsidR="00374F1A" w:rsidRPr="00374F1A" w14:paraId="0FD5D131" w14:textId="77777777" w:rsidTr="00281156">
        <w:trPr>
          <w:trHeight w:val="255"/>
          <w:jc w:val="center"/>
        </w:trPr>
        <w:tc>
          <w:tcPr>
            <w:tcW w:w="1640" w:type="dxa"/>
            <w:tcBorders>
              <w:top w:val="nil"/>
              <w:left w:val="nil"/>
              <w:bottom w:val="nil"/>
              <w:right w:val="nil"/>
            </w:tcBorders>
            <w:shd w:val="clear" w:color="auto" w:fill="auto"/>
            <w:noWrap/>
            <w:vAlign w:val="center"/>
            <w:hideMark/>
          </w:tcPr>
          <w:p w14:paraId="18166D6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6EC2A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72F800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44E645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E6BCCA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97BA6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74F1A">
              <w:rPr>
                <w:rFonts w:ascii="Arial" w:hAnsi="Arial" w:cs="Arial"/>
                <w:color w:val="000000"/>
                <w:sz w:val="18"/>
                <w:szCs w:val="18"/>
              </w:rPr>
              <w:t>DecT</w:t>
            </w:r>
            <w:proofErr w:type="spellEnd"/>
          </w:p>
        </w:tc>
      </w:tr>
      <w:tr w:rsidR="00374F1A" w:rsidRPr="00374F1A" w14:paraId="78C9E5E0"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C6EFE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ED9BF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8493D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4929764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AB5856"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668AD3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r>
      <w:tr w:rsidR="00374F1A" w:rsidRPr="00374F1A" w14:paraId="5681F53A"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4CCD7"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5B347B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D3422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89E742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1DA60F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1C6E66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 </w:t>
            </w:r>
          </w:p>
        </w:tc>
      </w:tr>
      <w:tr w:rsidR="00374F1A" w:rsidRPr="00374F1A" w14:paraId="7F826522"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A99CE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FF5BDF5" w14:textId="35910975"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218550FF" w14:textId="0501EA95"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tcPr>
          <w:p w14:paraId="12811D2F" w14:textId="26A0E1C4"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7E493FAE" w14:textId="229AC5BE"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5B1CEB79" w14:textId="779B79C0"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74F1A" w:rsidRPr="00374F1A" w14:paraId="1219CB88"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EC3E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C5F87F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7EF9D91"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1E7C9C2B"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D7FE4F4"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tcPr>
          <w:p w14:paraId="1E7F3B7C" w14:textId="1824913E"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74F1A" w:rsidRPr="00374F1A" w14:paraId="3C8C1E1E" w14:textId="77777777" w:rsidTr="002811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1DED3"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EE03E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418275C"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6DAAC39E"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4B1F8460"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tcPr>
          <w:p w14:paraId="13263A02" w14:textId="4DE4B2CB"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74F1A" w:rsidRPr="00374F1A" w14:paraId="7454F239" w14:textId="77777777" w:rsidTr="002811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6C31FF"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74F1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FC70051" w14:textId="4CD57468"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706406DA" w14:textId="6985CB4F"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single" w:sz="8" w:space="0" w:color="auto"/>
              <w:left w:val="nil"/>
              <w:bottom w:val="nil"/>
              <w:right w:val="single" w:sz="4" w:space="0" w:color="auto"/>
            </w:tcBorders>
            <w:shd w:val="clear" w:color="auto" w:fill="auto"/>
            <w:noWrap/>
            <w:vAlign w:val="center"/>
          </w:tcPr>
          <w:p w14:paraId="4867DAD2" w14:textId="0B2D724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3428D6B" w14:textId="4A286813"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3B3827A0" w14:textId="59ABE339"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74F1A" w:rsidRPr="00374F1A" w14:paraId="584F531C" w14:textId="77777777" w:rsidTr="002811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DD7162"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F53C665"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BEEEC0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67E1B27D"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-1.36%</w:t>
            </w:r>
          </w:p>
        </w:tc>
        <w:tc>
          <w:tcPr>
            <w:tcW w:w="1060" w:type="dxa"/>
            <w:tcBorders>
              <w:top w:val="single" w:sz="8" w:space="0" w:color="auto"/>
              <w:left w:val="nil"/>
              <w:bottom w:val="nil"/>
              <w:right w:val="nil"/>
            </w:tcBorders>
            <w:shd w:val="clear" w:color="auto" w:fill="auto"/>
            <w:noWrap/>
            <w:vAlign w:val="center"/>
            <w:hideMark/>
          </w:tcPr>
          <w:p w14:paraId="58895F78"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tcPr>
          <w:p w14:paraId="29205450" w14:textId="3238D481"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74F1A" w:rsidRPr="00374F1A" w14:paraId="10456298" w14:textId="77777777" w:rsidTr="002811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342F09" w14:textId="77777777"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74F1A">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4AFD729E" w14:textId="0F8B935A"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7822E519" w14:textId="529A9679"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single" w:sz="8" w:space="0" w:color="auto"/>
              <w:right w:val="single" w:sz="4" w:space="0" w:color="auto"/>
            </w:tcBorders>
            <w:shd w:val="clear" w:color="auto" w:fill="auto"/>
            <w:noWrap/>
            <w:vAlign w:val="center"/>
          </w:tcPr>
          <w:p w14:paraId="6DBBD7C8" w14:textId="2698E51F"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nil"/>
            </w:tcBorders>
            <w:shd w:val="clear" w:color="auto" w:fill="auto"/>
            <w:noWrap/>
            <w:vAlign w:val="center"/>
          </w:tcPr>
          <w:p w14:paraId="5A51FC7B" w14:textId="33DFAA66"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single" w:sz="8" w:space="0" w:color="auto"/>
              <w:right w:val="single" w:sz="8" w:space="0" w:color="auto"/>
            </w:tcBorders>
            <w:shd w:val="clear" w:color="auto" w:fill="auto"/>
            <w:noWrap/>
            <w:vAlign w:val="center"/>
          </w:tcPr>
          <w:p w14:paraId="164FD905" w14:textId="493D27B0" w:rsidR="00374F1A" w:rsidRPr="00374F1A" w:rsidRDefault="00374F1A" w:rsidP="0037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59BDF2A4" w14:textId="77777777" w:rsidR="002B37DD" w:rsidRDefault="002B37DD" w:rsidP="00C065ED">
      <w:pPr>
        <w:rPr>
          <w:lang w:val="en-CA"/>
        </w:rPr>
      </w:pPr>
    </w:p>
    <w:p w14:paraId="39F115E2" w14:textId="77777777" w:rsidR="00C065ED" w:rsidRDefault="00C065ED" w:rsidP="00C065ED">
      <w:pPr>
        <w:rPr>
          <w:b/>
          <w:lang w:val="en-CA"/>
        </w:rPr>
      </w:pPr>
      <w:r w:rsidRPr="005B7694">
        <w:rPr>
          <w:b/>
          <w:lang w:val="en-CA"/>
        </w:rPr>
        <w:t>HDR content</w:t>
      </w:r>
    </w:p>
    <w:p w14:paraId="5B68DFC4" w14:textId="5371BF03" w:rsidR="00BC2B05" w:rsidRDefault="00BC2B05" w:rsidP="00BC2B05">
      <w:pPr>
        <w:rPr>
          <w:lang w:val="en-CA"/>
        </w:rPr>
      </w:pPr>
      <w:r>
        <w:rPr>
          <w:lang w:val="en-CA"/>
        </w:rPr>
        <w:t xml:space="preserve">BD-rate variations relative to VTM4.0 using Option2 are reported in the table below. Results are in the attached </w:t>
      </w:r>
      <w:proofErr w:type="spellStart"/>
      <w:r>
        <w:rPr>
          <w:lang w:val="en-CA"/>
        </w:rPr>
        <w:t>xls</w:t>
      </w:r>
      <w:proofErr w:type="spellEnd"/>
      <w:r>
        <w:rPr>
          <w:lang w:val="en-CA"/>
        </w:rPr>
        <w:t xml:space="preserve"> file “</w:t>
      </w:r>
      <w:r w:rsidRPr="00870D6A">
        <w:rPr>
          <w:lang w:val="en-CA"/>
        </w:rPr>
        <w:t>N0220_</w:t>
      </w:r>
      <w:r>
        <w:rPr>
          <w:lang w:val="en-CA"/>
        </w:rPr>
        <w:t>N0389_N0477_</w:t>
      </w:r>
      <w:r w:rsidRPr="00870D6A">
        <w:rPr>
          <w:lang w:val="en-CA"/>
        </w:rPr>
        <w:t>vs_</w:t>
      </w:r>
      <w:r>
        <w:rPr>
          <w:lang w:val="en-CA"/>
        </w:rPr>
        <w:t>VTM4.0</w:t>
      </w:r>
      <w:r w:rsidRPr="00870D6A">
        <w:rPr>
          <w:lang w:val="en-CA"/>
        </w:rPr>
        <w:t>_</w:t>
      </w:r>
      <w:r>
        <w:rPr>
          <w:lang w:val="en-CA"/>
        </w:rPr>
        <w:t>H</w:t>
      </w:r>
      <w:r w:rsidRPr="00870D6A">
        <w:rPr>
          <w:lang w:val="en-CA"/>
        </w:rPr>
        <w:t>DR</w:t>
      </w:r>
      <w:r>
        <w:rPr>
          <w:lang w:val="en-CA"/>
        </w:rPr>
        <w:t>”.</w:t>
      </w:r>
    </w:p>
    <w:p w14:paraId="4DB9B6F9" w14:textId="68AD42F9" w:rsidR="00E62454" w:rsidRDefault="00E62454" w:rsidP="00BC2B05">
      <w:pPr>
        <w:rPr>
          <w:lang w:val="en-CA"/>
        </w:rPr>
      </w:pPr>
    </w:p>
    <w:tbl>
      <w:tblPr>
        <w:tblW w:w="7520" w:type="dxa"/>
        <w:jc w:val="center"/>
        <w:tblLook w:val="04A0" w:firstRow="1" w:lastRow="0" w:firstColumn="1" w:lastColumn="0" w:noHBand="0" w:noVBand="1"/>
      </w:tblPr>
      <w:tblGrid>
        <w:gridCol w:w="2220"/>
        <w:gridCol w:w="1009"/>
        <w:gridCol w:w="1339"/>
        <w:gridCol w:w="936"/>
        <w:gridCol w:w="1008"/>
        <w:gridCol w:w="1008"/>
      </w:tblGrid>
      <w:tr w:rsidR="00E62454" w:rsidRPr="00E62454" w14:paraId="149ECE69" w14:textId="77777777" w:rsidTr="00281156">
        <w:trPr>
          <w:trHeight w:val="330"/>
          <w:jc w:val="center"/>
        </w:trPr>
        <w:tc>
          <w:tcPr>
            <w:tcW w:w="2220" w:type="dxa"/>
            <w:tcBorders>
              <w:top w:val="nil"/>
              <w:left w:val="nil"/>
              <w:bottom w:val="nil"/>
              <w:right w:val="nil"/>
            </w:tcBorders>
            <w:shd w:val="clear" w:color="auto" w:fill="auto"/>
            <w:noWrap/>
            <w:vAlign w:val="center"/>
            <w:hideMark/>
          </w:tcPr>
          <w:p w14:paraId="2DE00D1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763A43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All Intra</w:t>
            </w:r>
          </w:p>
        </w:tc>
      </w:tr>
      <w:tr w:rsidR="00E62454" w:rsidRPr="00E62454" w14:paraId="5FBBDF86" w14:textId="77777777" w:rsidTr="00281156">
        <w:trPr>
          <w:trHeight w:val="300"/>
          <w:jc w:val="center"/>
        </w:trPr>
        <w:tc>
          <w:tcPr>
            <w:tcW w:w="2220" w:type="dxa"/>
            <w:tcBorders>
              <w:top w:val="nil"/>
              <w:left w:val="nil"/>
              <w:bottom w:val="nil"/>
              <w:right w:val="nil"/>
            </w:tcBorders>
            <w:shd w:val="clear" w:color="auto" w:fill="auto"/>
            <w:noWrap/>
            <w:vAlign w:val="center"/>
            <w:hideMark/>
          </w:tcPr>
          <w:p w14:paraId="2B61471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F233D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Over VTM4 HDR reshaping</w:t>
            </w:r>
          </w:p>
        </w:tc>
      </w:tr>
      <w:tr w:rsidR="00E62454" w:rsidRPr="00E62454" w14:paraId="4E996755" w14:textId="77777777" w:rsidTr="00281156">
        <w:trPr>
          <w:trHeight w:val="255"/>
          <w:jc w:val="center"/>
        </w:trPr>
        <w:tc>
          <w:tcPr>
            <w:tcW w:w="2220" w:type="dxa"/>
            <w:tcBorders>
              <w:top w:val="nil"/>
              <w:left w:val="nil"/>
              <w:bottom w:val="nil"/>
              <w:right w:val="nil"/>
            </w:tcBorders>
            <w:shd w:val="clear" w:color="auto" w:fill="auto"/>
            <w:noWrap/>
            <w:vAlign w:val="center"/>
            <w:hideMark/>
          </w:tcPr>
          <w:p w14:paraId="457B13C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DB1F1E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BD-rate</w:t>
            </w:r>
          </w:p>
        </w:tc>
      </w:tr>
      <w:tr w:rsidR="00E62454" w:rsidRPr="00E62454" w14:paraId="3F643FE1" w14:textId="77777777" w:rsidTr="00281156">
        <w:trPr>
          <w:trHeight w:val="255"/>
          <w:jc w:val="center"/>
        </w:trPr>
        <w:tc>
          <w:tcPr>
            <w:tcW w:w="2220" w:type="dxa"/>
            <w:tcBorders>
              <w:top w:val="nil"/>
              <w:left w:val="nil"/>
              <w:bottom w:val="nil"/>
              <w:right w:val="nil"/>
            </w:tcBorders>
            <w:shd w:val="clear" w:color="auto" w:fill="auto"/>
            <w:noWrap/>
            <w:vAlign w:val="center"/>
            <w:hideMark/>
          </w:tcPr>
          <w:p w14:paraId="6E1E07D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09" w:type="dxa"/>
            <w:tcBorders>
              <w:top w:val="nil"/>
              <w:left w:val="single" w:sz="8" w:space="0" w:color="auto"/>
              <w:bottom w:val="single" w:sz="8" w:space="0" w:color="auto"/>
              <w:right w:val="nil"/>
            </w:tcBorders>
            <w:shd w:val="clear" w:color="auto" w:fill="auto"/>
            <w:noWrap/>
            <w:vAlign w:val="center"/>
            <w:hideMark/>
          </w:tcPr>
          <w:p w14:paraId="112076E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DE100</w:t>
            </w:r>
          </w:p>
        </w:tc>
        <w:tc>
          <w:tcPr>
            <w:tcW w:w="1339" w:type="dxa"/>
            <w:tcBorders>
              <w:top w:val="nil"/>
              <w:left w:val="nil"/>
              <w:bottom w:val="single" w:sz="8" w:space="0" w:color="auto"/>
              <w:right w:val="nil"/>
            </w:tcBorders>
            <w:shd w:val="clear" w:color="auto" w:fill="auto"/>
            <w:noWrap/>
            <w:vAlign w:val="center"/>
            <w:hideMark/>
          </w:tcPr>
          <w:p w14:paraId="257EA96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PSNRL100</w:t>
            </w:r>
          </w:p>
        </w:tc>
        <w:tc>
          <w:tcPr>
            <w:tcW w:w="936" w:type="dxa"/>
            <w:tcBorders>
              <w:top w:val="nil"/>
              <w:left w:val="single" w:sz="4" w:space="0" w:color="auto"/>
              <w:bottom w:val="single" w:sz="8" w:space="0" w:color="auto"/>
              <w:right w:val="nil"/>
            </w:tcBorders>
            <w:shd w:val="clear" w:color="auto" w:fill="auto"/>
            <w:noWrap/>
            <w:vAlign w:val="center"/>
            <w:hideMark/>
          </w:tcPr>
          <w:p w14:paraId="0734B4D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wPsnrY</w:t>
            </w:r>
            <w:proofErr w:type="spellEnd"/>
          </w:p>
        </w:tc>
        <w:tc>
          <w:tcPr>
            <w:tcW w:w="1008" w:type="dxa"/>
            <w:tcBorders>
              <w:top w:val="nil"/>
              <w:left w:val="nil"/>
              <w:bottom w:val="single" w:sz="8" w:space="0" w:color="auto"/>
              <w:right w:val="nil"/>
            </w:tcBorders>
            <w:shd w:val="clear" w:color="auto" w:fill="auto"/>
            <w:noWrap/>
            <w:vAlign w:val="center"/>
            <w:hideMark/>
          </w:tcPr>
          <w:p w14:paraId="0C09BA2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wPsnrU</w:t>
            </w:r>
            <w:proofErr w:type="spellEnd"/>
          </w:p>
        </w:tc>
        <w:tc>
          <w:tcPr>
            <w:tcW w:w="1008" w:type="dxa"/>
            <w:tcBorders>
              <w:top w:val="nil"/>
              <w:left w:val="nil"/>
              <w:bottom w:val="single" w:sz="8" w:space="0" w:color="auto"/>
              <w:right w:val="single" w:sz="4" w:space="0" w:color="auto"/>
            </w:tcBorders>
            <w:shd w:val="clear" w:color="auto" w:fill="auto"/>
            <w:noWrap/>
            <w:vAlign w:val="center"/>
            <w:hideMark/>
          </w:tcPr>
          <w:p w14:paraId="6C381AA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wPsnrV</w:t>
            </w:r>
            <w:proofErr w:type="spellEnd"/>
          </w:p>
        </w:tc>
      </w:tr>
      <w:tr w:rsidR="00E62454" w:rsidRPr="00E62454" w14:paraId="239CBC9E" w14:textId="77777777" w:rsidTr="00281156">
        <w:trPr>
          <w:trHeight w:val="255"/>
          <w:jc w:val="center"/>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03F37D4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Market</w:t>
            </w:r>
          </w:p>
        </w:tc>
        <w:tc>
          <w:tcPr>
            <w:tcW w:w="1009" w:type="dxa"/>
            <w:tcBorders>
              <w:top w:val="nil"/>
              <w:left w:val="single" w:sz="8" w:space="0" w:color="auto"/>
              <w:bottom w:val="nil"/>
              <w:right w:val="nil"/>
            </w:tcBorders>
            <w:shd w:val="clear" w:color="000000" w:fill="CCFFCC"/>
            <w:noWrap/>
            <w:vAlign w:val="center"/>
            <w:hideMark/>
          </w:tcPr>
          <w:p w14:paraId="2F199470"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-6.85%</w:t>
            </w:r>
          </w:p>
        </w:tc>
        <w:tc>
          <w:tcPr>
            <w:tcW w:w="1339" w:type="dxa"/>
            <w:tcBorders>
              <w:top w:val="nil"/>
              <w:left w:val="nil"/>
              <w:bottom w:val="nil"/>
              <w:right w:val="nil"/>
            </w:tcBorders>
            <w:shd w:val="clear" w:color="auto" w:fill="auto"/>
            <w:noWrap/>
            <w:vAlign w:val="center"/>
            <w:hideMark/>
          </w:tcPr>
          <w:p w14:paraId="0360546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0.55%</w:t>
            </w:r>
          </w:p>
        </w:tc>
        <w:tc>
          <w:tcPr>
            <w:tcW w:w="936" w:type="dxa"/>
            <w:tcBorders>
              <w:top w:val="nil"/>
              <w:left w:val="single" w:sz="8" w:space="0" w:color="auto"/>
              <w:bottom w:val="nil"/>
              <w:right w:val="nil"/>
            </w:tcBorders>
            <w:shd w:val="clear" w:color="auto" w:fill="auto"/>
            <w:noWrap/>
            <w:vAlign w:val="center"/>
            <w:hideMark/>
          </w:tcPr>
          <w:p w14:paraId="21927A0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0.54%</w:t>
            </w:r>
          </w:p>
        </w:tc>
        <w:tc>
          <w:tcPr>
            <w:tcW w:w="1008" w:type="dxa"/>
            <w:tcBorders>
              <w:top w:val="nil"/>
              <w:left w:val="nil"/>
              <w:bottom w:val="nil"/>
              <w:right w:val="nil"/>
            </w:tcBorders>
            <w:shd w:val="clear" w:color="000000" w:fill="CCFFCC"/>
            <w:noWrap/>
            <w:vAlign w:val="center"/>
            <w:hideMark/>
          </w:tcPr>
          <w:p w14:paraId="0B5F9E55"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-14.49%</w:t>
            </w:r>
          </w:p>
        </w:tc>
        <w:tc>
          <w:tcPr>
            <w:tcW w:w="1008" w:type="dxa"/>
            <w:tcBorders>
              <w:top w:val="nil"/>
              <w:left w:val="nil"/>
              <w:bottom w:val="nil"/>
              <w:right w:val="nil"/>
            </w:tcBorders>
            <w:shd w:val="clear" w:color="000000" w:fill="CCFFCC"/>
            <w:noWrap/>
            <w:vAlign w:val="center"/>
            <w:hideMark/>
          </w:tcPr>
          <w:p w14:paraId="6E49E32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-14.79%</w:t>
            </w:r>
          </w:p>
        </w:tc>
      </w:tr>
      <w:tr w:rsidR="00E62454" w:rsidRPr="00E62454" w14:paraId="631C9B3C"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4EFCC4B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SunRise</w:t>
            </w:r>
            <w:proofErr w:type="spellEnd"/>
          </w:p>
        </w:tc>
        <w:tc>
          <w:tcPr>
            <w:tcW w:w="1009" w:type="dxa"/>
            <w:tcBorders>
              <w:top w:val="nil"/>
              <w:left w:val="single" w:sz="8" w:space="0" w:color="auto"/>
              <w:bottom w:val="nil"/>
              <w:right w:val="nil"/>
            </w:tcBorders>
            <w:shd w:val="clear" w:color="000000" w:fill="CCFFCC"/>
            <w:noWrap/>
            <w:vAlign w:val="center"/>
            <w:hideMark/>
          </w:tcPr>
          <w:p w14:paraId="5212F5E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-7.32%</w:t>
            </w:r>
          </w:p>
        </w:tc>
        <w:tc>
          <w:tcPr>
            <w:tcW w:w="1339" w:type="dxa"/>
            <w:tcBorders>
              <w:top w:val="nil"/>
              <w:left w:val="nil"/>
              <w:bottom w:val="nil"/>
              <w:right w:val="nil"/>
            </w:tcBorders>
            <w:shd w:val="clear" w:color="auto" w:fill="auto"/>
            <w:noWrap/>
            <w:vAlign w:val="center"/>
            <w:hideMark/>
          </w:tcPr>
          <w:p w14:paraId="3C7131F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0.76%</w:t>
            </w:r>
          </w:p>
        </w:tc>
        <w:tc>
          <w:tcPr>
            <w:tcW w:w="936" w:type="dxa"/>
            <w:tcBorders>
              <w:top w:val="nil"/>
              <w:left w:val="single" w:sz="8" w:space="0" w:color="auto"/>
              <w:bottom w:val="nil"/>
              <w:right w:val="nil"/>
            </w:tcBorders>
            <w:shd w:val="clear" w:color="auto" w:fill="auto"/>
            <w:noWrap/>
            <w:vAlign w:val="center"/>
            <w:hideMark/>
          </w:tcPr>
          <w:p w14:paraId="5D973C7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0.82%</w:t>
            </w:r>
          </w:p>
        </w:tc>
        <w:tc>
          <w:tcPr>
            <w:tcW w:w="1008" w:type="dxa"/>
            <w:tcBorders>
              <w:top w:val="nil"/>
              <w:left w:val="nil"/>
              <w:bottom w:val="nil"/>
              <w:right w:val="nil"/>
            </w:tcBorders>
            <w:shd w:val="clear" w:color="000000" w:fill="CCFFCC"/>
            <w:noWrap/>
            <w:vAlign w:val="center"/>
            <w:hideMark/>
          </w:tcPr>
          <w:p w14:paraId="0DF718E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-8.49%</w:t>
            </w:r>
          </w:p>
        </w:tc>
        <w:tc>
          <w:tcPr>
            <w:tcW w:w="1008" w:type="dxa"/>
            <w:tcBorders>
              <w:top w:val="nil"/>
              <w:left w:val="nil"/>
              <w:bottom w:val="nil"/>
              <w:right w:val="nil"/>
            </w:tcBorders>
            <w:shd w:val="clear" w:color="000000" w:fill="CCFFCC"/>
            <w:noWrap/>
            <w:vAlign w:val="center"/>
            <w:hideMark/>
          </w:tcPr>
          <w:p w14:paraId="5B839CA0"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-16.15%</w:t>
            </w:r>
          </w:p>
        </w:tc>
      </w:tr>
      <w:tr w:rsidR="00E62454" w:rsidRPr="00E62454" w14:paraId="0B8DC5AE"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5B7C495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ShowGirl2</w:t>
            </w:r>
          </w:p>
        </w:tc>
        <w:tc>
          <w:tcPr>
            <w:tcW w:w="1009" w:type="dxa"/>
            <w:tcBorders>
              <w:top w:val="nil"/>
              <w:left w:val="nil"/>
              <w:bottom w:val="nil"/>
              <w:right w:val="nil"/>
            </w:tcBorders>
            <w:shd w:val="clear" w:color="auto" w:fill="auto"/>
            <w:noWrap/>
            <w:vAlign w:val="center"/>
            <w:hideMark/>
          </w:tcPr>
          <w:p w14:paraId="4A15F10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0.33%</w:t>
            </w:r>
          </w:p>
        </w:tc>
        <w:tc>
          <w:tcPr>
            <w:tcW w:w="1339" w:type="dxa"/>
            <w:tcBorders>
              <w:top w:val="nil"/>
              <w:left w:val="nil"/>
              <w:bottom w:val="nil"/>
              <w:right w:val="nil"/>
            </w:tcBorders>
            <w:shd w:val="clear" w:color="auto" w:fill="auto"/>
            <w:noWrap/>
            <w:vAlign w:val="center"/>
            <w:hideMark/>
          </w:tcPr>
          <w:p w14:paraId="46CBBD3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-0.20%</w:t>
            </w:r>
          </w:p>
        </w:tc>
        <w:tc>
          <w:tcPr>
            <w:tcW w:w="936" w:type="dxa"/>
            <w:tcBorders>
              <w:top w:val="nil"/>
              <w:left w:val="single" w:sz="8" w:space="0" w:color="auto"/>
              <w:bottom w:val="nil"/>
              <w:right w:val="nil"/>
            </w:tcBorders>
            <w:shd w:val="clear" w:color="auto" w:fill="auto"/>
            <w:noWrap/>
            <w:vAlign w:val="center"/>
            <w:hideMark/>
          </w:tcPr>
          <w:p w14:paraId="112762A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-0.28%</w:t>
            </w:r>
          </w:p>
        </w:tc>
        <w:tc>
          <w:tcPr>
            <w:tcW w:w="1008" w:type="dxa"/>
            <w:tcBorders>
              <w:top w:val="nil"/>
              <w:left w:val="nil"/>
              <w:bottom w:val="nil"/>
              <w:right w:val="nil"/>
            </w:tcBorders>
            <w:shd w:val="clear" w:color="auto" w:fill="auto"/>
            <w:noWrap/>
            <w:vAlign w:val="center"/>
            <w:hideMark/>
          </w:tcPr>
          <w:p w14:paraId="2F00F29E"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-1.08%</w:t>
            </w:r>
          </w:p>
        </w:tc>
        <w:tc>
          <w:tcPr>
            <w:tcW w:w="1008" w:type="dxa"/>
            <w:tcBorders>
              <w:top w:val="nil"/>
              <w:left w:val="nil"/>
              <w:bottom w:val="nil"/>
              <w:right w:val="nil"/>
            </w:tcBorders>
            <w:shd w:val="clear" w:color="000000" w:fill="FFC7CE"/>
            <w:noWrap/>
            <w:vAlign w:val="center"/>
            <w:hideMark/>
          </w:tcPr>
          <w:p w14:paraId="52686F9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3.72%</w:t>
            </w:r>
          </w:p>
        </w:tc>
      </w:tr>
      <w:tr w:rsidR="00E62454" w:rsidRPr="00E62454" w14:paraId="0DCB0484"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58E5652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BalloonFestival</w:t>
            </w:r>
            <w:proofErr w:type="spellEnd"/>
          </w:p>
        </w:tc>
        <w:tc>
          <w:tcPr>
            <w:tcW w:w="1009" w:type="dxa"/>
            <w:tcBorders>
              <w:top w:val="nil"/>
              <w:left w:val="nil"/>
              <w:bottom w:val="nil"/>
              <w:right w:val="nil"/>
            </w:tcBorders>
            <w:shd w:val="clear" w:color="auto" w:fill="auto"/>
            <w:noWrap/>
            <w:vAlign w:val="center"/>
            <w:hideMark/>
          </w:tcPr>
          <w:p w14:paraId="7367355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-2.08%</w:t>
            </w:r>
          </w:p>
        </w:tc>
        <w:tc>
          <w:tcPr>
            <w:tcW w:w="1339" w:type="dxa"/>
            <w:tcBorders>
              <w:top w:val="nil"/>
              <w:left w:val="nil"/>
              <w:bottom w:val="nil"/>
              <w:right w:val="nil"/>
            </w:tcBorders>
            <w:shd w:val="clear" w:color="auto" w:fill="auto"/>
            <w:noWrap/>
            <w:vAlign w:val="center"/>
            <w:hideMark/>
          </w:tcPr>
          <w:p w14:paraId="5975CA6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0.70%</w:t>
            </w:r>
          </w:p>
        </w:tc>
        <w:tc>
          <w:tcPr>
            <w:tcW w:w="936" w:type="dxa"/>
            <w:tcBorders>
              <w:top w:val="nil"/>
              <w:left w:val="single" w:sz="8" w:space="0" w:color="auto"/>
              <w:bottom w:val="nil"/>
              <w:right w:val="nil"/>
            </w:tcBorders>
            <w:shd w:val="clear" w:color="auto" w:fill="auto"/>
            <w:noWrap/>
            <w:vAlign w:val="center"/>
            <w:hideMark/>
          </w:tcPr>
          <w:p w14:paraId="16E1D69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0.73%</w:t>
            </w:r>
          </w:p>
        </w:tc>
        <w:tc>
          <w:tcPr>
            <w:tcW w:w="1008" w:type="dxa"/>
            <w:tcBorders>
              <w:top w:val="nil"/>
              <w:left w:val="nil"/>
              <w:bottom w:val="nil"/>
              <w:right w:val="nil"/>
            </w:tcBorders>
            <w:shd w:val="clear" w:color="auto" w:fill="auto"/>
            <w:noWrap/>
            <w:vAlign w:val="center"/>
            <w:hideMark/>
          </w:tcPr>
          <w:p w14:paraId="70F303A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-2.15%</w:t>
            </w:r>
          </w:p>
        </w:tc>
        <w:tc>
          <w:tcPr>
            <w:tcW w:w="1008" w:type="dxa"/>
            <w:tcBorders>
              <w:top w:val="nil"/>
              <w:left w:val="nil"/>
              <w:bottom w:val="nil"/>
              <w:right w:val="nil"/>
            </w:tcBorders>
            <w:shd w:val="clear" w:color="auto" w:fill="auto"/>
            <w:noWrap/>
            <w:vAlign w:val="center"/>
            <w:hideMark/>
          </w:tcPr>
          <w:p w14:paraId="35E0D7FE"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-2.27%</w:t>
            </w:r>
          </w:p>
        </w:tc>
      </w:tr>
      <w:tr w:rsidR="00E62454" w:rsidRPr="00E62454" w14:paraId="7D2E2466"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4078FC3E"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Hurdles</w:t>
            </w:r>
          </w:p>
        </w:tc>
        <w:tc>
          <w:tcPr>
            <w:tcW w:w="1009" w:type="dxa"/>
            <w:tcBorders>
              <w:top w:val="nil"/>
              <w:left w:val="single" w:sz="8" w:space="0" w:color="auto"/>
              <w:bottom w:val="nil"/>
              <w:right w:val="nil"/>
            </w:tcBorders>
            <w:shd w:val="clear" w:color="000000" w:fill="CCFFCC"/>
            <w:noWrap/>
            <w:vAlign w:val="center"/>
            <w:hideMark/>
          </w:tcPr>
          <w:p w14:paraId="7C71AA8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-16.17%</w:t>
            </w:r>
          </w:p>
        </w:tc>
        <w:tc>
          <w:tcPr>
            <w:tcW w:w="1339" w:type="dxa"/>
            <w:tcBorders>
              <w:top w:val="nil"/>
              <w:left w:val="nil"/>
              <w:bottom w:val="nil"/>
              <w:right w:val="nil"/>
            </w:tcBorders>
            <w:shd w:val="clear" w:color="auto" w:fill="auto"/>
            <w:noWrap/>
            <w:vAlign w:val="center"/>
            <w:hideMark/>
          </w:tcPr>
          <w:p w14:paraId="2FA77B8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1.83%</w:t>
            </w:r>
          </w:p>
        </w:tc>
        <w:tc>
          <w:tcPr>
            <w:tcW w:w="936" w:type="dxa"/>
            <w:tcBorders>
              <w:top w:val="nil"/>
              <w:left w:val="single" w:sz="8" w:space="0" w:color="auto"/>
              <w:bottom w:val="nil"/>
              <w:right w:val="nil"/>
            </w:tcBorders>
            <w:shd w:val="clear" w:color="auto" w:fill="auto"/>
            <w:noWrap/>
            <w:vAlign w:val="center"/>
            <w:hideMark/>
          </w:tcPr>
          <w:p w14:paraId="473B6B6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1.87%</w:t>
            </w:r>
          </w:p>
        </w:tc>
        <w:tc>
          <w:tcPr>
            <w:tcW w:w="1008" w:type="dxa"/>
            <w:tcBorders>
              <w:top w:val="nil"/>
              <w:left w:val="nil"/>
              <w:bottom w:val="nil"/>
              <w:right w:val="nil"/>
            </w:tcBorders>
            <w:shd w:val="clear" w:color="000000" w:fill="CCFFCC"/>
            <w:noWrap/>
            <w:vAlign w:val="center"/>
            <w:hideMark/>
          </w:tcPr>
          <w:p w14:paraId="4D94E59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-21.77%</w:t>
            </w:r>
          </w:p>
        </w:tc>
        <w:tc>
          <w:tcPr>
            <w:tcW w:w="1008" w:type="dxa"/>
            <w:tcBorders>
              <w:top w:val="nil"/>
              <w:left w:val="nil"/>
              <w:bottom w:val="nil"/>
              <w:right w:val="nil"/>
            </w:tcBorders>
            <w:shd w:val="clear" w:color="000000" w:fill="CCFFCC"/>
            <w:noWrap/>
            <w:vAlign w:val="center"/>
            <w:hideMark/>
          </w:tcPr>
          <w:p w14:paraId="643916D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-25.21%</w:t>
            </w:r>
          </w:p>
        </w:tc>
      </w:tr>
      <w:tr w:rsidR="00E62454" w:rsidRPr="00E62454" w14:paraId="6B61C388"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6E37454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Starting</w:t>
            </w:r>
          </w:p>
        </w:tc>
        <w:tc>
          <w:tcPr>
            <w:tcW w:w="1009" w:type="dxa"/>
            <w:tcBorders>
              <w:top w:val="nil"/>
              <w:left w:val="single" w:sz="8" w:space="0" w:color="auto"/>
              <w:bottom w:val="nil"/>
              <w:right w:val="nil"/>
            </w:tcBorders>
            <w:shd w:val="clear" w:color="000000" w:fill="CCFFCC"/>
            <w:noWrap/>
            <w:vAlign w:val="center"/>
            <w:hideMark/>
          </w:tcPr>
          <w:p w14:paraId="5969A81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-10.59%</w:t>
            </w:r>
          </w:p>
        </w:tc>
        <w:tc>
          <w:tcPr>
            <w:tcW w:w="1339" w:type="dxa"/>
            <w:tcBorders>
              <w:top w:val="nil"/>
              <w:left w:val="nil"/>
              <w:bottom w:val="nil"/>
              <w:right w:val="nil"/>
            </w:tcBorders>
            <w:shd w:val="clear" w:color="auto" w:fill="auto"/>
            <w:noWrap/>
            <w:vAlign w:val="center"/>
            <w:hideMark/>
          </w:tcPr>
          <w:p w14:paraId="456302A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1.37%</w:t>
            </w:r>
          </w:p>
        </w:tc>
        <w:tc>
          <w:tcPr>
            <w:tcW w:w="936" w:type="dxa"/>
            <w:tcBorders>
              <w:top w:val="nil"/>
              <w:left w:val="single" w:sz="8" w:space="0" w:color="auto"/>
              <w:bottom w:val="nil"/>
              <w:right w:val="nil"/>
            </w:tcBorders>
            <w:shd w:val="clear" w:color="auto" w:fill="auto"/>
            <w:noWrap/>
            <w:vAlign w:val="center"/>
            <w:hideMark/>
          </w:tcPr>
          <w:p w14:paraId="0268A6C5"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1.37%</w:t>
            </w:r>
          </w:p>
        </w:tc>
        <w:tc>
          <w:tcPr>
            <w:tcW w:w="1008" w:type="dxa"/>
            <w:tcBorders>
              <w:top w:val="nil"/>
              <w:left w:val="nil"/>
              <w:bottom w:val="nil"/>
              <w:right w:val="nil"/>
            </w:tcBorders>
            <w:shd w:val="clear" w:color="000000" w:fill="CCFFCC"/>
            <w:noWrap/>
            <w:vAlign w:val="center"/>
            <w:hideMark/>
          </w:tcPr>
          <w:p w14:paraId="03D2839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-8.89%</w:t>
            </w:r>
          </w:p>
        </w:tc>
        <w:tc>
          <w:tcPr>
            <w:tcW w:w="1008" w:type="dxa"/>
            <w:tcBorders>
              <w:top w:val="nil"/>
              <w:left w:val="nil"/>
              <w:bottom w:val="nil"/>
              <w:right w:val="nil"/>
            </w:tcBorders>
            <w:shd w:val="clear" w:color="000000" w:fill="CCFFCC"/>
            <w:noWrap/>
            <w:vAlign w:val="center"/>
            <w:hideMark/>
          </w:tcPr>
          <w:p w14:paraId="3E0F489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-11.49%</w:t>
            </w:r>
          </w:p>
        </w:tc>
      </w:tr>
      <w:tr w:rsidR="00E62454" w:rsidRPr="00E62454" w14:paraId="0801B3A0" w14:textId="77777777" w:rsidTr="00281156">
        <w:trPr>
          <w:trHeight w:val="255"/>
          <w:jc w:val="center"/>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209729C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Cosmos1</w:t>
            </w:r>
          </w:p>
        </w:tc>
        <w:tc>
          <w:tcPr>
            <w:tcW w:w="1009" w:type="dxa"/>
            <w:tcBorders>
              <w:top w:val="nil"/>
              <w:left w:val="single" w:sz="8" w:space="0" w:color="auto"/>
              <w:bottom w:val="single" w:sz="8" w:space="0" w:color="auto"/>
              <w:right w:val="nil"/>
            </w:tcBorders>
            <w:shd w:val="clear" w:color="000000" w:fill="FFC7CE"/>
            <w:noWrap/>
            <w:vAlign w:val="center"/>
            <w:hideMark/>
          </w:tcPr>
          <w:p w14:paraId="622A640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3.63%</w:t>
            </w:r>
          </w:p>
        </w:tc>
        <w:tc>
          <w:tcPr>
            <w:tcW w:w="1339" w:type="dxa"/>
            <w:tcBorders>
              <w:top w:val="nil"/>
              <w:left w:val="nil"/>
              <w:bottom w:val="single" w:sz="8" w:space="0" w:color="auto"/>
              <w:right w:val="nil"/>
            </w:tcBorders>
            <w:shd w:val="clear" w:color="auto" w:fill="auto"/>
            <w:noWrap/>
            <w:vAlign w:val="center"/>
            <w:hideMark/>
          </w:tcPr>
          <w:p w14:paraId="0F4C24E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-1.26%</w:t>
            </w:r>
          </w:p>
        </w:tc>
        <w:tc>
          <w:tcPr>
            <w:tcW w:w="936" w:type="dxa"/>
            <w:tcBorders>
              <w:top w:val="nil"/>
              <w:left w:val="single" w:sz="8" w:space="0" w:color="auto"/>
              <w:bottom w:val="single" w:sz="8" w:space="0" w:color="auto"/>
              <w:right w:val="nil"/>
            </w:tcBorders>
            <w:shd w:val="clear" w:color="auto" w:fill="auto"/>
            <w:noWrap/>
            <w:vAlign w:val="center"/>
            <w:hideMark/>
          </w:tcPr>
          <w:p w14:paraId="772F986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-1.29%</w:t>
            </w:r>
          </w:p>
        </w:tc>
        <w:tc>
          <w:tcPr>
            <w:tcW w:w="1008" w:type="dxa"/>
            <w:tcBorders>
              <w:top w:val="nil"/>
              <w:left w:val="nil"/>
              <w:bottom w:val="single" w:sz="8" w:space="0" w:color="auto"/>
              <w:right w:val="nil"/>
            </w:tcBorders>
            <w:shd w:val="clear" w:color="000000" w:fill="FFC7CE"/>
            <w:noWrap/>
            <w:vAlign w:val="center"/>
            <w:hideMark/>
          </w:tcPr>
          <w:p w14:paraId="77F6073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15.38%</w:t>
            </w:r>
          </w:p>
        </w:tc>
        <w:tc>
          <w:tcPr>
            <w:tcW w:w="1008" w:type="dxa"/>
            <w:tcBorders>
              <w:top w:val="nil"/>
              <w:left w:val="nil"/>
              <w:bottom w:val="single" w:sz="8" w:space="0" w:color="auto"/>
              <w:right w:val="nil"/>
            </w:tcBorders>
            <w:shd w:val="clear" w:color="000000" w:fill="FFC7CE"/>
            <w:noWrap/>
            <w:vAlign w:val="center"/>
            <w:hideMark/>
          </w:tcPr>
          <w:p w14:paraId="347F057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23.06%</w:t>
            </w:r>
          </w:p>
        </w:tc>
      </w:tr>
      <w:tr w:rsidR="00E62454" w:rsidRPr="00E62454" w14:paraId="0BFC61DF" w14:textId="77777777" w:rsidTr="00281156">
        <w:trPr>
          <w:trHeight w:val="255"/>
          <w:jc w:val="center"/>
        </w:trPr>
        <w:tc>
          <w:tcPr>
            <w:tcW w:w="2220" w:type="dxa"/>
            <w:tcBorders>
              <w:top w:val="nil"/>
              <w:left w:val="single" w:sz="8" w:space="0" w:color="auto"/>
              <w:bottom w:val="single" w:sz="8" w:space="0" w:color="auto"/>
              <w:right w:val="nil"/>
            </w:tcBorders>
            <w:shd w:val="clear" w:color="auto" w:fill="auto"/>
            <w:noWrap/>
            <w:vAlign w:val="center"/>
            <w:hideMark/>
          </w:tcPr>
          <w:p w14:paraId="4454AB3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Average HDR-B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7F39F9C8"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-5.58%</w:t>
            </w:r>
          </w:p>
        </w:tc>
        <w:tc>
          <w:tcPr>
            <w:tcW w:w="1339" w:type="dxa"/>
            <w:tcBorders>
              <w:top w:val="nil"/>
              <w:left w:val="nil"/>
              <w:bottom w:val="single" w:sz="8" w:space="0" w:color="auto"/>
              <w:right w:val="nil"/>
            </w:tcBorders>
            <w:shd w:val="clear" w:color="auto" w:fill="auto"/>
            <w:noWrap/>
            <w:vAlign w:val="center"/>
            <w:hideMark/>
          </w:tcPr>
          <w:p w14:paraId="6E30577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0.54%</w:t>
            </w:r>
          </w:p>
        </w:tc>
        <w:tc>
          <w:tcPr>
            <w:tcW w:w="936" w:type="dxa"/>
            <w:tcBorders>
              <w:top w:val="nil"/>
              <w:left w:val="single" w:sz="4" w:space="0" w:color="auto"/>
              <w:bottom w:val="single" w:sz="8" w:space="0" w:color="auto"/>
              <w:right w:val="nil"/>
            </w:tcBorders>
            <w:shd w:val="clear" w:color="auto" w:fill="auto"/>
            <w:noWrap/>
            <w:vAlign w:val="center"/>
            <w:hideMark/>
          </w:tcPr>
          <w:p w14:paraId="4F97E94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0.54%</w:t>
            </w:r>
          </w:p>
        </w:tc>
        <w:tc>
          <w:tcPr>
            <w:tcW w:w="1008" w:type="dxa"/>
            <w:tcBorders>
              <w:top w:val="single" w:sz="8" w:space="0" w:color="auto"/>
              <w:left w:val="nil"/>
              <w:bottom w:val="single" w:sz="8" w:space="0" w:color="auto"/>
              <w:right w:val="nil"/>
            </w:tcBorders>
            <w:shd w:val="clear" w:color="000000" w:fill="CCFFCC"/>
            <w:noWrap/>
            <w:vAlign w:val="center"/>
            <w:hideMark/>
          </w:tcPr>
          <w:p w14:paraId="11DC8D6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-5.93%</w:t>
            </w:r>
          </w:p>
        </w:tc>
        <w:tc>
          <w:tcPr>
            <w:tcW w:w="1008" w:type="dxa"/>
            <w:tcBorders>
              <w:top w:val="single" w:sz="8" w:space="0" w:color="auto"/>
              <w:left w:val="nil"/>
              <w:bottom w:val="single" w:sz="8" w:space="0" w:color="auto"/>
              <w:right w:val="single" w:sz="4" w:space="0" w:color="auto"/>
            </w:tcBorders>
            <w:shd w:val="clear" w:color="000000" w:fill="CCFFCC"/>
            <w:noWrap/>
            <w:vAlign w:val="center"/>
            <w:hideMark/>
          </w:tcPr>
          <w:p w14:paraId="5528742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-6.16%</w:t>
            </w:r>
          </w:p>
        </w:tc>
      </w:tr>
      <w:tr w:rsidR="00E62454" w:rsidRPr="00E62454" w14:paraId="1CE75F6E" w14:textId="77777777" w:rsidTr="00281156">
        <w:trPr>
          <w:trHeight w:val="255"/>
          <w:jc w:val="center"/>
        </w:trPr>
        <w:tc>
          <w:tcPr>
            <w:tcW w:w="2220" w:type="dxa"/>
            <w:tcBorders>
              <w:top w:val="nil"/>
              <w:left w:val="single" w:sz="8" w:space="0" w:color="auto"/>
              <w:bottom w:val="nil"/>
              <w:right w:val="nil"/>
            </w:tcBorders>
            <w:shd w:val="clear" w:color="auto" w:fill="auto"/>
            <w:noWrap/>
            <w:vAlign w:val="bottom"/>
            <w:hideMark/>
          </w:tcPr>
          <w:p w14:paraId="6C4364D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 xml:space="preserve">Enc </w:t>
            </w:r>
            <w:proofErr w:type="gramStart"/>
            <w:r w:rsidRPr="00E62454">
              <w:rPr>
                <w:rFonts w:ascii="Arial" w:hAnsi="Arial" w:cs="Arial"/>
                <w:color w:val="000000"/>
                <w:sz w:val="18"/>
                <w:szCs w:val="18"/>
              </w:rPr>
              <w:t>Time[</w:t>
            </w:r>
            <w:proofErr w:type="gramEnd"/>
            <w:r w:rsidRPr="00E62454">
              <w:rPr>
                <w:rFonts w:ascii="Arial" w:hAnsi="Arial" w:cs="Arial"/>
                <w:color w:val="000000"/>
                <w:sz w:val="18"/>
                <w:szCs w:val="18"/>
              </w:rPr>
              <w:t>%]</w:t>
            </w:r>
          </w:p>
        </w:tc>
        <w:tc>
          <w:tcPr>
            <w:tcW w:w="5300" w:type="dxa"/>
            <w:gridSpan w:val="5"/>
            <w:tcBorders>
              <w:top w:val="single" w:sz="8" w:space="0" w:color="auto"/>
              <w:left w:val="single" w:sz="8" w:space="0" w:color="auto"/>
              <w:bottom w:val="nil"/>
              <w:right w:val="nil"/>
            </w:tcBorders>
            <w:shd w:val="clear" w:color="auto" w:fill="auto"/>
            <w:noWrap/>
            <w:vAlign w:val="bottom"/>
            <w:hideMark/>
          </w:tcPr>
          <w:p w14:paraId="7080EBE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96%</w:t>
            </w:r>
          </w:p>
        </w:tc>
      </w:tr>
      <w:tr w:rsidR="00E62454" w:rsidRPr="00E62454" w14:paraId="465ED947" w14:textId="77777777" w:rsidTr="00281156">
        <w:trPr>
          <w:trHeight w:val="255"/>
          <w:jc w:val="center"/>
        </w:trPr>
        <w:tc>
          <w:tcPr>
            <w:tcW w:w="2220" w:type="dxa"/>
            <w:tcBorders>
              <w:top w:val="nil"/>
              <w:left w:val="single" w:sz="8" w:space="0" w:color="auto"/>
              <w:bottom w:val="single" w:sz="8" w:space="0" w:color="auto"/>
              <w:right w:val="nil"/>
            </w:tcBorders>
            <w:shd w:val="clear" w:color="auto" w:fill="auto"/>
            <w:noWrap/>
            <w:vAlign w:val="bottom"/>
            <w:hideMark/>
          </w:tcPr>
          <w:p w14:paraId="7344B655"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 xml:space="preserve">Dec </w:t>
            </w:r>
            <w:proofErr w:type="gramStart"/>
            <w:r w:rsidRPr="00E62454">
              <w:rPr>
                <w:rFonts w:ascii="Arial" w:hAnsi="Arial" w:cs="Arial"/>
                <w:color w:val="000000"/>
                <w:sz w:val="18"/>
                <w:szCs w:val="18"/>
              </w:rPr>
              <w:t>Time[</w:t>
            </w:r>
            <w:proofErr w:type="gramEnd"/>
            <w:r w:rsidRPr="00E62454">
              <w:rPr>
                <w:rFonts w:ascii="Arial" w:hAnsi="Arial" w:cs="Arial"/>
                <w:color w:val="000000"/>
                <w:sz w:val="18"/>
                <w:szCs w:val="18"/>
              </w:rPr>
              <w:t>%]</w:t>
            </w:r>
          </w:p>
        </w:tc>
        <w:tc>
          <w:tcPr>
            <w:tcW w:w="5300" w:type="dxa"/>
            <w:gridSpan w:val="5"/>
            <w:tcBorders>
              <w:top w:val="nil"/>
              <w:left w:val="single" w:sz="8" w:space="0" w:color="auto"/>
              <w:bottom w:val="single" w:sz="8" w:space="0" w:color="auto"/>
              <w:right w:val="nil"/>
            </w:tcBorders>
            <w:shd w:val="clear" w:color="auto" w:fill="auto"/>
            <w:noWrap/>
            <w:vAlign w:val="bottom"/>
            <w:hideMark/>
          </w:tcPr>
          <w:p w14:paraId="2E13BDA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96%</w:t>
            </w:r>
          </w:p>
        </w:tc>
      </w:tr>
    </w:tbl>
    <w:p w14:paraId="59EF4676" w14:textId="7A7D9E3B" w:rsidR="00E62454" w:rsidRDefault="00E62454" w:rsidP="00BC2B05">
      <w:pPr>
        <w:rPr>
          <w:lang w:val="en-CA"/>
        </w:rPr>
      </w:pPr>
    </w:p>
    <w:tbl>
      <w:tblPr>
        <w:tblW w:w="7520" w:type="dxa"/>
        <w:jc w:val="center"/>
        <w:tblLook w:val="04A0" w:firstRow="1" w:lastRow="0" w:firstColumn="1" w:lastColumn="0" w:noHBand="0" w:noVBand="1"/>
      </w:tblPr>
      <w:tblGrid>
        <w:gridCol w:w="2220"/>
        <w:gridCol w:w="1009"/>
        <w:gridCol w:w="1339"/>
        <w:gridCol w:w="936"/>
        <w:gridCol w:w="1008"/>
        <w:gridCol w:w="1008"/>
      </w:tblGrid>
      <w:tr w:rsidR="00E62454" w:rsidRPr="00E62454" w14:paraId="266DA7C3" w14:textId="77777777" w:rsidTr="00281156">
        <w:trPr>
          <w:trHeight w:val="330"/>
          <w:jc w:val="center"/>
        </w:trPr>
        <w:tc>
          <w:tcPr>
            <w:tcW w:w="2220" w:type="dxa"/>
            <w:tcBorders>
              <w:top w:val="nil"/>
              <w:left w:val="nil"/>
              <w:bottom w:val="nil"/>
              <w:right w:val="nil"/>
            </w:tcBorders>
            <w:shd w:val="clear" w:color="auto" w:fill="auto"/>
            <w:noWrap/>
            <w:vAlign w:val="center"/>
            <w:hideMark/>
          </w:tcPr>
          <w:p w14:paraId="74994BE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80156D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 xml:space="preserve">Random </w:t>
            </w:r>
            <w:proofErr w:type="spellStart"/>
            <w:r w:rsidRPr="00E62454">
              <w:rPr>
                <w:rFonts w:ascii="Arial" w:hAnsi="Arial" w:cs="Arial"/>
                <w:b/>
                <w:bCs/>
                <w:color w:val="000000"/>
                <w:sz w:val="18"/>
                <w:szCs w:val="18"/>
              </w:rPr>
              <w:t>Acess</w:t>
            </w:r>
            <w:proofErr w:type="spellEnd"/>
          </w:p>
        </w:tc>
      </w:tr>
      <w:tr w:rsidR="00E62454" w:rsidRPr="00E62454" w14:paraId="529A08F8" w14:textId="77777777" w:rsidTr="00281156">
        <w:trPr>
          <w:trHeight w:val="300"/>
          <w:jc w:val="center"/>
        </w:trPr>
        <w:tc>
          <w:tcPr>
            <w:tcW w:w="2220" w:type="dxa"/>
            <w:tcBorders>
              <w:top w:val="nil"/>
              <w:left w:val="nil"/>
              <w:bottom w:val="nil"/>
              <w:right w:val="nil"/>
            </w:tcBorders>
            <w:shd w:val="clear" w:color="auto" w:fill="auto"/>
            <w:noWrap/>
            <w:vAlign w:val="center"/>
            <w:hideMark/>
          </w:tcPr>
          <w:p w14:paraId="57C9B10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98C3B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Over VTM4 HDR reshaping</w:t>
            </w:r>
          </w:p>
        </w:tc>
      </w:tr>
      <w:tr w:rsidR="00E62454" w:rsidRPr="00E62454" w14:paraId="192E2C0E" w14:textId="77777777" w:rsidTr="00281156">
        <w:trPr>
          <w:trHeight w:val="255"/>
          <w:jc w:val="center"/>
        </w:trPr>
        <w:tc>
          <w:tcPr>
            <w:tcW w:w="2220" w:type="dxa"/>
            <w:tcBorders>
              <w:top w:val="nil"/>
              <w:left w:val="nil"/>
              <w:bottom w:val="nil"/>
              <w:right w:val="nil"/>
            </w:tcBorders>
            <w:shd w:val="clear" w:color="auto" w:fill="auto"/>
            <w:noWrap/>
            <w:vAlign w:val="center"/>
            <w:hideMark/>
          </w:tcPr>
          <w:p w14:paraId="7A56EDB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3EAFE6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t>BD-rate</w:t>
            </w:r>
          </w:p>
        </w:tc>
      </w:tr>
      <w:tr w:rsidR="00E62454" w:rsidRPr="00E62454" w14:paraId="41F9B5C9" w14:textId="77777777" w:rsidTr="00281156">
        <w:trPr>
          <w:trHeight w:val="255"/>
          <w:jc w:val="center"/>
        </w:trPr>
        <w:tc>
          <w:tcPr>
            <w:tcW w:w="2220" w:type="dxa"/>
            <w:tcBorders>
              <w:top w:val="nil"/>
              <w:left w:val="nil"/>
              <w:bottom w:val="nil"/>
              <w:right w:val="nil"/>
            </w:tcBorders>
            <w:shd w:val="clear" w:color="auto" w:fill="auto"/>
            <w:noWrap/>
            <w:vAlign w:val="center"/>
            <w:hideMark/>
          </w:tcPr>
          <w:p w14:paraId="1B5CD3F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09" w:type="dxa"/>
            <w:tcBorders>
              <w:top w:val="nil"/>
              <w:left w:val="single" w:sz="8" w:space="0" w:color="auto"/>
              <w:bottom w:val="single" w:sz="8" w:space="0" w:color="auto"/>
              <w:right w:val="nil"/>
            </w:tcBorders>
            <w:shd w:val="clear" w:color="auto" w:fill="auto"/>
            <w:noWrap/>
            <w:vAlign w:val="center"/>
            <w:hideMark/>
          </w:tcPr>
          <w:p w14:paraId="533BFA5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DE100</w:t>
            </w:r>
          </w:p>
        </w:tc>
        <w:tc>
          <w:tcPr>
            <w:tcW w:w="1339" w:type="dxa"/>
            <w:tcBorders>
              <w:top w:val="nil"/>
              <w:left w:val="nil"/>
              <w:bottom w:val="single" w:sz="8" w:space="0" w:color="auto"/>
              <w:right w:val="nil"/>
            </w:tcBorders>
            <w:shd w:val="clear" w:color="auto" w:fill="auto"/>
            <w:noWrap/>
            <w:vAlign w:val="center"/>
            <w:hideMark/>
          </w:tcPr>
          <w:p w14:paraId="3EFF355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PSNRL100</w:t>
            </w:r>
          </w:p>
        </w:tc>
        <w:tc>
          <w:tcPr>
            <w:tcW w:w="936" w:type="dxa"/>
            <w:tcBorders>
              <w:top w:val="nil"/>
              <w:left w:val="single" w:sz="4" w:space="0" w:color="auto"/>
              <w:bottom w:val="single" w:sz="8" w:space="0" w:color="auto"/>
              <w:right w:val="nil"/>
            </w:tcBorders>
            <w:shd w:val="clear" w:color="auto" w:fill="auto"/>
            <w:noWrap/>
            <w:vAlign w:val="center"/>
            <w:hideMark/>
          </w:tcPr>
          <w:p w14:paraId="5FAD453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wPsnrY</w:t>
            </w:r>
            <w:proofErr w:type="spellEnd"/>
          </w:p>
        </w:tc>
        <w:tc>
          <w:tcPr>
            <w:tcW w:w="1008" w:type="dxa"/>
            <w:tcBorders>
              <w:top w:val="nil"/>
              <w:left w:val="nil"/>
              <w:bottom w:val="single" w:sz="8" w:space="0" w:color="auto"/>
              <w:right w:val="nil"/>
            </w:tcBorders>
            <w:shd w:val="clear" w:color="auto" w:fill="auto"/>
            <w:noWrap/>
            <w:vAlign w:val="center"/>
            <w:hideMark/>
          </w:tcPr>
          <w:p w14:paraId="1545DC5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wPsnrU</w:t>
            </w:r>
            <w:proofErr w:type="spellEnd"/>
          </w:p>
        </w:tc>
        <w:tc>
          <w:tcPr>
            <w:tcW w:w="1008" w:type="dxa"/>
            <w:tcBorders>
              <w:top w:val="nil"/>
              <w:left w:val="nil"/>
              <w:bottom w:val="single" w:sz="8" w:space="0" w:color="auto"/>
              <w:right w:val="single" w:sz="4" w:space="0" w:color="auto"/>
            </w:tcBorders>
            <w:shd w:val="clear" w:color="auto" w:fill="auto"/>
            <w:noWrap/>
            <w:vAlign w:val="center"/>
            <w:hideMark/>
          </w:tcPr>
          <w:p w14:paraId="34231C1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wPsnrV</w:t>
            </w:r>
            <w:proofErr w:type="spellEnd"/>
          </w:p>
        </w:tc>
      </w:tr>
      <w:tr w:rsidR="00E62454" w:rsidRPr="00E62454" w14:paraId="5ED3B64D" w14:textId="77777777" w:rsidTr="00281156">
        <w:trPr>
          <w:trHeight w:val="255"/>
          <w:jc w:val="center"/>
        </w:trPr>
        <w:tc>
          <w:tcPr>
            <w:tcW w:w="2220" w:type="dxa"/>
            <w:tcBorders>
              <w:top w:val="single" w:sz="8" w:space="0" w:color="auto"/>
              <w:left w:val="single" w:sz="8" w:space="0" w:color="auto"/>
              <w:bottom w:val="nil"/>
              <w:right w:val="single" w:sz="8" w:space="0" w:color="auto"/>
            </w:tcBorders>
            <w:shd w:val="clear" w:color="auto" w:fill="auto"/>
            <w:noWrap/>
            <w:vAlign w:val="center"/>
            <w:hideMark/>
          </w:tcPr>
          <w:p w14:paraId="23BFBD88"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Market</w:t>
            </w:r>
          </w:p>
        </w:tc>
        <w:tc>
          <w:tcPr>
            <w:tcW w:w="1009" w:type="dxa"/>
            <w:tcBorders>
              <w:top w:val="nil"/>
              <w:left w:val="single" w:sz="8" w:space="0" w:color="auto"/>
              <w:bottom w:val="nil"/>
              <w:right w:val="nil"/>
            </w:tcBorders>
            <w:shd w:val="clear" w:color="000000" w:fill="CCFFCC"/>
            <w:noWrap/>
            <w:vAlign w:val="center"/>
            <w:hideMark/>
          </w:tcPr>
          <w:p w14:paraId="0DD6D84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-7.10%</w:t>
            </w:r>
          </w:p>
        </w:tc>
        <w:tc>
          <w:tcPr>
            <w:tcW w:w="1339" w:type="dxa"/>
            <w:tcBorders>
              <w:top w:val="nil"/>
              <w:left w:val="nil"/>
              <w:bottom w:val="nil"/>
              <w:right w:val="nil"/>
            </w:tcBorders>
            <w:shd w:val="clear" w:color="auto" w:fill="auto"/>
            <w:noWrap/>
            <w:vAlign w:val="center"/>
            <w:hideMark/>
          </w:tcPr>
          <w:p w14:paraId="06332B4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0.47%</w:t>
            </w:r>
          </w:p>
        </w:tc>
        <w:tc>
          <w:tcPr>
            <w:tcW w:w="936" w:type="dxa"/>
            <w:tcBorders>
              <w:top w:val="nil"/>
              <w:left w:val="single" w:sz="8" w:space="0" w:color="auto"/>
              <w:bottom w:val="nil"/>
              <w:right w:val="nil"/>
            </w:tcBorders>
            <w:shd w:val="clear" w:color="auto" w:fill="auto"/>
            <w:noWrap/>
            <w:vAlign w:val="center"/>
            <w:hideMark/>
          </w:tcPr>
          <w:p w14:paraId="740F16D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0.50%</w:t>
            </w:r>
          </w:p>
        </w:tc>
        <w:tc>
          <w:tcPr>
            <w:tcW w:w="1008" w:type="dxa"/>
            <w:tcBorders>
              <w:top w:val="nil"/>
              <w:left w:val="nil"/>
              <w:bottom w:val="nil"/>
              <w:right w:val="nil"/>
            </w:tcBorders>
            <w:shd w:val="clear" w:color="000000" w:fill="CCFFCC"/>
            <w:noWrap/>
            <w:vAlign w:val="center"/>
            <w:hideMark/>
          </w:tcPr>
          <w:p w14:paraId="01EBC86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-15.61%</w:t>
            </w:r>
          </w:p>
        </w:tc>
        <w:tc>
          <w:tcPr>
            <w:tcW w:w="1008" w:type="dxa"/>
            <w:tcBorders>
              <w:top w:val="nil"/>
              <w:left w:val="nil"/>
              <w:bottom w:val="nil"/>
              <w:right w:val="nil"/>
            </w:tcBorders>
            <w:shd w:val="clear" w:color="000000" w:fill="CCFFCC"/>
            <w:noWrap/>
            <w:vAlign w:val="center"/>
            <w:hideMark/>
          </w:tcPr>
          <w:p w14:paraId="4D73641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-15.63%</w:t>
            </w:r>
          </w:p>
        </w:tc>
      </w:tr>
      <w:tr w:rsidR="00E62454" w:rsidRPr="00E62454" w14:paraId="06DC1E8C"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7B0580A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SunRise</w:t>
            </w:r>
            <w:proofErr w:type="spellEnd"/>
          </w:p>
        </w:tc>
        <w:tc>
          <w:tcPr>
            <w:tcW w:w="1009" w:type="dxa"/>
            <w:tcBorders>
              <w:top w:val="nil"/>
              <w:left w:val="single" w:sz="8" w:space="0" w:color="auto"/>
              <w:bottom w:val="nil"/>
              <w:right w:val="nil"/>
            </w:tcBorders>
            <w:shd w:val="clear" w:color="000000" w:fill="CCFFCC"/>
            <w:noWrap/>
            <w:vAlign w:val="center"/>
            <w:hideMark/>
          </w:tcPr>
          <w:p w14:paraId="1D26BC2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-4.39%</w:t>
            </w:r>
          </w:p>
        </w:tc>
        <w:tc>
          <w:tcPr>
            <w:tcW w:w="1339" w:type="dxa"/>
            <w:tcBorders>
              <w:top w:val="nil"/>
              <w:left w:val="nil"/>
              <w:bottom w:val="nil"/>
              <w:right w:val="nil"/>
            </w:tcBorders>
            <w:shd w:val="clear" w:color="auto" w:fill="auto"/>
            <w:noWrap/>
            <w:vAlign w:val="center"/>
            <w:hideMark/>
          </w:tcPr>
          <w:p w14:paraId="720DD4E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0.61%</w:t>
            </w:r>
          </w:p>
        </w:tc>
        <w:tc>
          <w:tcPr>
            <w:tcW w:w="936" w:type="dxa"/>
            <w:tcBorders>
              <w:top w:val="nil"/>
              <w:left w:val="single" w:sz="8" w:space="0" w:color="auto"/>
              <w:bottom w:val="nil"/>
              <w:right w:val="nil"/>
            </w:tcBorders>
            <w:shd w:val="clear" w:color="auto" w:fill="auto"/>
            <w:noWrap/>
            <w:vAlign w:val="center"/>
            <w:hideMark/>
          </w:tcPr>
          <w:p w14:paraId="17AD717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0.61%</w:t>
            </w:r>
          </w:p>
        </w:tc>
        <w:tc>
          <w:tcPr>
            <w:tcW w:w="1008" w:type="dxa"/>
            <w:tcBorders>
              <w:top w:val="nil"/>
              <w:left w:val="nil"/>
              <w:bottom w:val="nil"/>
              <w:right w:val="nil"/>
            </w:tcBorders>
            <w:shd w:val="clear" w:color="000000" w:fill="CCFFCC"/>
            <w:noWrap/>
            <w:vAlign w:val="center"/>
            <w:hideMark/>
          </w:tcPr>
          <w:p w14:paraId="73E7C50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-7.00%</w:t>
            </w:r>
          </w:p>
        </w:tc>
        <w:tc>
          <w:tcPr>
            <w:tcW w:w="1008" w:type="dxa"/>
            <w:tcBorders>
              <w:top w:val="nil"/>
              <w:left w:val="nil"/>
              <w:bottom w:val="nil"/>
              <w:right w:val="nil"/>
            </w:tcBorders>
            <w:shd w:val="clear" w:color="000000" w:fill="CCFFCC"/>
            <w:noWrap/>
            <w:vAlign w:val="center"/>
            <w:hideMark/>
          </w:tcPr>
          <w:p w14:paraId="1D7E06E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-13.08%</w:t>
            </w:r>
          </w:p>
        </w:tc>
      </w:tr>
      <w:tr w:rsidR="00E62454" w:rsidRPr="00E62454" w14:paraId="4BD0845D"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458C84A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ShowGirl2</w:t>
            </w:r>
          </w:p>
        </w:tc>
        <w:tc>
          <w:tcPr>
            <w:tcW w:w="1009" w:type="dxa"/>
            <w:tcBorders>
              <w:top w:val="nil"/>
              <w:left w:val="nil"/>
              <w:bottom w:val="nil"/>
              <w:right w:val="nil"/>
            </w:tcBorders>
            <w:shd w:val="clear" w:color="auto" w:fill="auto"/>
            <w:noWrap/>
            <w:vAlign w:val="center"/>
            <w:hideMark/>
          </w:tcPr>
          <w:p w14:paraId="3ACAB3F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-2.01%</w:t>
            </w:r>
          </w:p>
        </w:tc>
        <w:tc>
          <w:tcPr>
            <w:tcW w:w="1339" w:type="dxa"/>
            <w:tcBorders>
              <w:top w:val="nil"/>
              <w:left w:val="nil"/>
              <w:bottom w:val="nil"/>
              <w:right w:val="nil"/>
            </w:tcBorders>
            <w:shd w:val="clear" w:color="auto" w:fill="auto"/>
            <w:noWrap/>
            <w:vAlign w:val="center"/>
            <w:hideMark/>
          </w:tcPr>
          <w:p w14:paraId="0D660F4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-0.10%</w:t>
            </w:r>
          </w:p>
        </w:tc>
        <w:tc>
          <w:tcPr>
            <w:tcW w:w="936" w:type="dxa"/>
            <w:tcBorders>
              <w:top w:val="nil"/>
              <w:left w:val="single" w:sz="8" w:space="0" w:color="auto"/>
              <w:bottom w:val="nil"/>
              <w:right w:val="nil"/>
            </w:tcBorders>
            <w:shd w:val="clear" w:color="auto" w:fill="auto"/>
            <w:noWrap/>
            <w:vAlign w:val="center"/>
            <w:hideMark/>
          </w:tcPr>
          <w:p w14:paraId="1F63D6E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-0.05%</w:t>
            </w:r>
          </w:p>
        </w:tc>
        <w:tc>
          <w:tcPr>
            <w:tcW w:w="1008" w:type="dxa"/>
            <w:tcBorders>
              <w:top w:val="nil"/>
              <w:left w:val="nil"/>
              <w:bottom w:val="nil"/>
              <w:right w:val="nil"/>
            </w:tcBorders>
            <w:shd w:val="clear" w:color="000000" w:fill="CCFFCC"/>
            <w:noWrap/>
            <w:vAlign w:val="center"/>
            <w:hideMark/>
          </w:tcPr>
          <w:p w14:paraId="54382EC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-5.24%</w:t>
            </w:r>
          </w:p>
        </w:tc>
        <w:tc>
          <w:tcPr>
            <w:tcW w:w="1008" w:type="dxa"/>
            <w:tcBorders>
              <w:top w:val="nil"/>
              <w:left w:val="nil"/>
              <w:bottom w:val="nil"/>
              <w:right w:val="nil"/>
            </w:tcBorders>
            <w:shd w:val="clear" w:color="000000" w:fill="CCFFCC"/>
            <w:noWrap/>
            <w:vAlign w:val="center"/>
            <w:hideMark/>
          </w:tcPr>
          <w:p w14:paraId="0A67D12E"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-3.64%</w:t>
            </w:r>
          </w:p>
        </w:tc>
      </w:tr>
      <w:tr w:rsidR="00E62454" w:rsidRPr="00E62454" w14:paraId="79787C30"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1972B58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62454">
              <w:rPr>
                <w:rFonts w:ascii="Arial" w:hAnsi="Arial" w:cs="Arial"/>
                <w:color w:val="000000"/>
                <w:sz w:val="18"/>
                <w:szCs w:val="18"/>
              </w:rPr>
              <w:t>BalloonFestival</w:t>
            </w:r>
            <w:proofErr w:type="spellEnd"/>
          </w:p>
        </w:tc>
        <w:tc>
          <w:tcPr>
            <w:tcW w:w="1009" w:type="dxa"/>
            <w:tcBorders>
              <w:top w:val="nil"/>
              <w:left w:val="nil"/>
              <w:bottom w:val="nil"/>
              <w:right w:val="nil"/>
            </w:tcBorders>
            <w:shd w:val="clear" w:color="auto" w:fill="auto"/>
            <w:noWrap/>
            <w:vAlign w:val="center"/>
            <w:hideMark/>
          </w:tcPr>
          <w:p w14:paraId="60AB02C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-1.80%</w:t>
            </w:r>
          </w:p>
        </w:tc>
        <w:tc>
          <w:tcPr>
            <w:tcW w:w="1339" w:type="dxa"/>
            <w:tcBorders>
              <w:top w:val="nil"/>
              <w:left w:val="nil"/>
              <w:bottom w:val="nil"/>
              <w:right w:val="nil"/>
            </w:tcBorders>
            <w:shd w:val="clear" w:color="auto" w:fill="auto"/>
            <w:noWrap/>
            <w:vAlign w:val="center"/>
            <w:hideMark/>
          </w:tcPr>
          <w:p w14:paraId="1B95E34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0.53%</w:t>
            </w:r>
          </w:p>
        </w:tc>
        <w:tc>
          <w:tcPr>
            <w:tcW w:w="936" w:type="dxa"/>
            <w:tcBorders>
              <w:top w:val="nil"/>
              <w:left w:val="single" w:sz="8" w:space="0" w:color="auto"/>
              <w:bottom w:val="nil"/>
              <w:right w:val="nil"/>
            </w:tcBorders>
            <w:shd w:val="clear" w:color="auto" w:fill="auto"/>
            <w:noWrap/>
            <w:vAlign w:val="center"/>
            <w:hideMark/>
          </w:tcPr>
          <w:p w14:paraId="603E19D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0.36%</w:t>
            </w:r>
          </w:p>
        </w:tc>
        <w:tc>
          <w:tcPr>
            <w:tcW w:w="1008" w:type="dxa"/>
            <w:tcBorders>
              <w:top w:val="nil"/>
              <w:left w:val="nil"/>
              <w:bottom w:val="nil"/>
              <w:right w:val="nil"/>
            </w:tcBorders>
            <w:shd w:val="clear" w:color="auto" w:fill="auto"/>
            <w:noWrap/>
            <w:vAlign w:val="center"/>
            <w:hideMark/>
          </w:tcPr>
          <w:p w14:paraId="4971A27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-2.33%</w:t>
            </w:r>
          </w:p>
        </w:tc>
        <w:tc>
          <w:tcPr>
            <w:tcW w:w="1008" w:type="dxa"/>
            <w:tcBorders>
              <w:top w:val="nil"/>
              <w:left w:val="nil"/>
              <w:bottom w:val="nil"/>
              <w:right w:val="nil"/>
            </w:tcBorders>
            <w:shd w:val="clear" w:color="auto" w:fill="auto"/>
            <w:noWrap/>
            <w:vAlign w:val="center"/>
            <w:hideMark/>
          </w:tcPr>
          <w:p w14:paraId="2772C83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-2.06%</w:t>
            </w:r>
          </w:p>
        </w:tc>
      </w:tr>
      <w:tr w:rsidR="00E62454" w:rsidRPr="00E62454" w14:paraId="6FE4E063"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1E4127D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Hurdles</w:t>
            </w:r>
          </w:p>
        </w:tc>
        <w:tc>
          <w:tcPr>
            <w:tcW w:w="1009" w:type="dxa"/>
            <w:tcBorders>
              <w:top w:val="nil"/>
              <w:left w:val="single" w:sz="8" w:space="0" w:color="auto"/>
              <w:bottom w:val="nil"/>
              <w:right w:val="nil"/>
            </w:tcBorders>
            <w:shd w:val="clear" w:color="000000" w:fill="CCFFCC"/>
            <w:noWrap/>
            <w:vAlign w:val="center"/>
            <w:hideMark/>
          </w:tcPr>
          <w:p w14:paraId="44A213E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-10.04%</w:t>
            </w:r>
          </w:p>
        </w:tc>
        <w:tc>
          <w:tcPr>
            <w:tcW w:w="1339" w:type="dxa"/>
            <w:tcBorders>
              <w:top w:val="nil"/>
              <w:left w:val="nil"/>
              <w:bottom w:val="nil"/>
              <w:right w:val="nil"/>
            </w:tcBorders>
            <w:shd w:val="clear" w:color="auto" w:fill="auto"/>
            <w:noWrap/>
            <w:vAlign w:val="center"/>
            <w:hideMark/>
          </w:tcPr>
          <w:p w14:paraId="18E1A87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0.66%</w:t>
            </w:r>
          </w:p>
        </w:tc>
        <w:tc>
          <w:tcPr>
            <w:tcW w:w="936" w:type="dxa"/>
            <w:tcBorders>
              <w:top w:val="nil"/>
              <w:left w:val="single" w:sz="8" w:space="0" w:color="auto"/>
              <w:bottom w:val="nil"/>
              <w:right w:val="nil"/>
            </w:tcBorders>
            <w:shd w:val="clear" w:color="auto" w:fill="auto"/>
            <w:noWrap/>
            <w:vAlign w:val="center"/>
            <w:hideMark/>
          </w:tcPr>
          <w:p w14:paraId="240864CD"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0.64%</w:t>
            </w:r>
          </w:p>
        </w:tc>
        <w:tc>
          <w:tcPr>
            <w:tcW w:w="1008" w:type="dxa"/>
            <w:tcBorders>
              <w:top w:val="nil"/>
              <w:left w:val="nil"/>
              <w:bottom w:val="nil"/>
              <w:right w:val="nil"/>
            </w:tcBorders>
            <w:shd w:val="clear" w:color="000000" w:fill="CCFFCC"/>
            <w:noWrap/>
            <w:vAlign w:val="center"/>
            <w:hideMark/>
          </w:tcPr>
          <w:p w14:paraId="710FCD35"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-14.64%</w:t>
            </w:r>
          </w:p>
        </w:tc>
        <w:tc>
          <w:tcPr>
            <w:tcW w:w="1008" w:type="dxa"/>
            <w:tcBorders>
              <w:top w:val="nil"/>
              <w:left w:val="nil"/>
              <w:bottom w:val="nil"/>
              <w:right w:val="nil"/>
            </w:tcBorders>
            <w:shd w:val="clear" w:color="000000" w:fill="CCFFCC"/>
            <w:noWrap/>
            <w:vAlign w:val="center"/>
            <w:hideMark/>
          </w:tcPr>
          <w:p w14:paraId="06406810"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-14.34%</w:t>
            </w:r>
          </w:p>
        </w:tc>
      </w:tr>
      <w:tr w:rsidR="00E62454" w:rsidRPr="00E62454" w14:paraId="344CE936" w14:textId="77777777" w:rsidTr="00281156">
        <w:trPr>
          <w:trHeight w:val="255"/>
          <w:jc w:val="center"/>
        </w:trPr>
        <w:tc>
          <w:tcPr>
            <w:tcW w:w="2220" w:type="dxa"/>
            <w:tcBorders>
              <w:top w:val="nil"/>
              <w:left w:val="single" w:sz="8" w:space="0" w:color="auto"/>
              <w:bottom w:val="nil"/>
              <w:right w:val="single" w:sz="8" w:space="0" w:color="auto"/>
            </w:tcBorders>
            <w:shd w:val="clear" w:color="auto" w:fill="auto"/>
            <w:noWrap/>
            <w:vAlign w:val="center"/>
            <w:hideMark/>
          </w:tcPr>
          <w:p w14:paraId="3A81271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Starting</w:t>
            </w:r>
          </w:p>
        </w:tc>
        <w:tc>
          <w:tcPr>
            <w:tcW w:w="1009" w:type="dxa"/>
            <w:tcBorders>
              <w:top w:val="nil"/>
              <w:left w:val="single" w:sz="8" w:space="0" w:color="auto"/>
              <w:bottom w:val="nil"/>
              <w:right w:val="nil"/>
            </w:tcBorders>
            <w:shd w:val="clear" w:color="000000" w:fill="CCFFCC"/>
            <w:noWrap/>
            <w:vAlign w:val="center"/>
            <w:hideMark/>
          </w:tcPr>
          <w:p w14:paraId="07C61B7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-8.80%</w:t>
            </w:r>
          </w:p>
        </w:tc>
        <w:tc>
          <w:tcPr>
            <w:tcW w:w="1339" w:type="dxa"/>
            <w:tcBorders>
              <w:top w:val="nil"/>
              <w:left w:val="nil"/>
              <w:bottom w:val="nil"/>
              <w:right w:val="nil"/>
            </w:tcBorders>
            <w:shd w:val="clear" w:color="auto" w:fill="auto"/>
            <w:noWrap/>
            <w:vAlign w:val="center"/>
            <w:hideMark/>
          </w:tcPr>
          <w:p w14:paraId="56176F5A"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1.09%</w:t>
            </w:r>
          </w:p>
        </w:tc>
        <w:tc>
          <w:tcPr>
            <w:tcW w:w="936" w:type="dxa"/>
            <w:tcBorders>
              <w:top w:val="nil"/>
              <w:left w:val="single" w:sz="8" w:space="0" w:color="auto"/>
              <w:bottom w:val="nil"/>
              <w:right w:val="nil"/>
            </w:tcBorders>
            <w:shd w:val="clear" w:color="auto" w:fill="auto"/>
            <w:noWrap/>
            <w:vAlign w:val="center"/>
            <w:hideMark/>
          </w:tcPr>
          <w:p w14:paraId="5C17BD7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1.07%</w:t>
            </w:r>
          </w:p>
        </w:tc>
        <w:tc>
          <w:tcPr>
            <w:tcW w:w="1008" w:type="dxa"/>
            <w:tcBorders>
              <w:top w:val="nil"/>
              <w:left w:val="nil"/>
              <w:bottom w:val="nil"/>
              <w:right w:val="nil"/>
            </w:tcBorders>
            <w:shd w:val="clear" w:color="000000" w:fill="CCFFCC"/>
            <w:noWrap/>
            <w:vAlign w:val="center"/>
            <w:hideMark/>
          </w:tcPr>
          <w:p w14:paraId="15CC5C0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-8.56%</w:t>
            </w:r>
          </w:p>
        </w:tc>
        <w:tc>
          <w:tcPr>
            <w:tcW w:w="1008" w:type="dxa"/>
            <w:tcBorders>
              <w:top w:val="nil"/>
              <w:left w:val="nil"/>
              <w:bottom w:val="nil"/>
              <w:right w:val="nil"/>
            </w:tcBorders>
            <w:shd w:val="clear" w:color="000000" w:fill="CCFFCC"/>
            <w:noWrap/>
            <w:vAlign w:val="center"/>
            <w:hideMark/>
          </w:tcPr>
          <w:p w14:paraId="5BF3D55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-9.25%</w:t>
            </w:r>
          </w:p>
        </w:tc>
      </w:tr>
      <w:tr w:rsidR="00E62454" w:rsidRPr="00E62454" w14:paraId="6BF75AA9" w14:textId="77777777" w:rsidTr="00281156">
        <w:trPr>
          <w:trHeight w:val="255"/>
          <w:jc w:val="center"/>
        </w:trPr>
        <w:tc>
          <w:tcPr>
            <w:tcW w:w="2220" w:type="dxa"/>
            <w:tcBorders>
              <w:top w:val="nil"/>
              <w:left w:val="single" w:sz="8" w:space="0" w:color="auto"/>
              <w:bottom w:val="single" w:sz="8" w:space="0" w:color="auto"/>
              <w:right w:val="single" w:sz="8" w:space="0" w:color="auto"/>
            </w:tcBorders>
            <w:shd w:val="clear" w:color="auto" w:fill="auto"/>
            <w:noWrap/>
            <w:vAlign w:val="center"/>
            <w:hideMark/>
          </w:tcPr>
          <w:p w14:paraId="059B9EB4"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Cosmos1</w:t>
            </w:r>
          </w:p>
        </w:tc>
        <w:tc>
          <w:tcPr>
            <w:tcW w:w="1009" w:type="dxa"/>
            <w:tcBorders>
              <w:top w:val="nil"/>
              <w:left w:val="nil"/>
              <w:bottom w:val="single" w:sz="8" w:space="0" w:color="auto"/>
              <w:right w:val="nil"/>
            </w:tcBorders>
            <w:shd w:val="clear" w:color="auto" w:fill="auto"/>
            <w:noWrap/>
            <w:vAlign w:val="center"/>
            <w:hideMark/>
          </w:tcPr>
          <w:p w14:paraId="3E2409F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1.85%</w:t>
            </w:r>
          </w:p>
        </w:tc>
        <w:tc>
          <w:tcPr>
            <w:tcW w:w="1339" w:type="dxa"/>
            <w:tcBorders>
              <w:top w:val="nil"/>
              <w:left w:val="nil"/>
              <w:bottom w:val="single" w:sz="8" w:space="0" w:color="auto"/>
              <w:right w:val="nil"/>
            </w:tcBorders>
            <w:shd w:val="clear" w:color="auto" w:fill="auto"/>
            <w:noWrap/>
            <w:vAlign w:val="center"/>
            <w:hideMark/>
          </w:tcPr>
          <w:p w14:paraId="079E8FB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-0.41%</w:t>
            </w:r>
          </w:p>
        </w:tc>
        <w:tc>
          <w:tcPr>
            <w:tcW w:w="936" w:type="dxa"/>
            <w:tcBorders>
              <w:top w:val="nil"/>
              <w:left w:val="single" w:sz="8" w:space="0" w:color="auto"/>
              <w:bottom w:val="single" w:sz="8" w:space="0" w:color="auto"/>
              <w:right w:val="nil"/>
            </w:tcBorders>
            <w:shd w:val="clear" w:color="auto" w:fill="auto"/>
            <w:noWrap/>
            <w:vAlign w:val="center"/>
            <w:hideMark/>
          </w:tcPr>
          <w:p w14:paraId="68FC0A30"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-0.33%</w:t>
            </w:r>
          </w:p>
        </w:tc>
        <w:tc>
          <w:tcPr>
            <w:tcW w:w="1008" w:type="dxa"/>
            <w:tcBorders>
              <w:top w:val="nil"/>
              <w:left w:val="nil"/>
              <w:bottom w:val="single" w:sz="8" w:space="0" w:color="auto"/>
              <w:right w:val="nil"/>
            </w:tcBorders>
            <w:shd w:val="clear" w:color="000000" w:fill="FFC7CE"/>
            <w:noWrap/>
            <w:vAlign w:val="center"/>
            <w:hideMark/>
          </w:tcPr>
          <w:p w14:paraId="281FC1CF"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5.68%</w:t>
            </w:r>
          </w:p>
        </w:tc>
        <w:tc>
          <w:tcPr>
            <w:tcW w:w="1008" w:type="dxa"/>
            <w:tcBorders>
              <w:top w:val="nil"/>
              <w:left w:val="nil"/>
              <w:bottom w:val="single" w:sz="8" w:space="0" w:color="auto"/>
              <w:right w:val="nil"/>
            </w:tcBorders>
            <w:shd w:val="clear" w:color="000000" w:fill="FFC7CE"/>
            <w:noWrap/>
            <w:vAlign w:val="center"/>
            <w:hideMark/>
          </w:tcPr>
          <w:p w14:paraId="655AEB07"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11.05%</w:t>
            </w:r>
          </w:p>
        </w:tc>
      </w:tr>
      <w:tr w:rsidR="00E62454" w:rsidRPr="00E62454" w14:paraId="3CD2786B" w14:textId="77777777" w:rsidTr="00281156">
        <w:trPr>
          <w:trHeight w:val="255"/>
          <w:jc w:val="center"/>
        </w:trPr>
        <w:tc>
          <w:tcPr>
            <w:tcW w:w="2220" w:type="dxa"/>
            <w:tcBorders>
              <w:top w:val="nil"/>
              <w:left w:val="single" w:sz="8" w:space="0" w:color="auto"/>
              <w:bottom w:val="single" w:sz="8" w:space="0" w:color="auto"/>
              <w:right w:val="nil"/>
            </w:tcBorders>
            <w:shd w:val="clear" w:color="auto" w:fill="auto"/>
            <w:noWrap/>
            <w:vAlign w:val="center"/>
            <w:hideMark/>
          </w:tcPr>
          <w:p w14:paraId="0B5DED8C"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62454">
              <w:rPr>
                <w:rFonts w:ascii="Arial" w:hAnsi="Arial" w:cs="Arial"/>
                <w:b/>
                <w:bCs/>
                <w:color w:val="000000"/>
                <w:sz w:val="18"/>
                <w:szCs w:val="18"/>
              </w:rPr>
              <w:lastRenderedPageBreak/>
              <w:t>Average HDR-B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2D6ED9E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-4.61%</w:t>
            </w:r>
          </w:p>
        </w:tc>
        <w:tc>
          <w:tcPr>
            <w:tcW w:w="1339" w:type="dxa"/>
            <w:tcBorders>
              <w:top w:val="nil"/>
              <w:left w:val="nil"/>
              <w:bottom w:val="single" w:sz="8" w:space="0" w:color="auto"/>
              <w:right w:val="nil"/>
            </w:tcBorders>
            <w:shd w:val="clear" w:color="auto" w:fill="auto"/>
            <w:noWrap/>
            <w:vAlign w:val="center"/>
            <w:hideMark/>
          </w:tcPr>
          <w:p w14:paraId="10AADFD8"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0.41%</w:t>
            </w:r>
          </w:p>
        </w:tc>
        <w:tc>
          <w:tcPr>
            <w:tcW w:w="936" w:type="dxa"/>
            <w:tcBorders>
              <w:top w:val="nil"/>
              <w:left w:val="single" w:sz="4" w:space="0" w:color="auto"/>
              <w:bottom w:val="single" w:sz="8" w:space="0" w:color="auto"/>
              <w:right w:val="nil"/>
            </w:tcBorders>
            <w:shd w:val="clear" w:color="auto" w:fill="auto"/>
            <w:noWrap/>
            <w:vAlign w:val="center"/>
            <w:hideMark/>
          </w:tcPr>
          <w:p w14:paraId="065A2249"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0.40%</w:t>
            </w:r>
          </w:p>
        </w:tc>
        <w:tc>
          <w:tcPr>
            <w:tcW w:w="1008" w:type="dxa"/>
            <w:tcBorders>
              <w:top w:val="single" w:sz="8" w:space="0" w:color="auto"/>
              <w:left w:val="nil"/>
              <w:bottom w:val="single" w:sz="8" w:space="0" w:color="auto"/>
              <w:right w:val="nil"/>
            </w:tcBorders>
            <w:shd w:val="clear" w:color="000000" w:fill="CCFFCC"/>
            <w:noWrap/>
            <w:vAlign w:val="center"/>
            <w:hideMark/>
          </w:tcPr>
          <w:p w14:paraId="4AE20291"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-6.81%</w:t>
            </w:r>
          </w:p>
        </w:tc>
        <w:tc>
          <w:tcPr>
            <w:tcW w:w="1008" w:type="dxa"/>
            <w:tcBorders>
              <w:top w:val="single" w:sz="8" w:space="0" w:color="auto"/>
              <w:left w:val="nil"/>
              <w:bottom w:val="single" w:sz="8" w:space="0" w:color="auto"/>
              <w:right w:val="single" w:sz="4" w:space="0" w:color="auto"/>
            </w:tcBorders>
            <w:shd w:val="clear" w:color="000000" w:fill="CCFFCC"/>
            <w:noWrap/>
            <w:vAlign w:val="center"/>
            <w:hideMark/>
          </w:tcPr>
          <w:p w14:paraId="5B89496B"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62454">
              <w:rPr>
                <w:rFonts w:ascii="Arial" w:hAnsi="Arial" w:cs="Arial"/>
                <w:sz w:val="18"/>
                <w:szCs w:val="18"/>
              </w:rPr>
              <w:t>-6.71%</w:t>
            </w:r>
          </w:p>
        </w:tc>
      </w:tr>
      <w:tr w:rsidR="00E62454" w:rsidRPr="00E62454" w14:paraId="49CB4F5F" w14:textId="77777777" w:rsidTr="00281156">
        <w:trPr>
          <w:trHeight w:val="255"/>
          <w:jc w:val="center"/>
        </w:trPr>
        <w:tc>
          <w:tcPr>
            <w:tcW w:w="2220" w:type="dxa"/>
            <w:tcBorders>
              <w:top w:val="nil"/>
              <w:left w:val="single" w:sz="8" w:space="0" w:color="auto"/>
              <w:bottom w:val="nil"/>
              <w:right w:val="nil"/>
            </w:tcBorders>
            <w:shd w:val="clear" w:color="auto" w:fill="auto"/>
            <w:noWrap/>
            <w:vAlign w:val="bottom"/>
            <w:hideMark/>
          </w:tcPr>
          <w:p w14:paraId="716285F2"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 xml:space="preserve">Enc </w:t>
            </w:r>
            <w:proofErr w:type="gramStart"/>
            <w:r w:rsidRPr="00E62454">
              <w:rPr>
                <w:rFonts w:ascii="Arial" w:hAnsi="Arial" w:cs="Arial"/>
                <w:color w:val="000000"/>
                <w:sz w:val="18"/>
                <w:szCs w:val="18"/>
              </w:rPr>
              <w:t>Time[</w:t>
            </w:r>
            <w:proofErr w:type="gramEnd"/>
            <w:r w:rsidRPr="00E62454">
              <w:rPr>
                <w:rFonts w:ascii="Arial" w:hAnsi="Arial" w:cs="Arial"/>
                <w:color w:val="000000"/>
                <w:sz w:val="18"/>
                <w:szCs w:val="18"/>
              </w:rPr>
              <w:t>%]</w:t>
            </w:r>
          </w:p>
        </w:tc>
        <w:tc>
          <w:tcPr>
            <w:tcW w:w="5300" w:type="dxa"/>
            <w:gridSpan w:val="5"/>
            <w:tcBorders>
              <w:top w:val="single" w:sz="8" w:space="0" w:color="auto"/>
              <w:left w:val="single" w:sz="8" w:space="0" w:color="auto"/>
              <w:bottom w:val="nil"/>
              <w:right w:val="nil"/>
            </w:tcBorders>
            <w:shd w:val="clear" w:color="auto" w:fill="auto"/>
            <w:noWrap/>
            <w:vAlign w:val="bottom"/>
            <w:hideMark/>
          </w:tcPr>
          <w:p w14:paraId="6BB99663"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98%</w:t>
            </w:r>
          </w:p>
        </w:tc>
      </w:tr>
      <w:tr w:rsidR="00E62454" w:rsidRPr="00E62454" w14:paraId="1F8AD55B" w14:textId="77777777" w:rsidTr="00281156">
        <w:trPr>
          <w:trHeight w:val="255"/>
          <w:jc w:val="center"/>
        </w:trPr>
        <w:tc>
          <w:tcPr>
            <w:tcW w:w="2220" w:type="dxa"/>
            <w:tcBorders>
              <w:top w:val="nil"/>
              <w:left w:val="single" w:sz="8" w:space="0" w:color="auto"/>
              <w:bottom w:val="single" w:sz="8" w:space="0" w:color="auto"/>
              <w:right w:val="nil"/>
            </w:tcBorders>
            <w:shd w:val="clear" w:color="auto" w:fill="auto"/>
            <w:noWrap/>
            <w:vAlign w:val="bottom"/>
            <w:hideMark/>
          </w:tcPr>
          <w:p w14:paraId="17B0CFA6"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 xml:space="preserve">Dec </w:t>
            </w:r>
            <w:proofErr w:type="gramStart"/>
            <w:r w:rsidRPr="00E62454">
              <w:rPr>
                <w:rFonts w:ascii="Arial" w:hAnsi="Arial" w:cs="Arial"/>
                <w:color w:val="000000"/>
                <w:sz w:val="18"/>
                <w:szCs w:val="18"/>
              </w:rPr>
              <w:t>Time[</w:t>
            </w:r>
            <w:proofErr w:type="gramEnd"/>
            <w:r w:rsidRPr="00E62454">
              <w:rPr>
                <w:rFonts w:ascii="Arial" w:hAnsi="Arial" w:cs="Arial"/>
                <w:color w:val="000000"/>
                <w:sz w:val="18"/>
                <w:szCs w:val="18"/>
              </w:rPr>
              <w:t>%]</w:t>
            </w:r>
          </w:p>
        </w:tc>
        <w:tc>
          <w:tcPr>
            <w:tcW w:w="5300" w:type="dxa"/>
            <w:gridSpan w:val="5"/>
            <w:tcBorders>
              <w:top w:val="nil"/>
              <w:left w:val="single" w:sz="8" w:space="0" w:color="auto"/>
              <w:bottom w:val="single" w:sz="8" w:space="0" w:color="auto"/>
              <w:right w:val="nil"/>
            </w:tcBorders>
            <w:shd w:val="clear" w:color="auto" w:fill="auto"/>
            <w:noWrap/>
            <w:vAlign w:val="bottom"/>
            <w:hideMark/>
          </w:tcPr>
          <w:p w14:paraId="751AC880" w14:textId="77777777" w:rsidR="00E62454" w:rsidRPr="00E62454" w:rsidRDefault="00E62454" w:rsidP="00E62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62454">
              <w:rPr>
                <w:rFonts w:ascii="Arial" w:hAnsi="Arial" w:cs="Arial"/>
                <w:color w:val="000000"/>
                <w:sz w:val="18"/>
                <w:szCs w:val="18"/>
              </w:rPr>
              <w:t>97%</w:t>
            </w:r>
          </w:p>
        </w:tc>
      </w:tr>
    </w:tbl>
    <w:p w14:paraId="3B90920F" w14:textId="63410F2F" w:rsidR="00C51EEB" w:rsidRDefault="00C51EEB" w:rsidP="00BC2B05">
      <w:pPr>
        <w:rPr>
          <w:lang w:val="en-CA"/>
        </w:rPr>
      </w:pPr>
    </w:p>
    <w:p w14:paraId="5F3E2CAB" w14:textId="5434CDE4" w:rsidR="00B615FE" w:rsidRDefault="00B615FE" w:rsidP="00B615FE">
      <w:pPr>
        <w:rPr>
          <w:lang w:val="en-CA"/>
        </w:rPr>
      </w:pPr>
      <w:r>
        <w:rPr>
          <w:lang w:val="en-CA"/>
        </w:rPr>
        <w:t xml:space="preserve">In addition, the table below present results for HDR using as anchor the </w:t>
      </w:r>
      <w:r w:rsidRPr="00D43390">
        <w:rPr>
          <w:b/>
          <w:lang w:val="en-CA"/>
        </w:rPr>
        <w:t xml:space="preserve">VTM4.0 with reshaping off and adaptive luma-based </w:t>
      </w:r>
      <w:proofErr w:type="spellStart"/>
      <w:r w:rsidRPr="00D43390">
        <w:rPr>
          <w:b/>
          <w:lang w:val="en-CA"/>
        </w:rPr>
        <w:t>dQP</w:t>
      </w:r>
      <w:proofErr w:type="spellEnd"/>
      <w:r w:rsidRPr="00D43390">
        <w:rPr>
          <w:b/>
          <w:lang w:val="en-CA"/>
        </w:rPr>
        <w:t xml:space="preserve"> on</w:t>
      </w:r>
      <w:r w:rsidR="00281156">
        <w:rPr>
          <w:b/>
          <w:lang w:val="en-CA"/>
        </w:rPr>
        <w:t>,</w:t>
      </w:r>
      <w:r w:rsidR="00281156" w:rsidRPr="00281156">
        <w:rPr>
          <w:lang w:val="en-CA"/>
        </w:rPr>
        <w:t xml:space="preserve"> </w:t>
      </w:r>
      <w:r w:rsidR="00281156">
        <w:rPr>
          <w:lang w:val="en-CA"/>
        </w:rPr>
        <w:t>in RA configuration</w:t>
      </w:r>
      <w:r>
        <w:rPr>
          <w:lang w:val="en-CA"/>
        </w:rPr>
        <w:t>. Performance of the VTM4.0 with reshaping on, and of the current, are presented. It is observed that using this proposal, the chroma is improved (</w:t>
      </w:r>
      <w:r w:rsidR="006C5E96">
        <w:rPr>
          <w:lang w:val="en-CA"/>
        </w:rPr>
        <w:t>5.2</w:t>
      </w:r>
      <w:r>
        <w:rPr>
          <w:lang w:val="en-CA"/>
        </w:rPr>
        <w:t xml:space="preserve">% improvement in DE100, 8% in </w:t>
      </w:r>
      <w:proofErr w:type="spellStart"/>
      <w:r>
        <w:rPr>
          <w:lang w:val="en-CA"/>
        </w:rPr>
        <w:t>wPSNR</w:t>
      </w:r>
      <w:proofErr w:type="spellEnd"/>
      <w:r>
        <w:rPr>
          <w:lang w:val="en-CA"/>
        </w:rPr>
        <w:t>-U/V), while the luma gain is around 1.4% - 1.5%.</w:t>
      </w:r>
    </w:p>
    <w:p w14:paraId="39C09194" w14:textId="2B9DAFF6" w:rsidR="00281156" w:rsidRDefault="00281156" w:rsidP="00B615FE">
      <w:pPr>
        <w:rPr>
          <w:lang w:val="en-CA"/>
        </w:rPr>
      </w:pPr>
    </w:p>
    <w:tbl>
      <w:tblPr>
        <w:tblW w:w="7550" w:type="dxa"/>
        <w:jc w:val="center"/>
        <w:tblLook w:val="04A0" w:firstRow="1" w:lastRow="0" w:firstColumn="1" w:lastColumn="0" w:noHBand="0" w:noVBand="1"/>
      </w:tblPr>
      <w:tblGrid>
        <w:gridCol w:w="3466"/>
        <w:gridCol w:w="810"/>
        <w:gridCol w:w="810"/>
        <w:gridCol w:w="810"/>
        <w:gridCol w:w="827"/>
        <w:gridCol w:w="827"/>
      </w:tblGrid>
      <w:tr w:rsidR="00281156" w:rsidRPr="001B32CF" w14:paraId="06A50957" w14:textId="77777777" w:rsidTr="001B32CF">
        <w:trPr>
          <w:trHeight w:val="315"/>
          <w:jc w:val="center"/>
        </w:trPr>
        <w:tc>
          <w:tcPr>
            <w:tcW w:w="3500" w:type="dxa"/>
            <w:tcBorders>
              <w:top w:val="nil"/>
              <w:bottom w:val="single" w:sz="4" w:space="0" w:color="auto"/>
              <w:right w:val="single" w:sz="4" w:space="0" w:color="auto"/>
            </w:tcBorders>
            <w:shd w:val="clear" w:color="auto" w:fill="auto"/>
            <w:vAlign w:val="bottom"/>
            <w:hideMark/>
          </w:tcPr>
          <w:p w14:paraId="5A717FBC"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 </w:t>
            </w:r>
          </w:p>
        </w:tc>
        <w:tc>
          <w:tcPr>
            <w:tcW w:w="810" w:type="dxa"/>
            <w:tcBorders>
              <w:top w:val="single" w:sz="4" w:space="0" w:color="auto"/>
              <w:left w:val="single" w:sz="4" w:space="0" w:color="auto"/>
              <w:bottom w:val="single" w:sz="8" w:space="0" w:color="auto"/>
              <w:right w:val="nil"/>
            </w:tcBorders>
            <w:shd w:val="clear" w:color="auto" w:fill="auto"/>
            <w:noWrap/>
            <w:vAlign w:val="bottom"/>
            <w:hideMark/>
          </w:tcPr>
          <w:p w14:paraId="6D39356D"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DE100</w:t>
            </w:r>
          </w:p>
        </w:tc>
        <w:tc>
          <w:tcPr>
            <w:tcW w:w="810" w:type="dxa"/>
            <w:tcBorders>
              <w:top w:val="single" w:sz="4" w:space="0" w:color="auto"/>
              <w:left w:val="nil"/>
              <w:bottom w:val="single" w:sz="8" w:space="0" w:color="auto"/>
              <w:right w:val="nil"/>
            </w:tcBorders>
            <w:shd w:val="clear" w:color="auto" w:fill="auto"/>
            <w:noWrap/>
            <w:vAlign w:val="bottom"/>
            <w:hideMark/>
          </w:tcPr>
          <w:p w14:paraId="46C393BA"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L100</w:t>
            </w:r>
          </w:p>
        </w:tc>
        <w:tc>
          <w:tcPr>
            <w:tcW w:w="810" w:type="dxa"/>
            <w:tcBorders>
              <w:top w:val="single" w:sz="4" w:space="0" w:color="auto"/>
              <w:left w:val="nil"/>
              <w:bottom w:val="single" w:sz="8" w:space="0" w:color="auto"/>
              <w:right w:val="nil"/>
            </w:tcBorders>
            <w:shd w:val="clear" w:color="auto" w:fill="auto"/>
            <w:noWrap/>
            <w:vAlign w:val="bottom"/>
            <w:hideMark/>
          </w:tcPr>
          <w:p w14:paraId="58072D98"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roofErr w:type="spellStart"/>
            <w:r w:rsidRPr="00281156">
              <w:rPr>
                <w:rFonts w:ascii="Arial" w:hAnsi="Arial" w:cs="Arial"/>
                <w:bCs/>
                <w:color w:val="000000"/>
                <w:sz w:val="18"/>
                <w:szCs w:val="18"/>
              </w:rPr>
              <w:t>wY</w:t>
            </w:r>
            <w:proofErr w:type="spellEnd"/>
          </w:p>
        </w:tc>
        <w:tc>
          <w:tcPr>
            <w:tcW w:w="810" w:type="dxa"/>
            <w:tcBorders>
              <w:top w:val="single" w:sz="4" w:space="0" w:color="auto"/>
              <w:left w:val="nil"/>
              <w:bottom w:val="single" w:sz="8" w:space="0" w:color="auto"/>
              <w:right w:val="nil"/>
            </w:tcBorders>
            <w:shd w:val="clear" w:color="auto" w:fill="auto"/>
            <w:noWrap/>
            <w:vAlign w:val="bottom"/>
            <w:hideMark/>
          </w:tcPr>
          <w:p w14:paraId="266D170F"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roofErr w:type="spellStart"/>
            <w:r w:rsidRPr="00281156">
              <w:rPr>
                <w:rFonts w:ascii="Arial" w:hAnsi="Arial" w:cs="Arial"/>
                <w:bCs/>
                <w:color w:val="000000"/>
                <w:sz w:val="18"/>
                <w:szCs w:val="18"/>
              </w:rPr>
              <w:t>wU</w:t>
            </w:r>
            <w:proofErr w:type="spellEnd"/>
          </w:p>
        </w:tc>
        <w:tc>
          <w:tcPr>
            <w:tcW w:w="810" w:type="dxa"/>
            <w:tcBorders>
              <w:top w:val="single" w:sz="4" w:space="0" w:color="auto"/>
              <w:left w:val="nil"/>
              <w:bottom w:val="single" w:sz="8" w:space="0" w:color="auto"/>
              <w:right w:val="single" w:sz="8" w:space="0" w:color="auto"/>
            </w:tcBorders>
            <w:shd w:val="clear" w:color="auto" w:fill="auto"/>
            <w:noWrap/>
            <w:vAlign w:val="bottom"/>
            <w:hideMark/>
          </w:tcPr>
          <w:p w14:paraId="421A5112" w14:textId="77777777" w:rsidR="00281156" w:rsidRPr="00281156" w:rsidRDefault="00281156" w:rsidP="002811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proofErr w:type="spellStart"/>
            <w:r w:rsidRPr="00281156">
              <w:rPr>
                <w:rFonts w:ascii="Arial" w:hAnsi="Arial" w:cs="Arial"/>
                <w:bCs/>
                <w:color w:val="000000"/>
                <w:sz w:val="18"/>
                <w:szCs w:val="18"/>
              </w:rPr>
              <w:t>wV</w:t>
            </w:r>
            <w:proofErr w:type="spellEnd"/>
          </w:p>
        </w:tc>
      </w:tr>
      <w:tr w:rsidR="003F00D5" w:rsidRPr="001B32CF" w14:paraId="21BDE0CD" w14:textId="77777777" w:rsidTr="001B32CF">
        <w:trPr>
          <w:trHeight w:val="60"/>
          <w:jc w:val="center"/>
        </w:trPr>
        <w:tc>
          <w:tcPr>
            <w:tcW w:w="3500" w:type="dxa"/>
            <w:tcBorders>
              <w:top w:val="single" w:sz="4" w:space="0" w:color="auto"/>
              <w:left w:val="single" w:sz="8" w:space="0" w:color="auto"/>
              <w:bottom w:val="single" w:sz="8" w:space="0" w:color="auto"/>
              <w:right w:val="single" w:sz="8" w:space="0" w:color="auto"/>
            </w:tcBorders>
            <w:shd w:val="clear" w:color="auto" w:fill="auto"/>
            <w:vAlign w:val="bottom"/>
            <w:hideMark/>
          </w:tcPr>
          <w:p w14:paraId="3B57AF45" w14:textId="3E9479C3" w:rsidR="003F00D5" w:rsidRPr="001B32CF"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 xml:space="preserve">VTM4.0 </w:t>
            </w:r>
            <w:proofErr w:type="spellStart"/>
            <w:r w:rsidRPr="00281156">
              <w:rPr>
                <w:rFonts w:ascii="Arial" w:hAnsi="Arial" w:cs="Arial"/>
                <w:bCs/>
                <w:color w:val="000000"/>
                <w:sz w:val="18"/>
                <w:szCs w:val="18"/>
              </w:rPr>
              <w:t>reshap</w:t>
            </w:r>
            <w:proofErr w:type="spellEnd"/>
            <w:r w:rsidRPr="001B32CF">
              <w:rPr>
                <w:rFonts w:ascii="Arial" w:hAnsi="Arial" w:cs="Arial"/>
                <w:bCs/>
                <w:color w:val="000000"/>
                <w:sz w:val="18"/>
                <w:szCs w:val="18"/>
              </w:rPr>
              <w:t xml:space="preserve"> ON</w:t>
            </w:r>
            <w:r w:rsidRPr="00281156">
              <w:rPr>
                <w:rFonts w:ascii="Arial" w:hAnsi="Arial" w:cs="Arial"/>
                <w:bCs/>
                <w:color w:val="000000"/>
                <w:sz w:val="18"/>
                <w:szCs w:val="18"/>
              </w:rPr>
              <w:t xml:space="preserve"> LQP </w:t>
            </w:r>
            <w:r w:rsidRPr="001B32CF">
              <w:rPr>
                <w:rFonts w:ascii="Arial" w:hAnsi="Arial" w:cs="Arial"/>
                <w:bCs/>
                <w:color w:val="000000"/>
                <w:sz w:val="18"/>
                <w:szCs w:val="18"/>
              </w:rPr>
              <w:t>OFF</w:t>
            </w:r>
            <w:r w:rsidRPr="00281156">
              <w:rPr>
                <w:rFonts w:ascii="Arial" w:hAnsi="Arial" w:cs="Arial"/>
                <w:bCs/>
                <w:color w:val="000000"/>
                <w:sz w:val="18"/>
                <w:szCs w:val="18"/>
              </w:rPr>
              <w:t xml:space="preserve"> </w:t>
            </w:r>
            <w:r>
              <w:rPr>
                <w:rFonts w:ascii="Arial" w:hAnsi="Arial" w:cs="Arial"/>
                <w:bCs/>
                <w:color w:val="000000"/>
                <w:sz w:val="18"/>
                <w:szCs w:val="18"/>
              </w:rPr>
              <w:t xml:space="preserve">   </w:t>
            </w:r>
            <w:r w:rsidRPr="00281156">
              <w:rPr>
                <w:rFonts w:ascii="Arial" w:hAnsi="Arial" w:cs="Arial"/>
                <w:bCs/>
                <w:color w:val="000000"/>
                <w:sz w:val="18"/>
                <w:szCs w:val="18"/>
              </w:rPr>
              <w:t xml:space="preserve">vs   </w:t>
            </w:r>
          </w:p>
          <w:p w14:paraId="0464145E" w14:textId="1FA5B9C6"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 xml:space="preserve">VTM4.0 </w:t>
            </w:r>
            <w:proofErr w:type="spellStart"/>
            <w:r w:rsidRPr="00281156">
              <w:rPr>
                <w:rFonts w:ascii="Arial" w:hAnsi="Arial" w:cs="Arial"/>
                <w:bCs/>
                <w:color w:val="000000"/>
                <w:sz w:val="18"/>
                <w:szCs w:val="18"/>
              </w:rPr>
              <w:t>reshap</w:t>
            </w:r>
            <w:proofErr w:type="spellEnd"/>
            <w:r w:rsidRPr="001B32CF">
              <w:rPr>
                <w:rFonts w:ascii="Arial" w:hAnsi="Arial" w:cs="Arial"/>
                <w:bCs/>
                <w:color w:val="000000"/>
                <w:sz w:val="18"/>
                <w:szCs w:val="18"/>
              </w:rPr>
              <w:t xml:space="preserve"> OFF</w:t>
            </w:r>
            <w:r w:rsidRPr="00281156">
              <w:rPr>
                <w:rFonts w:ascii="Arial" w:hAnsi="Arial" w:cs="Arial"/>
                <w:bCs/>
                <w:color w:val="000000"/>
                <w:sz w:val="18"/>
                <w:szCs w:val="18"/>
              </w:rPr>
              <w:t xml:space="preserve"> LQP </w:t>
            </w:r>
            <w:r w:rsidRPr="001B32CF">
              <w:rPr>
                <w:rFonts w:ascii="Arial" w:hAnsi="Arial" w:cs="Arial"/>
                <w:bCs/>
                <w:color w:val="000000"/>
                <w:sz w:val="18"/>
                <w:szCs w:val="18"/>
              </w:rPr>
              <w:t>ON</w:t>
            </w:r>
            <w:r w:rsidRPr="00281156">
              <w:rPr>
                <w:rFonts w:ascii="Arial" w:hAnsi="Arial" w:cs="Arial"/>
                <w:bCs/>
                <w:color w:val="000000"/>
                <w:sz w:val="18"/>
                <w:szCs w:val="18"/>
              </w:rPr>
              <w:t xml:space="preserve">   </w:t>
            </w:r>
          </w:p>
        </w:tc>
        <w:tc>
          <w:tcPr>
            <w:tcW w:w="810" w:type="dxa"/>
            <w:tcBorders>
              <w:top w:val="nil"/>
              <w:left w:val="nil"/>
              <w:bottom w:val="single" w:sz="8" w:space="0" w:color="auto"/>
              <w:right w:val="nil"/>
            </w:tcBorders>
            <w:shd w:val="clear" w:color="000000" w:fill="FFC7CE"/>
            <w:noWrap/>
            <w:vAlign w:val="center"/>
            <w:hideMark/>
          </w:tcPr>
          <w:p w14:paraId="7BF871FB" w14:textId="02DFC907"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sz w:val="18"/>
                <w:szCs w:val="18"/>
              </w:rPr>
              <w:t>7.70%</w:t>
            </w:r>
          </w:p>
        </w:tc>
        <w:tc>
          <w:tcPr>
            <w:tcW w:w="810" w:type="dxa"/>
            <w:tcBorders>
              <w:top w:val="nil"/>
              <w:left w:val="nil"/>
              <w:bottom w:val="single" w:sz="8" w:space="0" w:color="auto"/>
              <w:right w:val="nil"/>
            </w:tcBorders>
            <w:shd w:val="clear" w:color="auto" w:fill="auto"/>
            <w:noWrap/>
            <w:vAlign w:val="center"/>
            <w:hideMark/>
          </w:tcPr>
          <w:p w14:paraId="0539A55F" w14:textId="6BCE09A8"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color w:val="000000"/>
                <w:sz w:val="18"/>
                <w:szCs w:val="18"/>
              </w:rPr>
              <w:t>-1.93%</w:t>
            </w:r>
          </w:p>
        </w:tc>
        <w:tc>
          <w:tcPr>
            <w:tcW w:w="810" w:type="dxa"/>
            <w:tcBorders>
              <w:top w:val="nil"/>
              <w:left w:val="nil"/>
              <w:bottom w:val="single" w:sz="8" w:space="0" w:color="auto"/>
              <w:right w:val="nil"/>
            </w:tcBorders>
            <w:shd w:val="clear" w:color="auto" w:fill="auto"/>
            <w:noWrap/>
            <w:vAlign w:val="center"/>
            <w:hideMark/>
          </w:tcPr>
          <w:p w14:paraId="0F89D24E" w14:textId="1AD59BEE"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color w:val="000000"/>
                <w:sz w:val="18"/>
                <w:szCs w:val="18"/>
              </w:rPr>
              <w:t>-1.83%</w:t>
            </w:r>
          </w:p>
        </w:tc>
        <w:tc>
          <w:tcPr>
            <w:tcW w:w="810" w:type="dxa"/>
            <w:tcBorders>
              <w:top w:val="nil"/>
              <w:left w:val="nil"/>
              <w:bottom w:val="single" w:sz="8" w:space="0" w:color="auto"/>
              <w:right w:val="nil"/>
            </w:tcBorders>
            <w:shd w:val="clear" w:color="000000" w:fill="FFC7CE"/>
            <w:noWrap/>
            <w:vAlign w:val="center"/>
            <w:hideMark/>
          </w:tcPr>
          <w:p w14:paraId="3555B4EE" w14:textId="13E162EC"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sz w:val="18"/>
                <w:szCs w:val="18"/>
              </w:rPr>
              <w:t>10.98%</w:t>
            </w:r>
          </w:p>
        </w:tc>
        <w:tc>
          <w:tcPr>
            <w:tcW w:w="810" w:type="dxa"/>
            <w:tcBorders>
              <w:top w:val="nil"/>
              <w:left w:val="nil"/>
              <w:bottom w:val="single" w:sz="8" w:space="0" w:color="auto"/>
              <w:right w:val="single" w:sz="8" w:space="0" w:color="auto"/>
            </w:tcBorders>
            <w:shd w:val="clear" w:color="000000" w:fill="FFC7CE"/>
            <w:noWrap/>
            <w:vAlign w:val="center"/>
            <w:hideMark/>
          </w:tcPr>
          <w:p w14:paraId="340AE9F3" w14:textId="3F8BCF54" w:rsidR="003F00D5" w:rsidRPr="00281156" w:rsidRDefault="003F00D5" w:rsidP="003F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sz w:val="18"/>
                <w:szCs w:val="18"/>
              </w:rPr>
              <w:t>12.76%</w:t>
            </w:r>
          </w:p>
        </w:tc>
      </w:tr>
      <w:tr w:rsidR="001B32CF" w:rsidRPr="001B32CF" w14:paraId="3A498A89" w14:textId="77777777" w:rsidTr="001B32CF">
        <w:trPr>
          <w:trHeight w:val="60"/>
          <w:jc w:val="center"/>
        </w:trPr>
        <w:tc>
          <w:tcPr>
            <w:tcW w:w="3500" w:type="dxa"/>
            <w:tcBorders>
              <w:top w:val="nil"/>
              <w:left w:val="single" w:sz="8" w:space="0" w:color="auto"/>
              <w:bottom w:val="single" w:sz="8" w:space="0" w:color="auto"/>
              <w:right w:val="single" w:sz="8" w:space="0" w:color="auto"/>
            </w:tcBorders>
            <w:shd w:val="clear" w:color="auto" w:fill="auto"/>
            <w:vAlign w:val="bottom"/>
            <w:hideMark/>
          </w:tcPr>
          <w:p w14:paraId="0C65E3EE" w14:textId="70A074DA"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281156">
              <w:rPr>
                <w:rFonts w:ascii="Arial" w:hAnsi="Arial" w:cs="Arial"/>
                <w:bCs/>
                <w:color w:val="000000"/>
                <w:sz w:val="18"/>
                <w:szCs w:val="18"/>
              </w:rPr>
              <w:t xml:space="preserve">proposal </w:t>
            </w:r>
            <w:r>
              <w:rPr>
                <w:rFonts w:ascii="Arial" w:hAnsi="Arial" w:cs="Arial"/>
                <w:bCs/>
                <w:color w:val="000000"/>
                <w:sz w:val="18"/>
                <w:szCs w:val="18"/>
              </w:rPr>
              <w:t xml:space="preserve">    </w:t>
            </w:r>
            <w:r w:rsidRPr="00281156">
              <w:rPr>
                <w:rFonts w:ascii="Arial" w:hAnsi="Arial" w:cs="Arial"/>
                <w:bCs/>
                <w:color w:val="000000"/>
                <w:sz w:val="18"/>
                <w:szCs w:val="18"/>
              </w:rPr>
              <w:t xml:space="preserve">vs </w:t>
            </w:r>
            <w:r w:rsidRPr="00281156">
              <w:rPr>
                <w:rFonts w:ascii="Arial" w:hAnsi="Arial" w:cs="Arial"/>
                <w:bCs/>
                <w:color w:val="000000"/>
                <w:sz w:val="18"/>
                <w:szCs w:val="18"/>
              </w:rPr>
              <w:br/>
              <w:t xml:space="preserve">VTM4.0 </w:t>
            </w:r>
            <w:proofErr w:type="spellStart"/>
            <w:r w:rsidRPr="00281156">
              <w:rPr>
                <w:rFonts w:ascii="Arial" w:hAnsi="Arial" w:cs="Arial"/>
                <w:bCs/>
                <w:color w:val="000000"/>
                <w:sz w:val="18"/>
                <w:szCs w:val="18"/>
              </w:rPr>
              <w:t>reshap</w:t>
            </w:r>
            <w:proofErr w:type="spellEnd"/>
            <w:r w:rsidRPr="00281156">
              <w:rPr>
                <w:rFonts w:ascii="Arial" w:hAnsi="Arial" w:cs="Arial"/>
                <w:bCs/>
                <w:color w:val="000000"/>
                <w:sz w:val="18"/>
                <w:szCs w:val="18"/>
              </w:rPr>
              <w:t xml:space="preserve"> off LQP on</w:t>
            </w:r>
          </w:p>
        </w:tc>
        <w:tc>
          <w:tcPr>
            <w:tcW w:w="810" w:type="dxa"/>
            <w:tcBorders>
              <w:top w:val="nil"/>
              <w:left w:val="nil"/>
              <w:bottom w:val="single" w:sz="8" w:space="0" w:color="auto"/>
              <w:right w:val="nil"/>
            </w:tcBorders>
            <w:shd w:val="clear" w:color="auto" w:fill="auto"/>
            <w:noWrap/>
            <w:vAlign w:val="center"/>
            <w:hideMark/>
          </w:tcPr>
          <w:p w14:paraId="0AA89468" w14:textId="60A6D309"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color w:val="000000"/>
                <w:sz w:val="18"/>
                <w:szCs w:val="18"/>
              </w:rPr>
              <w:t>2.54%</w:t>
            </w:r>
          </w:p>
        </w:tc>
        <w:tc>
          <w:tcPr>
            <w:tcW w:w="810" w:type="dxa"/>
            <w:tcBorders>
              <w:top w:val="nil"/>
              <w:left w:val="nil"/>
              <w:bottom w:val="single" w:sz="8" w:space="0" w:color="auto"/>
              <w:right w:val="nil"/>
            </w:tcBorders>
            <w:shd w:val="clear" w:color="auto" w:fill="auto"/>
            <w:noWrap/>
            <w:vAlign w:val="center"/>
            <w:hideMark/>
          </w:tcPr>
          <w:p w14:paraId="00520CD0" w14:textId="06CA3C1D"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color w:val="000000"/>
                <w:sz w:val="18"/>
                <w:szCs w:val="18"/>
              </w:rPr>
              <w:t>-1.54%</w:t>
            </w:r>
          </w:p>
        </w:tc>
        <w:tc>
          <w:tcPr>
            <w:tcW w:w="810" w:type="dxa"/>
            <w:tcBorders>
              <w:top w:val="nil"/>
              <w:left w:val="nil"/>
              <w:bottom w:val="single" w:sz="8" w:space="0" w:color="auto"/>
              <w:right w:val="nil"/>
            </w:tcBorders>
            <w:shd w:val="clear" w:color="auto" w:fill="auto"/>
            <w:noWrap/>
            <w:vAlign w:val="center"/>
            <w:hideMark/>
          </w:tcPr>
          <w:p w14:paraId="66C22F6C" w14:textId="5CE2965E"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color w:val="000000"/>
                <w:sz w:val="18"/>
                <w:szCs w:val="18"/>
              </w:rPr>
              <w:t>-1.44%</w:t>
            </w:r>
          </w:p>
        </w:tc>
        <w:tc>
          <w:tcPr>
            <w:tcW w:w="810" w:type="dxa"/>
            <w:tcBorders>
              <w:top w:val="nil"/>
              <w:left w:val="nil"/>
              <w:bottom w:val="single" w:sz="8" w:space="0" w:color="auto"/>
              <w:right w:val="nil"/>
            </w:tcBorders>
            <w:shd w:val="clear" w:color="000000" w:fill="FFC7CE"/>
            <w:noWrap/>
            <w:vAlign w:val="center"/>
            <w:hideMark/>
          </w:tcPr>
          <w:p w14:paraId="42A2345A" w14:textId="1596C384"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sz w:val="18"/>
                <w:szCs w:val="18"/>
              </w:rPr>
              <w:t>3.06%</w:t>
            </w:r>
          </w:p>
        </w:tc>
        <w:tc>
          <w:tcPr>
            <w:tcW w:w="810" w:type="dxa"/>
            <w:tcBorders>
              <w:top w:val="nil"/>
              <w:left w:val="nil"/>
              <w:bottom w:val="single" w:sz="8" w:space="0" w:color="auto"/>
              <w:right w:val="single" w:sz="8" w:space="0" w:color="auto"/>
            </w:tcBorders>
            <w:shd w:val="clear" w:color="000000" w:fill="FFC7CE"/>
            <w:noWrap/>
            <w:vAlign w:val="center"/>
            <w:hideMark/>
          </w:tcPr>
          <w:p w14:paraId="63BF3B0F" w14:textId="056E240D" w:rsidR="001B32CF" w:rsidRPr="00281156" w:rsidRDefault="001B32CF" w:rsidP="001B3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Pr>
                <w:rFonts w:ascii="Arial" w:hAnsi="Arial" w:cs="Arial"/>
                <w:sz w:val="18"/>
                <w:szCs w:val="18"/>
              </w:rPr>
              <w:t>4.40%</w:t>
            </w:r>
          </w:p>
        </w:tc>
      </w:tr>
    </w:tbl>
    <w:p w14:paraId="6F4481DF" w14:textId="77777777" w:rsidR="00B615FE" w:rsidRDefault="00B615FE" w:rsidP="00B615FE">
      <w:pPr>
        <w:rPr>
          <w:lang w:val="en-CA"/>
        </w:rPr>
      </w:pPr>
    </w:p>
    <w:p w14:paraId="39F02EFC" w14:textId="19AB50F8" w:rsidR="00236202" w:rsidRDefault="00236202" w:rsidP="00236202">
      <w:pPr>
        <w:pStyle w:val="Heading1"/>
        <w:rPr>
          <w:lang w:val="en-CA"/>
        </w:rPr>
      </w:pPr>
      <w:r>
        <w:rPr>
          <w:lang w:val="en-CA"/>
        </w:rPr>
        <w:t>Conclusion</w:t>
      </w:r>
    </w:p>
    <w:p w14:paraId="0468EE2E" w14:textId="247DA5C8" w:rsidR="00B42A7E" w:rsidRDefault="00444F90" w:rsidP="00B42A7E">
      <w:r>
        <w:rPr>
          <w:lang w:val="en-CA"/>
        </w:rPr>
        <w:t>T</w:t>
      </w:r>
      <w:r w:rsidR="00236202">
        <w:t xml:space="preserve">he proposed </w:t>
      </w:r>
      <w:r>
        <w:t xml:space="preserve">combination results in a simplified and more unified design of </w:t>
      </w:r>
      <w:r>
        <w:rPr>
          <w:lang w:val="en-CA"/>
        </w:rPr>
        <w:t>LMCS</w:t>
      </w:r>
      <w:r w:rsidR="0006235B">
        <w:rPr>
          <w:lang w:val="en-CA"/>
        </w:rPr>
        <w:t>. The design addresses a number of hardware implementation concerns. It also provides a better</w:t>
      </w:r>
      <w:r>
        <w:t xml:space="preserve"> </w:t>
      </w:r>
      <w:r w:rsidR="0006235B">
        <w:t>luma/chroma quality balance, especially in HDR PQ case</w:t>
      </w:r>
      <w:r w:rsidR="00526D99">
        <w:t>.</w:t>
      </w:r>
    </w:p>
    <w:p w14:paraId="3109D6FB" w14:textId="70AFFA52" w:rsidR="00753019" w:rsidRDefault="00753019"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5DE354F" w14:textId="43BD228B" w:rsidR="00F06AE0" w:rsidRDefault="00F06AE0" w:rsidP="00F06AE0">
      <w:pPr>
        <w:rPr>
          <w:szCs w:val="22"/>
          <w:lang w:val="en-CA"/>
        </w:rPr>
      </w:pPr>
      <w:r>
        <w:rPr>
          <w:b/>
          <w:szCs w:val="22"/>
          <w:lang w:val="en-CA"/>
        </w:rPr>
        <w:t>Alibaba</w:t>
      </w:r>
      <w:r w:rsidR="002B257D">
        <w:rPr>
          <w:b/>
          <w:szCs w:val="22"/>
          <w:lang w:val="en-CA"/>
        </w:rPr>
        <w:t xml:space="preserve"> Group</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0D3C45" w14:textId="2079034C" w:rsidR="002B257D" w:rsidRDefault="002B257D" w:rsidP="002B257D">
      <w:pPr>
        <w:rPr>
          <w:szCs w:val="22"/>
          <w:lang w:val="en-CA"/>
        </w:rPr>
      </w:pPr>
      <w:r>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4932">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20B9B" w14:textId="77777777" w:rsidR="00B44306" w:rsidRDefault="00B44306">
      <w:r>
        <w:separator/>
      </w:r>
    </w:p>
  </w:endnote>
  <w:endnote w:type="continuationSeparator" w:id="0">
    <w:p w14:paraId="3CE4D786" w14:textId="77777777" w:rsidR="00B44306" w:rsidRDefault="00B4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6218E3" w:rsidR="003E3914" w:rsidRPr="00C00DDE" w:rsidRDefault="003E39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C4557">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099C">
      <w:rPr>
        <w:rStyle w:val="PageNumber"/>
        <w:noProof/>
      </w:rPr>
      <w:t>2019-03-22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16C0D" w14:textId="77777777" w:rsidR="00B44306" w:rsidRDefault="00B44306">
      <w:r>
        <w:separator/>
      </w:r>
    </w:p>
  </w:footnote>
  <w:footnote w:type="continuationSeparator" w:id="0">
    <w:p w14:paraId="0C12B37E" w14:textId="77777777" w:rsidR="00B44306" w:rsidRDefault="00B44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71370"/>
    <w:multiLevelType w:val="hybridMultilevel"/>
    <w:tmpl w:val="5EF42FDC"/>
    <w:lvl w:ilvl="0" w:tplc="3EAA50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82611"/>
    <w:multiLevelType w:val="hybridMultilevel"/>
    <w:tmpl w:val="4302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3E185D"/>
    <w:multiLevelType w:val="hybridMultilevel"/>
    <w:tmpl w:val="E45421DA"/>
    <w:lvl w:ilvl="0" w:tplc="03B804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7439B"/>
    <w:multiLevelType w:val="hybridMultilevel"/>
    <w:tmpl w:val="89B0D03C"/>
    <w:lvl w:ilvl="0" w:tplc="0F823DEA">
      <w:numFmt w:val="bullet"/>
      <w:lvlText w:val="-"/>
      <w:lvlJc w:val="left"/>
      <w:pPr>
        <w:ind w:left="720" w:hanging="360"/>
      </w:pPr>
      <w:rPr>
        <w:rFonts w:ascii="Times New Roman" w:eastAsia="Times New Roma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316"/>
    <w:rsid w:val="00007E01"/>
    <w:rsid w:val="000308A3"/>
    <w:rsid w:val="0003122E"/>
    <w:rsid w:val="000458BC"/>
    <w:rsid w:val="00045C41"/>
    <w:rsid w:val="00046C03"/>
    <w:rsid w:val="000509CE"/>
    <w:rsid w:val="00051927"/>
    <w:rsid w:val="00051D13"/>
    <w:rsid w:val="0006102E"/>
    <w:rsid w:val="0006235B"/>
    <w:rsid w:val="00065039"/>
    <w:rsid w:val="0007614F"/>
    <w:rsid w:val="00081398"/>
    <w:rsid w:val="00090C27"/>
    <w:rsid w:val="0009395D"/>
    <w:rsid w:val="00094479"/>
    <w:rsid w:val="000962AC"/>
    <w:rsid w:val="000B0C0F"/>
    <w:rsid w:val="000B1C6B"/>
    <w:rsid w:val="000B4FF9"/>
    <w:rsid w:val="000C09AC"/>
    <w:rsid w:val="000D018A"/>
    <w:rsid w:val="000D1FD0"/>
    <w:rsid w:val="000E00F3"/>
    <w:rsid w:val="000E79FD"/>
    <w:rsid w:val="000F158C"/>
    <w:rsid w:val="000F4DA9"/>
    <w:rsid w:val="000F5674"/>
    <w:rsid w:val="00102F3D"/>
    <w:rsid w:val="0010639C"/>
    <w:rsid w:val="00106723"/>
    <w:rsid w:val="00113BE2"/>
    <w:rsid w:val="00122D4A"/>
    <w:rsid w:val="00122E6B"/>
    <w:rsid w:val="00124E38"/>
    <w:rsid w:val="0012580B"/>
    <w:rsid w:val="00131F90"/>
    <w:rsid w:val="0013458C"/>
    <w:rsid w:val="0013526E"/>
    <w:rsid w:val="00141BD0"/>
    <w:rsid w:val="00146152"/>
    <w:rsid w:val="00150659"/>
    <w:rsid w:val="00152600"/>
    <w:rsid w:val="00155526"/>
    <w:rsid w:val="00171371"/>
    <w:rsid w:val="00175A24"/>
    <w:rsid w:val="001871FE"/>
    <w:rsid w:val="00187E58"/>
    <w:rsid w:val="00192CB0"/>
    <w:rsid w:val="001A297E"/>
    <w:rsid w:val="001A368E"/>
    <w:rsid w:val="001A7329"/>
    <w:rsid w:val="001A792F"/>
    <w:rsid w:val="001B2726"/>
    <w:rsid w:val="001B32CF"/>
    <w:rsid w:val="001B4E28"/>
    <w:rsid w:val="001C3525"/>
    <w:rsid w:val="001C3AFB"/>
    <w:rsid w:val="001D1BD2"/>
    <w:rsid w:val="001E0248"/>
    <w:rsid w:val="001E02BE"/>
    <w:rsid w:val="001E3B37"/>
    <w:rsid w:val="001E7C6B"/>
    <w:rsid w:val="001F17A1"/>
    <w:rsid w:val="001F2594"/>
    <w:rsid w:val="002055A6"/>
    <w:rsid w:val="00206460"/>
    <w:rsid w:val="002069B4"/>
    <w:rsid w:val="00215DFC"/>
    <w:rsid w:val="002212DF"/>
    <w:rsid w:val="00222CD4"/>
    <w:rsid w:val="00225016"/>
    <w:rsid w:val="002253CA"/>
    <w:rsid w:val="002264A6"/>
    <w:rsid w:val="00227BA7"/>
    <w:rsid w:val="0023011C"/>
    <w:rsid w:val="00236202"/>
    <w:rsid w:val="002375C1"/>
    <w:rsid w:val="00244C44"/>
    <w:rsid w:val="00254EF0"/>
    <w:rsid w:val="0025610E"/>
    <w:rsid w:val="00262681"/>
    <w:rsid w:val="00263398"/>
    <w:rsid w:val="00263B99"/>
    <w:rsid w:val="00266F06"/>
    <w:rsid w:val="00275BCF"/>
    <w:rsid w:val="00281156"/>
    <w:rsid w:val="00291E36"/>
    <w:rsid w:val="00292257"/>
    <w:rsid w:val="002A54E0"/>
    <w:rsid w:val="002B1595"/>
    <w:rsid w:val="002B191D"/>
    <w:rsid w:val="002B257D"/>
    <w:rsid w:val="002B2E83"/>
    <w:rsid w:val="002B37DD"/>
    <w:rsid w:val="002B65F4"/>
    <w:rsid w:val="002D0AF6"/>
    <w:rsid w:val="002D43D5"/>
    <w:rsid w:val="002E4400"/>
    <w:rsid w:val="002F164D"/>
    <w:rsid w:val="003021BC"/>
    <w:rsid w:val="00306206"/>
    <w:rsid w:val="00317D85"/>
    <w:rsid w:val="00327C56"/>
    <w:rsid w:val="003315A1"/>
    <w:rsid w:val="003373EC"/>
    <w:rsid w:val="00342FF4"/>
    <w:rsid w:val="00344E5A"/>
    <w:rsid w:val="00346148"/>
    <w:rsid w:val="00347F5D"/>
    <w:rsid w:val="00350D32"/>
    <w:rsid w:val="00353398"/>
    <w:rsid w:val="003669EA"/>
    <w:rsid w:val="003706CC"/>
    <w:rsid w:val="00374F1A"/>
    <w:rsid w:val="00376331"/>
    <w:rsid w:val="00377710"/>
    <w:rsid w:val="003A0B58"/>
    <w:rsid w:val="003A2D8E"/>
    <w:rsid w:val="003A7CE6"/>
    <w:rsid w:val="003B595D"/>
    <w:rsid w:val="003B6AF7"/>
    <w:rsid w:val="003C20E4"/>
    <w:rsid w:val="003C7D9D"/>
    <w:rsid w:val="003D6342"/>
    <w:rsid w:val="003E3914"/>
    <w:rsid w:val="003E678E"/>
    <w:rsid w:val="003E6F90"/>
    <w:rsid w:val="003E73ED"/>
    <w:rsid w:val="003F00D5"/>
    <w:rsid w:val="003F5D0F"/>
    <w:rsid w:val="0040212C"/>
    <w:rsid w:val="00414101"/>
    <w:rsid w:val="004219CF"/>
    <w:rsid w:val="004234F0"/>
    <w:rsid w:val="004253A1"/>
    <w:rsid w:val="00432179"/>
    <w:rsid w:val="00433DDB"/>
    <w:rsid w:val="00434684"/>
    <w:rsid w:val="00435A29"/>
    <w:rsid w:val="00437619"/>
    <w:rsid w:val="00444F90"/>
    <w:rsid w:val="00447F1A"/>
    <w:rsid w:val="00451C0F"/>
    <w:rsid w:val="004605D7"/>
    <w:rsid w:val="00465A1E"/>
    <w:rsid w:val="00473BEE"/>
    <w:rsid w:val="0049445A"/>
    <w:rsid w:val="004A2A63"/>
    <w:rsid w:val="004A36EA"/>
    <w:rsid w:val="004A751C"/>
    <w:rsid w:val="004B210C"/>
    <w:rsid w:val="004B28DA"/>
    <w:rsid w:val="004B6515"/>
    <w:rsid w:val="004D0117"/>
    <w:rsid w:val="004D293A"/>
    <w:rsid w:val="004D405F"/>
    <w:rsid w:val="004E4101"/>
    <w:rsid w:val="004E4F4F"/>
    <w:rsid w:val="004E6789"/>
    <w:rsid w:val="004F0297"/>
    <w:rsid w:val="004F61E3"/>
    <w:rsid w:val="004F63DD"/>
    <w:rsid w:val="004F7B23"/>
    <w:rsid w:val="00502E10"/>
    <w:rsid w:val="0051015C"/>
    <w:rsid w:val="00516CF1"/>
    <w:rsid w:val="00526D99"/>
    <w:rsid w:val="00531AE9"/>
    <w:rsid w:val="00532341"/>
    <w:rsid w:val="005402DF"/>
    <w:rsid w:val="0054460D"/>
    <w:rsid w:val="00550A66"/>
    <w:rsid w:val="005618B7"/>
    <w:rsid w:val="00567EC7"/>
    <w:rsid w:val="00570013"/>
    <w:rsid w:val="005702F8"/>
    <w:rsid w:val="0057201A"/>
    <w:rsid w:val="005753EC"/>
    <w:rsid w:val="00575F06"/>
    <w:rsid w:val="0057625C"/>
    <w:rsid w:val="00576B19"/>
    <w:rsid w:val="005801A2"/>
    <w:rsid w:val="005824D7"/>
    <w:rsid w:val="005828FB"/>
    <w:rsid w:val="00583FD4"/>
    <w:rsid w:val="005905E3"/>
    <w:rsid w:val="005952A5"/>
    <w:rsid w:val="0059570B"/>
    <w:rsid w:val="005A33A1"/>
    <w:rsid w:val="005A475E"/>
    <w:rsid w:val="005B217D"/>
    <w:rsid w:val="005B7694"/>
    <w:rsid w:val="005C385F"/>
    <w:rsid w:val="005D1513"/>
    <w:rsid w:val="005D3580"/>
    <w:rsid w:val="005D6A63"/>
    <w:rsid w:val="005E190E"/>
    <w:rsid w:val="005E1AC6"/>
    <w:rsid w:val="005F6F1B"/>
    <w:rsid w:val="00615995"/>
    <w:rsid w:val="00616155"/>
    <w:rsid w:val="00620499"/>
    <w:rsid w:val="00624962"/>
    <w:rsid w:val="00624B33"/>
    <w:rsid w:val="0063041A"/>
    <w:rsid w:val="00630AA2"/>
    <w:rsid w:val="00632D48"/>
    <w:rsid w:val="00646707"/>
    <w:rsid w:val="00651898"/>
    <w:rsid w:val="00657F7E"/>
    <w:rsid w:val="00662E58"/>
    <w:rsid w:val="006637F2"/>
    <w:rsid w:val="006642A5"/>
    <w:rsid w:val="00664DCF"/>
    <w:rsid w:val="0067021E"/>
    <w:rsid w:val="00671FCB"/>
    <w:rsid w:val="0069455C"/>
    <w:rsid w:val="006B7927"/>
    <w:rsid w:val="006C45F3"/>
    <w:rsid w:val="006C5D39"/>
    <w:rsid w:val="006C5E96"/>
    <w:rsid w:val="006D6D9B"/>
    <w:rsid w:val="006E2810"/>
    <w:rsid w:val="006E446D"/>
    <w:rsid w:val="006E5417"/>
    <w:rsid w:val="006F0794"/>
    <w:rsid w:val="006F2043"/>
    <w:rsid w:val="006F7528"/>
    <w:rsid w:val="007023DE"/>
    <w:rsid w:val="00712F60"/>
    <w:rsid w:val="00720E3B"/>
    <w:rsid w:val="00732BF9"/>
    <w:rsid w:val="0074393F"/>
    <w:rsid w:val="0074520B"/>
    <w:rsid w:val="00745F6B"/>
    <w:rsid w:val="00750DCF"/>
    <w:rsid w:val="0075175B"/>
    <w:rsid w:val="00753019"/>
    <w:rsid w:val="00754484"/>
    <w:rsid w:val="0075585E"/>
    <w:rsid w:val="00756C4F"/>
    <w:rsid w:val="00763B4D"/>
    <w:rsid w:val="00770571"/>
    <w:rsid w:val="007768FF"/>
    <w:rsid w:val="007824D3"/>
    <w:rsid w:val="00786F15"/>
    <w:rsid w:val="007900BD"/>
    <w:rsid w:val="00796EE3"/>
    <w:rsid w:val="007A7D29"/>
    <w:rsid w:val="007B3222"/>
    <w:rsid w:val="007B4670"/>
    <w:rsid w:val="007B4AB8"/>
    <w:rsid w:val="007D1181"/>
    <w:rsid w:val="007D1F2D"/>
    <w:rsid w:val="007D2FA8"/>
    <w:rsid w:val="007D7765"/>
    <w:rsid w:val="007E01A3"/>
    <w:rsid w:val="007E0BFE"/>
    <w:rsid w:val="007E7F23"/>
    <w:rsid w:val="007F1F8B"/>
    <w:rsid w:val="007F67A1"/>
    <w:rsid w:val="00803844"/>
    <w:rsid w:val="00811C05"/>
    <w:rsid w:val="008206C8"/>
    <w:rsid w:val="008266CA"/>
    <w:rsid w:val="00840BAF"/>
    <w:rsid w:val="0086387C"/>
    <w:rsid w:val="00870D6A"/>
    <w:rsid w:val="00872AFE"/>
    <w:rsid w:val="00874A6C"/>
    <w:rsid w:val="00876C65"/>
    <w:rsid w:val="008A1354"/>
    <w:rsid w:val="008A49B1"/>
    <w:rsid w:val="008A4B4C"/>
    <w:rsid w:val="008B0D1C"/>
    <w:rsid w:val="008B3C97"/>
    <w:rsid w:val="008C239F"/>
    <w:rsid w:val="008C60B4"/>
    <w:rsid w:val="008E480C"/>
    <w:rsid w:val="008E5860"/>
    <w:rsid w:val="0090097C"/>
    <w:rsid w:val="00907757"/>
    <w:rsid w:val="00920882"/>
    <w:rsid w:val="009212B0"/>
    <w:rsid w:val="00921FA1"/>
    <w:rsid w:val="009234A5"/>
    <w:rsid w:val="00924932"/>
    <w:rsid w:val="00933453"/>
    <w:rsid w:val="009336F7"/>
    <w:rsid w:val="0093636C"/>
    <w:rsid w:val="009374A7"/>
    <w:rsid w:val="00950DD7"/>
    <w:rsid w:val="009510E5"/>
    <w:rsid w:val="00955F6D"/>
    <w:rsid w:val="009733A4"/>
    <w:rsid w:val="00977C16"/>
    <w:rsid w:val="0098551D"/>
    <w:rsid w:val="00985DCB"/>
    <w:rsid w:val="00987005"/>
    <w:rsid w:val="0099202E"/>
    <w:rsid w:val="0099518F"/>
    <w:rsid w:val="009A0BE9"/>
    <w:rsid w:val="009A523D"/>
    <w:rsid w:val="009A7FDC"/>
    <w:rsid w:val="009B02A1"/>
    <w:rsid w:val="009B3361"/>
    <w:rsid w:val="009B7F3F"/>
    <w:rsid w:val="009C1F79"/>
    <w:rsid w:val="009C4557"/>
    <w:rsid w:val="009D42EC"/>
    <w:rsid w:val="009D7CE6"/>
    <w:rsid w:val="009E59F3"/>
    <w:rsid w:val="009E7381"/>
    <w:rsid w:val="009F496B"/>
    <w:rsid w:val="00A01439"/>
    <w:rsid w:val="00A02E61"/>
    <w:rsid w:val="00A05CFF"/>
    <w:rsid w:val="00A13048"/>
    <w:rsid w:val="00A21CF4"/>
    <w:rsid w:val="00A2408F"/>
    <w:rsid w:val="00A317EB"/>
    <w:rsid w:val="00A428BD"/>
    <w:rsid w:val="00A46843"/>
    <w:rsid w:val="00A56B97"/>
    <w:rsid w:val="00A6093D"/>
    <w:rsid w:val="00A62256"/>
    <w:rsid w:val="00A66EF7"/>
    <w:rsid w:val="00A767DC"/>
    <w:rsid w:val="00A76A6D"/>
    <w:rsid w:val="00A83253"/>
    <w:rsid w:val="00A90D67"/>
    <w:rsid w:val="00AA1554"/>
    <w:rsid w:val="00AA23D0"/>
    <w:rsid w:val="00AA34C9"/>
    <w:rsid w:val="00AA6E84"/>
    <w:rsid w:val="00AB1A1C"/>
    <w:rsid w:val="00AC3EA8"/>
    <w:rsid w:val="00AD05A8"/>
    <w:rsid w:val="00AD663E"/>
    <w:rsid w:val="00AE341B"/>
    <w:rsid w:val="00AF3D61"/>
    <w:rsid w:val="00B01905"/>
    <w:rsid w:val="00B05A7F"/>
    <w:rsid w:val="00B07CA7"/>
    <w:rsid w:val="00B1279A"/>
    <w:rsid w:val="00B15681"/>
    <w:rsid w:val="00B24302"/>
    <w:rsid w:val="00B3640F"/>
    <w:rsid w:val="00B4194A"/>
    <w:rsid w:val="00B42A7E"/>
    <w:rsid w:val="00B437E8"/>
    <w:rsid w:val="00B44306"/>
    <w:rsid w:val="00B5222E"/>
    <w:rsid w:val="00B53179"/>
    <w:rsid w:val="00B57A23"/>
    <w:rsid w:val="00B600CD"/>
    <w:rsid w:val="00B615FE"/>
    <w:rsid w:val="00B61C96"/>
    <w:rsid w:val="00B64349"/>
    <w:rsid w:val="00B73A2A"/>
    <w:rsid w:val="00B75848"/>
    <w:rsid w:val="00B75A51"/>
    <w:rsid w:val="00B827C6"/>
    <w:rsid w:val="00B83B99"/>
    <w:rsid w:val="00B94B06"/>
    <w:rsid w:val="00B94C28"/>
    <w:rsid w:val="00BA4A8C"/>
    <w:rsid w:val="00BC10BA"/>
    <w:rsid w:val="00BC2B05"/>
    <w:rsid w:val="00BC5AFD"/>
    <w:rsid w:val="00BE2581"/>
    <w:rsid w:val="00BF59C9"/>
    <w:rsid w:val="00C00DDE"/>
    <w:rsid w:val="00C04F43"/>
    <w:rsid w:val="00C0609D"/>
    <w:rsid w:val="00C065ED"/>
    <w:rsid w:val="00C073D5"/>
    <w:rsid w:val="00C07518"/>
    <w:rsid w:val="00C07597"/>
    <w:rsid w:val="00C115AB"/>
    <w:rsid w:val="00C203DD"/>
    <w:rsid w:val="00C26CCB"/>
    <w:rsid w:val="00C30249"/>
    <w:rsid w:val="00C35466"/>
    <w:rsid w:val="00C3723B"/>
    <w:rsid w:val="00C42466"/>
    <w:rsid w:val="00C4335C"/>
    <w:rsid w:val="00C45FDD"/>
    <w:rsid w:val="00C50843"/>
    <w:rsid w:val="00C50D51"/>
    <w:rsid w:val="00C51EEB"/>
    <w:rsid w:val="00C55001"/>
    <w:rsid w:val="00C606C9"/>
    <w:rsid w:val="00C712C1"/>
    <w:rsid w:val="00C80288"/>
    <w:rsid w:val="00C84003"/>
    <w:rsid w:val="00C90650"/>
    <w:rsid w:val="00C91FFE"/>
    <w:rsid w:val="00C92650"/>
    <w:rsid w:val="00C97D78"/>
    <w:rsid w:val="00CA22FB"/>
    <w:rsid w:val="00CA7F94"/>
    <w:rsid w:val="00CB5636"/>
    <w:rsid w:val="00CC2AAE"/>
    <w:rsid w:val="00CC5A42"/>
    <w:rsid w:val="00CD0EAB"/>
    <w:rsid w:val="00CD10DD"/>
    <w:rsid w:val="00CD72E6"/>
    <w:rsid w:val="00CE38F7"/>
    <w:rsid w:val="00CE3D11"/>
    <w:rsid w:val="00CE5E02"/>
    <w:rsid w:val="00CF34DB"/>
    <w:rsid w:val="00CF3917"/>
    <w:rsid w:val="00CF558F"/>
    <w:rsid w:val="00CF7F63"/>
    <w:rsid w:val="00D00D8C"/>
    <w:rsid w:val="00D010C0"/>
    <w:rsid w:val="00D073E2"/>
    <w:rsid w:val="00D3352C"/>
    <w:rsid w:val="00D4099C"/>
    <w:rsid w:val="00D41695"/>
    <w:rsid w:val="00D446EC"/>
    <w:rsid w:val="00D46192"/>
    <w:rsid w:val="00D51BF0"/>
    <w:rsid w:val="00D51C7C"/>
    <w:rsid w:val="00D531DB"/>
    <w:rsid w:val="00D55942"/>
    <w:rsid w:val="00D65F0E"/>
    <w:rsid w:val="00D74B9A"/>
    <w:rsid w:val="00D74C00"/>
    <w:rsid w:val="00D77366"/>
    <w:rsid w:val="00D807BF"/>
    <w:rsid w:val="00D82FCC"/>
    <w:rsid w:val="00D937EE"/>
    <w:rsid w:val="00D96A37"/>
    <w:rsid w:val="00D97719"/>
    <w:rsid w:val="00DA17FC"/>
    <w:rsid w:val="00DA1814"/>
    <w:rsid w:val="00DA7887"/>
    <w:rsid w:val="00DB206A"/>
    <w:rsid w:val="00DB2C26"/>
    <w:rsid w:val="00DD02F4"/>
    <w:rsid w:val="00DD0B1A"/>
    <w:rsid w:val="00DD6622"/>
    <w:rsid w:val="00DE107A"/>
    <w:rsid w:val="00DE1C7C"/>
    <w:rsid w:val="00DE1D3C"/>
    <w:rsid w:val="00DE6B43"/>
    <w:rsid w:val="00DE6BBF"/>
    <w:rsid w:val="00E017DE"/>
    <w:rsid w:val="00E11923"/>
    <w:rsid w:val="00E178CA"/>
    <w:rsid w:val="00E24257"/>
    <w:rsid w:val="00E24891"/>
    <w:rsid w:val="00E262D4"/>
    <w:rsid w:val="00E31F86"/>
    <w:rsid w:val="00E333FB"/>
    <w:rsid w:val="00E34459"/>
    <w:rsid w:val="00E36250"/>
    <w:rsid w:val="00E47F2D"/>
    <w:rsid w:val="00E518AA"/>
    <w:rsid w:val="00E54511"/>
    <w:rsid w:val="00E605FC"/>
    <w:rsid w:val="00E60C65"/>
    <w:rsid w:val="00E60EDC"/>
    <w:rsid w:val="00E61DAC"/>
    <w:rsid w:val="00E62454"/>
    <w:rsid w:val="00E63AA7"/>
    <w:rsid w:val="00E6741A"/>
    <w:rsid w:val="00E72B80"/>
    <w:rsid w:val="00E74D6A"/>
    <w:rsid w:val="00E75FE3"/>
    <w:rsid w:val="00E86C4C"/>
    <w:rsid w:val="00E907A3"/>
    <w:rsid w:val="00E93FDF"/>
    <w:rsid w:val="00EA2F75"/>
    <w:rsid w:val="00EA5AE0"/>
    <w:rsid w:val="00EA6484"/>
    <w:rsid w:val="00EB4884"/>
    <w:rsid w:val="00EB56E1"/>
    <w:rsid w:val="00EB7AB1"/>
    <w:rsid w:val="00EC355A"/>
    <w:rsid w:val="00ED3E3A"/>
    <w:rsid w:val="00EE7CD8"/>
    <w:rsid w:val="00EF2E14"/>
    <w:rsid w:val="00EF367D"/>
    <w:rsid w:val="00EF37F6"/>
    <w:rsid w:val="00EF48CC"/>
    <w:rsid w:val="00F00801"/>
    <w:rsid w:val="00F02FB8"/>
    <w:rsid w:val="00F06AE0"/>
    <w:rsid w:val="00F2488D"/>
    <w:rsid w:val="00F415CF"/>
    <w:rsid w:val="00F542B5"/>
    <w:rsid w:val="00F601A0"/>
    <w:rsid w:val="00F712E9"/>
    <w:rsid w:val="00F71D80"/>
    <w:rsid w:val="00F73032"/>
    <w:rsid w:val="00F73423"/>
    <w:rsid w:val="00F848FC"/>
    <w:rsid w:val="00F86B31"/>
    <w:rsid w:val="00F870EA"/>
    <w:rsid w:val="00F906F6"/>
    <w:rsid w:val="00F9282A"/>
    <w:rsid w:val="00F938AE"/>
    <w:rsid w:val="00F96BAD"/>
    <w:rsid w:val="00F976BF"/>
    <w:rsid w:val="00FA139D"/>
    <w:rsid w:val="00FA479B"/>
    <w:rsid w:val="00FA60F5"/>
    <w:rsid w:val="00FB0E84"/>
    <w:rsid w:val="00FC043D"/>
    <w:rsid w:val="00FC2405"/>
    <w:rsid w:val="00FD01C2"/>
    <w:rsid w:val="00FE379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 w:type="table" w:styleId="TableGrid">
    <w:name w:val="Table Grid"/>
    <w:basedOn w:val="TableNormal"/>
    <w:rsid w:val="00756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28DA"/>
    <w:pPr>
      <w:ind w:left="720"/>
      <w:contextualSpacing/>
    </w:pPr>
  </w:style>
  <w:style w:type="character" w:styleId="CommentReference">
    <w:name w:val="annotation reference"/>
    <w:basedOn w:val="DefaultParagraphFont"/>
    <w:rsid w:val="009E59F3"/>
    <w:rPr>
      <w:sz w:val="16"/>
      <w:szCs w:val="16"/>
    </w:rPr>
  </w:style>
  <w:style w:type="paragraph" w:styleId="CommentText">
    <w:name w:val="annotation text"/>
    <w:basedOn w:val="Normal"/>
    <w:link w:val="CommentTextChar"/>
    <w:rsid w:val="009E59F3"/>
    <w:rPr>
      <w:sz w:val="20"/>
    </w:rPr>
  </w:style>
  <w:style w:type="character" w:customStyle="1" w:styleId="CommentTextChar">
    <w:name w:val="Comment Text Char"/>
    <w:basedOn w:val="DefaultParagraphFont"/>
    <w:link w:val="CommentText"/>
    <w:rsid w:val="009E59F3"/>
  </w:style>
  <w:style w:type="paragraph" w:styleId="CommentSubject">
    <w:name w:val="annotation subject"/>
    <w:basedOn w:val="CommentText"/>
    <w:next w:val="CommentText"/>
    <w:link w:val="CommentSubjectChar"/>
    <w:rsid w:val="009E59F3"/>
    <w:rPr>
      <w:b/>
      <w:bCs/>
    </w:rPr>
  </w:style>
  <w:style w:type="character" w:customStyle="1" w:styleId="CommentSubjectChar">
    <w:name w:val="Comment Subject Char"/>
    <w:basedOn w:val="CommentTextChar"/>
    <w:link w:val="CommentSubject"/>
    <w:rsid w:val="009E59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547">
      <w:bodyDiv w:val="1"/>
      <w:marLeft w:val="0"/>
      <w:marRight w:val="0"/>
      <w:marTop w:val="0"/>
      <w:marBottom w:val="0"/>
      <w:divBdr>
        <w:top w:val="none" w:sz="0" w:space="0" w:color="auto"/>
        <w:left w:val="none" w:sz="0" w:space="0" w:color="auto"/>
        <w:bottom w:val="none" w:sz="0" w:space="0" w:color="auto"/>
        <w:right w:val="none" w:sz="0" w:space="0" w:color="auto"/>
      </w:divBdr>
    </w:div>
    <w:div w:id="29229164">
      <w:bodyDiv w:val="1"/>
      <w:marLeft w:val="0"/>
      <w:marRight w:val="0"/>
      <w:marTop w:val="0"/>
      <w:marBottom w:val="0"/>
      <w:divBdr>
        <w:top w:val="none" w:sz="0" w:space="0" w:color="auto"/>
        <w:left w:val="none" w:sz="0" w:space="0" w:color="auto"/>
        <w:bottom w:val="none" w:sz="0" w:space="0" w:color="auto"/>
        <w:right w:val="none" w:sz="0" w:space="0" w:color="auto"/>
      </w:divBdr>
    </w:div>
    <w:div w:id="32197587">
      <w:bodyDiv w:val="1"/>
      <w:marLeft w:val="0"/>
      <w:marRight w:val="0"/>
      <w:marTop w:val="0"/>
      <w:marBottom w:val="0"/>
      <w:divBdr>
        <w:top w:val="none" w:sz="0" w:space="0" w:color="auto"/>
        <w:left w:val="none" w:sz="0" w:space="0" w:color="auto"/>
        <w:bottom w:val="none" w:sz="0" w:space="0" w:color="auto"/>
        <w:right w:val="none" w:sz="0" w:space="0" w:color="auto"/>
      </w:divBdr>
    </w:div>
    <w:div w:id="98721173">
      <w:bodyDiv w:val="1"/>
      <w:marLeft w:val="0"/>
      <w:marRight w:val="0"/>
      <w:marTop w:val="0"/>
      <w:marBottom w:val="0"/>
      <w:divBdr>
        <w:top w:val="none" w:sz="0" w:space="0" w:color="auto"/>
        <w:left w:val="none" w:sz="0" w:space="0" w:color="auto"/>
        <w:bottom w:val="none" w:sz="0" w:space="0" w:color="auto"/>
        <w:right w:val="none" w:sz="0" w:space="0" w:color="auto"/>
      </w:divBdr>
    </w:div>
    <w:div w:id="108672181">
      <w:bodyDiv w:val="1"/>
      <w:marLeft w:val="0"/>
      <w:marRight w:val="0"/>
      <w:marTop w:val="0"/>
      <w:marBottom w:val="0"/>
      <w:divBdr>
        <w:top w:val="none" w:sz="0" w:space="0" w:color="auto"/>
        <w:left w:val="none" w:sz="0" w:space="0" w:color="auto"/>
        <w:bottom w:val="none" w:sz="0" w:space="0" w:color="auto"/>
        <w:right w:val="none" w:sz="0" w:space="0" w:color="auto"/>
      </w:divBdr>
    </w:div>
    <w:div w:id="162861917">
      <w:bodyDiv w:val="1"/>
      <w:marLeft w:val="0"/>
      <w:marRight w:val="0"/>
      <w:marTop w:val="0"/>
      <w:marBottom w:val="0"/>
      <w:divBdr>
        <w:top w:val="none" w:sz="0" w:space="0" w:color="auto"/>
        <w:left w:val="none" w:sz="0" w:space="0" w:color="auto"/>
        <w:bottom w:val="none" w:sz="0" w:space="0" w:color="auto"/>
        <w:right w:val="none" w:sz="0" w:space="0" w:color="auto"/>
      </w:divBdr>
    </w:div>
    <w:div w:id="261957376">
      <w:bodyDiv w:val="1"/>
      <w:marLeft w:val="0"/>
      <w:marRight w:val="0"/>
      <w:marTop w:val="0"/>
      <w:marBottom w:val="0"/>
      <w:divBdr>
        <w:top w:val="none" w:sz="0" w:space="0" w:color="auto"/>
        <w:left w:val="none" w:sz="0" w:space="0" w:color="auto"/>
        <w:bottom w:val="none" w:sz="0" w:space="0" w:color="auto"/>
        <w:right w:val="none" w:sz="0" w:space="0" w:color="auto"/>
      </w:divBdr>
    </w:div>
    <w:div w:id="298389062">
      <w:bodyDiv w:val="1"/>
      <w:marLeft w:val="0"/>
      <w:marRight w:val="0"/>
      <w:marTop w:val="0"/>
      <w:marBottom w:val="0"/>
      <w:divBdr>
        <w:top w:val="none" w:sz="0" w:space="0" w:color="auto"/>
        <w:left w:val="none" w:sz="0" w:space="0" w:color="auto"/>
        <w:bottom w:val="none" w:sz="0" w:space="0" w:color="auto"/>
        <w:right w:val="none" w:sz="0" w:space="0" w:color="auto"/>
      </w:divBdr>
    </w:div>
    <w:div w:id="300773124">
      <w:bodyDiv w:val="1"/>
      <w:marLeft w:val="0"/>
      <w:marRight w:val="0"/>
      <w:marTop w:val="0"/>
      <w:marBottom w:val="0"/>
      <w:divBdr>
        <w:top w:val="none" w:sz="0" w:space="0" w:color="auto"/>
        <w:left w:val="none" w:sz="0" w:space="0" w:color="auto"/>
        <w:bottom w:val="none" w:sz="0" w:space="0" w:color="auto"/>
        <w:right w:val="none" w:sz="0" w:space="0" w:color="auto"/>
      </w:divBdr>
    </w:div>
    <w:div w:id="352266249">
      <w:bodyDiv w:val="1"/>
      <w:marLeft w:val="0"/>
      <w:marRight w:val="0"/>
      <w:marTop w:val="0"/>
      <w:marBottom w:val="0"/>
      <w:divBdr>
        <w:top w:val="none" w:sz="0" w:space="0" w:color="auto"/>
        <w:left w:val="none" w:sz="0" w:space="0" w:color="auto"/>
        <w:bottom w:val="none" w:sz="0" w:space="0" w:color="auto"/>
        <w:right w:val="none" w:sz="0" w:space="0" w:color="auto"/>
      </w:divBdr>
    </w:div>
    <w:div w:id="383256688">
      <w:bodyDiv w:val="1"/>
      <w:marLeft w:val="0"/>
      <w:marRight w:val="0"/>
      <w:marTop w:val="0"/>
      <w:marBottom w:val="0"/>
      <w:divBdr>
        <w:top w:val="none" w:sz="0" w:space="0" w:color="auto"/>
        <w:left w:val="none" w:sz="0" w:space="0" w:color="auto"/>
        <w:bottom w:val="none" w:sz="0" w:space="0" w:color="auto"/>
        <w:right w:val="none" w:sz="0" w:space="0" w:color="auto"/>
      </w:divBdr>
    </w:div>
    <w:div w:id="434448480">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598949270">
      <w:bodyDiv w:val="1"/>
      <w:marLeft w:val="0"/>
      <w:marRight w:val="0"/>
      <w:marTop w:val="0"/>
      <w:marBottom w:val="0"/>
      <w:divBdr>
        <w:top w:val="none" w:sz="0" w:space="0" w:color="auto"/>
        <w:left w:val="none" w:sz="0" w:space="0" w:color="auto"/>
        <w:bottom w:val="none" w:sz="0" w:space="0" w:color="auto"/>
        <w:right w:val="none" w:sz="0" w:space="0" w:color="auto"/>
      </w:divBdr>
    </w:div>
    <w:div w:id="676809826">
      <w:bodyDiv w:val="1"/>
      <w:marLeft w:val="0"/>
      <w:marRight w:val="0"/>
      <w:marTop w:val="0"/>
      <w:marBottom w:val="0"/>
      <w:divBdr>
        <w:top w:val="none" w:sz="0" w:space="0" w:color="auto"/>
        <w:left w:val="none" w:sz="0" w:space="0" w:color="auto"/>
        <w:bottom w:val="none" w:sz="0" w:space="0" w:color="auto"/>
        <w:right w:val="none" w:sz="0" w:space="0" w:color="auto"/>
      </w:divBdr>
    </w:div>
    <w:div w:id="684746688">
      <w:bodyDiv w:val="1"/>
      <w:marLeft w:val="0"/>
      <w:marRight w:val="0"/>
      <w:marTop w:val="0"/>
      <w:marBottom w:val="0"/>
      <w:divBdr>
        <w:top w:val="none" w:sz="0" w:space="0" w:color="auto"/>
        <w:left w:val="none" w:sz="0" w:space="0" w:color="auto"/>
        <w:bottom w:val="none" w:sz="0" w:space="0" w:color="auto"/>
        <w:right w:val="none" w:sz="0" w:space="0" w:color="auto"/>
      </w:divBdr>
    </w:div>
    <w:div w:id="685518406">
      <w:bodyDiv w:val="1"/>
      <w:marLeft w:val="0"/>
      <w:marRight w:val="0"/>
      <w:marTop w:val="0"/>
      <w:marBottom w:val="0"/>
      <w:divBdr>
        <w:top w:val="none" w:sz="0" w:space="0" w:color="auto"/>
        <w:left w:val="none" w:sz="0" w:space="0" w:color="auto"/>
        <w:bottom w:val="none" w:sz="0" w:space="0" w:color="auto"/>
        <w:right w:val="none" w:sz="0" w:space="0" w:color="auto"/>
      </w:divBdr>
    </w:div>
    <w:div w:id="692803031">
      <w:bodyDiv w:val="1"/>
      <w:marLeft w:val="0"/>
      <w:marRight w:val="0"/>
      <w:marTop w:val="0"/>
      <w:marBottom w:val="0"/>
      <w:divBdr>
        <w:top w:val="none" w:sz="0" w:space="0" w:color="auto"/>
        <w:left w:val="none" w:sz="0" w:space="0" w:color="auto"/>
        <w:bottom w:val="none" w:sz="0" w:space="0" w:color="auto"/>
        <w:right w:val="none" w:sz="0" w:space="0" w:color="auto"/>
      </w:divBdr>
    </w:div>
    <w:div w:id="759985469">
      <w:bodyDiv w:val="1"/>
      <w:marLeft w:val="0"/>
      <w:marRight w:val="0"/>
      <w:marTop w:val="0"/>
      <w:marBottom w:val="0"/>
      <w:divBdr>
        <w:top w:val="none" w:sz="0" w:space="0" w:color="auto"/>
        <w:left w:val="none" w:sz="0" w:space="0" w:color="auto"/>
        <w:bottom w:val="none" w:sz="0" w:space="0" w:color="auto"/>
        <w:right w:val="none" w:sz="0" w:space="0" w:color="auto"/>
      </w:divBdr>
    </w:div>
    <w:div w:id="802237687">
      <w:bodyDiv w:val="1"/>
      <w:marLeft w:val="0"/>
      <w:marRight w:val="0"/>
      <w:marTop w:val="0"/>
      <w:marBottom w:val="0"/>
      <w:divBdr>
        <w:top w:val="none" w:sz="0" w:space="0" w:color="auto"/>
        <w:left w:val="none" w:sz="0" w:space="0" w:color="auto"/>
        <w:bottom w:val="none" w:sz="0" w:space="0" w:color="auto"/>
        <w:right w:val="none" w:sz="0" w:space="0" w:color="auto"/>
      </w:divBdr>
    </w:div>
    <w:div w:id="908467795">
      <w:bodyDiv w:val="1"/>
      <w:marLeft w:val="0"/>
      <w:marRight w:val="0"/>
      <w:marTop w:val="0"/>
      <w:marBottom w:val="0"/>
      <w:divBdr>
        <w:top w:val="none" w:sz="0" w:space="0" w:color="auto"/>
        <w:left w:val="none" w:sz="0" w:space="0" w:color="auto"/>
        <w:bottom w:val="none" w:sz="0" w:space="0" w:color="auto"/>
        <w:right w:val="none" w:sz="0" w:space="0" w:color="auto"/>
      </w:divBdr>
    </w:div>
    <w:div w:id="914973344">
      <w:bodyDiv w:val="1"/>
      <w:marLeft w:val="0"/>
      <w:marRight w:val="0"/>
      <w:marTop w:val="0"/>
      <w:marBottom w:val="0"/>
      <w:divBdr>
        <w:top w:val="none" w:sz="0" w:space="0" w:color="auto"/>
        <w:left w:val="none" w:sz="0" w:space="0" w:color="auto"/>
        <w:bottom w:val="none" w:sz="0" w:space="0" w:color="auto"/>
        <w:right w:val="none" w:sz="0" w:space="0" w:color="auto"/>
      </w:divBdr>
    </w:div>
    <w:div w:id="930160887">
      <w:bodyDiv w:val="1"/>
      <w:marLeft w:val="0"/>
      <w:marRight w:val="0"/>
      <w:marTop w:val="0"/>
      <w:marBottom w:val="0"/>
      <w:divBdr>
        <w:top w:val="none" w:sz="0" w:space="0" w:color="auto"/>
        <w:left w:val="none" w:sz="0" w:space="0" w:color="auto"/>
        <w:bottom w:val="none" w:sz="0" w:space="0" w:color="auto"/>
        <w:right w:val="none" w:sz="0" w:space="0" w:color="auto"/>
      </w:divBdr>
    </w:div>
    <w:div w:id="939293745">
      <w:bodyDiv w:val="1"/>
      <w:marLeft w:val="0"/>
      <w:marRight w:val="0"/>
      <w:marTop w:val="0"/>
      <w:marBottom w:val="0"/>
      <w:divBdr>
        <w:top w:val="none" w:sz="0" w:space="0" w:color="auto"/>
        <w:left w:val="none" w:sz="0" w:space="0" w:color="auto"/>
        <w:bottom w:val="none" w:sz="0" w:space="0" w:color="auto"/>
        <w:right w:val="none" w:sz="0" w:space="0" w:color="auto"/>
      </w:divBdr>
    </w:div>
    <w:div w:id="980235801">
      <w:bodyDiv w:val="1"/>
      <w:marLeft w:val="0"/>
      <w:marRight w:val="0"/>
      <w:marTop w:val="0"/>
      <w:marBottom w:val="0"/>
      <w:divBdr>
        <w:top w:val="none" w:sz="0" w:space="0" w:color="auto"/>
        <w:left w:val="none" w:sz="0" w:space="0" w:color="auto"/>
        <w:bottom w:val="none" w:sz="0" w:space="0" w:color="auto"/>
        <w:right w:val="none" w:sz="0" w:space="0" w:color="auto"/>
      </w:divBdr>
    </w:div>
    <w:div w:id="1024280985">
      <w:bodyDiv w:val="1"/>
      <w:marLeft w:val="0"/>
      <w:marRight w:val="0"/>
      <w:marTop w:val="0"/>
      <w:marBottom w:val="0"/>
      <w:divBdr>
        <w:top w:val="none" w:sz="0" w:space="0" w:color="auto"/>
        <w:left w:val="none" w:sz="0" w:space="0" w:color="auto"/>
        <w:bottom w:val="none" w:sz="0" w:space="0" w:color="auto"/>
        <w:right w:val="none" w:sz="0" w:space="0" w:color="auto"/>
      </w:divBdr>
    </w:div>
    <w:div w:id="1026440753">
      <w:bodyDiv w:val="1"/>
      <w:marLeft w:val="0"/>
      <w:marRight w:val="0"/>
      <w:marTop w:val="0"/>
      <w:marBottom w:val="0"/>
      <w:divBdr>
        <w:top w:val="none" w:sz="0" w:space="0" w:color="auto"/>
        <w:left w:val="none" w:sz="0" w:space="0" w:color="auto"/>
        <w:bottom w:val="none" w:sz="0" w:space="0" w:color="auto"/>
        <w:right w:val="none" w:sz="0" w:space="0" w:color="auto"/>
      </w:divBdr>
    </w:div>
    <w:div w:id="1074207895">
      <w:bodyDiv w:val="1"/>
      <w:marLeft w:val="0"/>
      <w:marRight w:val="0"/>
      <w:marTop w:val="0"/>
      <w:marBottom w:val="0"/>
      <w:divBdr>
        <w:top w:val="none" w:sz="0" w:space="0" w:color="auto"/>
        <w:left w:val="none" w:sz="0" w:space="0" w:color="auto"/>
        <w:bottom w:val="none" w:sz="0" w:space="0" w:color="auto"/>
        <w:right w:val="none" w:sz="0" w:space="0" w:color="auto"/>
      </w:divBdr>
    </w:div>
    <w:div w:id="1119834513">
      <w:bodyDiv w:val="1"/>
      <w:marLeft w:val="0"/>
      <w:marRight w:val="0"/>
      <w:marTop w:val="0"/>
      <w:marBottom w:val="0"/>
      <w:divBdr>
        <w:top w:val="none" w:sz="0" w:space="0" w:color="auto"/>
        <w:left w:val="none" w:sz="0" w:space="0" w:color="auto"/>
        <w:bottom w:val="none" w:sz="0" w:space="0" w:color="auto"/>
        <w:right w:val="none" w:sz="0" w:space="0" w:color="auto"/>
      </w:divBdr>
    </w:div>
    <w:div w:id="1155998180">
      <w:bodyDiv w:val="1"/>
      <w:marLeft w:val="0"/>
      <w:marRight w:val="0"/>
      <w:marTop w:val="0"/>
      <w:marBottom w:val="0"/>
      <w:divBdr>
        <w:top w:val="none" w:sz="0" w:space="0" w:color="auto"/>
        <w:left w:val="none" w:sz="0" w:space="0" w:color="auto"/>
        <w:bottom w:val="none" w:sz="0" w:space="0" w:color="auto"/>
        <w:right w:val="none" w:sz="0" w:space="0" w:color="auto"/>
      </w:divBdr>
    </w:div>
    <w:div w:id="1211266783">
      <w:bodyDiv w:val="1"/>
      <w:marLeft w:val="0"/>
      <w:marRight w:val="0"/>
      <w:marTop w:val="0"/>
      <w:marBottom w:val="0"/>
      <w:divBdr>
        <w:top w:val="none" w:sz="0" w:space="0" w:color="auto"/>
        <w:left w:val="none" w:sz="0" w:space="0" w:color="auto"/>
        <w:bottom w:val="none" w:sz="0" w:space="0" w:color="auto"/>
        <w:right w:val="none" w:sz="0" w:space="0" w:color="auto"/>
      </w:divBdr>
    </w:div>
    <w:div w:id="1305621198">
      <w:bodyDiv w:val="1"/>
      <w:marLeft w:val="0"/>
      <w:marRight w:val="0"/>
      <w:marTop w:val="0"/>
      <w:marBottom w:val="0"/>
      <w:divBdr>
        <w:top w:val="none" w:sz="0" w:space="0" w:color="auto"/>
        <w:left w:val="none" w:sz="0" w:space="0" w:color="auto"/>
        <w:bottom w:val="none" w:sz="0" w:space="0" w:color="auto"/>
        <w:right w:val="none" w:sz="0" w:space="0" w:color="auto"/>
      </w:divBdr>
    </w:div>
    <w:div w:id="1316765869">
      <w:bodyDiv w:val="1"/>
      <w:marLeft w:val="0"/>
      <w:marRight w:val="0"/>
      <w:marTop w:val="0"/>
      <w:marBottom w:val="0"/>
      <w:divBdr>
        <w:top w:val="none" w:sz="0" w:space="0" w:color="auto"/>
        <w:left w:val="none" w:sz="0" w:space="0" w:color="auto"/>
        <w:bottom w:val="none" w:sz="0" w:space="0" w:color="auto"/>
        <w:right w:val="none" w:sz="0" w:space="0" w:color="auto"/>
      </w:divBdr>
    </w:div>
    <w:div w:id="1382052372">
      <w:bodyDiv w:val="1"/>
      <w:marLeft w:val="0"/>
      <w:marRight w:val="0"/>
      <w:marTop w:val="0"/>
      <w:marBottom w:val="0"/>
      <w:divBdr>
        <w:top w:val="none" w:sz="0" w:space="0" w:color="auto"/>
        <w:left w:val="none" w:sz="0" w:space="0" w:color="auto"/>
        <w:bottom w:val="none" w:sz="0" w:space="0" w:color="auto"/>
        <w:right w:val="none" w:sz="0" w:space="0" w:color="auto"/>
      </w:divBdr>
    </w:div>
    <w:div w:id="1388871129">
      <w:bodyDiv w:val="1"/>
      <w:marLeft w:val="0"/>
      <w:marRight w:val="0"/>
      <w:marTop w:val="0"/>
      <w:marBottom w:val="0"/>
      <w:divBdr>
        <w:top w:val="none" w:sz="0" w:space="0" w:color="auto"/>
        <w:left w:val="none" w:sz="0" w:space="0" w:color="auto"/>
        <w:bottom w:val="none" w:sz="0" w:space="0" w:color="auto"/>
        <w:right w:val="none" w:sz="0" w:space="0" w:color="auto"/>
      </w:divBdr>
    </w:div>
    <w:div w:id="1393189083">
      <w:bodyDiv w:val="1"/>
      <w:marLeft w:val="0"/>
      <w:marRight w:val="0"/>
      <w:marTop w:val="0"/>
      <w:marBottom w:val="0"/>
      <w:divBdr>
        <w:top w:val="none" w:sz="0" w:space="0" w:color="auto"/>
        <w:left w:val="none" w:sz="0" w:space="0" w:color="auto"/>
        <w:bottom w:val="none" w:sz="0" w:space="0" w:color="auto"/>
        <w:right w:val="none" w:sz="0" w:space="0" w:color="auto"/>
      </w:divBdr>
    </w:div>
    <w:div w:id="1472016201">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16655528">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066214">
      <w:bodyDiv w:val="1"/>
      <w:marLeft w:val="0"/>
      <w:marRight w:val="0"/>
      <w:marTop w:val="0"/>
      <w:marBottom w:val="0"/>
      <w:divBdr>
        <w:top w:val="none" w:sz="0" w:space="0" w:color="auto"/>
        <w:left w:val="none" w:sz="0" w:space="0" w:color="auto"/>
        <w:bottom w:val="none" w:sz="0" w:space="0" w:color="auto"/>
        <w:right w:val="none" w:sz="0" w:space="0" w:color="auto"/>
      </w:divBdr>
    </w:div>
    <w:div w:id="1734625199">
      <w:bodyDiv w:val="1"/>
      <w:marLeft w:val="0"/>
      <w:marRight w:val="0"/>
      <w:marTop w:val="0"/>
      <w:marBottom w:val="0"/>
      <w:divBdr>
        <w:top w:val="none" w:sz="0" w:space="0" w:color="auto"/>
        <w:left w:val="none" w:sz="0" w:space="0" w:color="auto"/>
        <w:bottom w:val="none" w:sz="0" w:space="0" w:color="auto"/>
        <w:right w:val="none" w:sz="0" w:space="0" w:color="auto"/>
      </w:divBdr>
    </w:div>
    <w:div w:id="1738548853">
      <w:bodyDiv w:val="1"/>
      <w:marLeft w:val="0"/>
      <w:marRight w:val="0"/>
      <w:marTop w:val="0"/>
      <w:marBottom w:val="0"/>
      <w:divBdr>
        <w:top w:val="none" w:sz="0" w:space="0" w:color="auto"/>
        <w:left w:val="none" w:sz="0" w:space="0" w:color="auto"/>
        <w:bottom w:val="none" w:sz="0" w:space="0" w:color="auto"/>
        <w:right w:val="none" w:sz="0" w:space="0" w:color="auto"/>
      </w:divBdr>
    </w:div>
    <w:div w:id="1768574130">
      <w:bodyDiv w:val="1"/>
      <w:marLeft w:val="0"/>
      <w:marRight w:val="0"/>
      <w:marTop w:val="0"/>
      <w:marBottom w:val="0"/>
      <w:divBdr>
        <w:top w:val="none" w:sz="0" w:space="0" w:color="auto"/>
        <w:left w:val="none" w:sz="0" w:space="0" w:color="auto"/>
        <w:bottom w:val="none" w:sz="0" w:space="0" w:color="auto"/>
        <w:right w:val="none" w:sz="0" w:space="0" w:color="auto"/>
      </w:divBdr>
    </w:div>
    <w:div w:id="1852407541">
      <w:bodyDiv w:val="1"/>
      <w:marLeft w:val="0"/>
      <w:marRight w:val="0"/>
      <w:marTop w:val="0"/>
      <w:marBottom w:val="0"/>
      <w:divBdr>
        <w:top w:val="none" w:sz="0" w:space="0" w:color="auto"/>
        <w:left w:val="none" w:sz="0" w:space="0" w:color="auto"/>
        <w:bottom w:val="none" w:sz="0" w:space="0" w:color="auto"/>
        <w:right w:val="none" w:sz="0" w:space="0" w:color="auto"/>
      </w:divBdr>
    </w:div>
    <w:div w:id="1880167874">
      <w:bodyDiv w:val="1"/>
      <w:marLeft w:val="0"/>
      <w:marRight w:val="0"/>
      <w:marTop w:val="0"/>
      <w:marBottom w:val="0"/>
      <w:divBdr>
        <w:top w:val="none" w:sz="0" w:space="0" w:color="auto"/>
        <w:left w:val="none" w:sz="0" w:space="0" w:color="auto"/>
        <w:bottom w:val="none" w:sz="0" w:space="0" w:color="auto"/>
        <w:right w:val="none" w:sz="0" w:space="0" w:color="auto"/>
      </w:divBdr>
    </w:div>
    <w:div w:id="1914700364">
      <w:bodyDiv w:val="1"/>
      <w:marLeft w:val="0"/>
      <w:marRight w:val="0"/>
      <w:marTop w:val="0"/>
      <w:marBottom w:val="0"/>
      <w:divBdr>
        <w:top w:val="none" w:sz="0" w:space="0" w:color="auto"/>
        <w:left w:val="none" w:sz="0" w:space="0" w:color="auto"/>
        <w:bottom w:val="none" w:sz="0" w:space="0" w:color="auto"/>
        <w:right w:val="none" w:sz="0" w:space="0" w:color="auto"/>
      </w:divBdr>
    </w:div>
    <w:div w:id="1917396982">
      <w:bodyDiv w:val="1"/>
      <w:marLeft w:val="0"/>
      <w:marRight w:val="0"/>
      <w:marTop w:val="0"/>
      <w:marBottom w:val="0"/>
      <w:divBdr>
        <w:top w:val="none" w:sz="0" w:space="0" w:color="auto"/>
        <w:left w:val="none" w:sz="0" w:space="0" w:color="auto"/>
        <w:bottom w:val="none" w:sz="0" w:space="0" w:color="auto"/>
        <w:right w:val="none" w:sz="0" w:space="0" w:color="auto"/>
      </w:divBdr>
    </w:div>
    <w:div w:id="1973704935">
      <w:bodyDiv w:val="1"/>
      <w:marLeft w:val="0"/>
      <w:marRight w:val="0"/>
      <w:marTop w:val="0"/>
      <w:marBottom w:val="0"/>
      <w:divBdr>
        <w:top w:val="none" w:sz="0" w:space="0" w:color="auto"/>
        <w:left w:val="none" w:sz="0" w:space="0" w:color="auto"/>
        <w:bottom w:val="none" w:sz="0" w:space="0" w:color="auto"/>
        <w:right w:val="none" w:sz="0" w:space="0" w:color="auto"/>
      </w:divBdr>
    </w:div>
    <w:div w:id="2007201511">
      <w:bodyDiv w:val="1"/>
      <w:marLeft w:val="0"/>
      <w:marRight w:val="0"/>
      <w:marTop w:val="0"/>
      <w:marBottom w:val="0"/>
      <w:divBdr>
        <w:top w:val="none" w:sz="0" w:space="0" w:color="auto"/>
        <w:left w:val="none" w:sz="0" w:space="0" w:color="auto"/>
        <w:bottom w:val="none" w:sz="0" w:space="0" w:color="auto"/>
        <w:right w:val="none" w:sz="0" w:space="0" w:color="auto"/>
      </w:divBdr>
    </w:div>
    <w:div w:id="2007899183">
      <w:bodyDiv w:val="1"/>
      <w:marLeft w:val="0"/>
      <w:marRight w:val="0"/>
      <w:marTop w:val="0"/>
      <w:marBottom w:val="0"/>
      <w:divBdr>
        <w:top w:val="none" w:sz="0" w:space="0" w:color="auto"/>
        <w:left w:val="none" w:sz="0" w:space="0" w:color="auto"/>
        <w:bottom w:val="none" w:sz="0" w:space="0" w:color="auto"/>
        <w:right w:val="none" w:sz="0" w:space="0" w:color="auto"/>
      </w:divBdr>
    </w:div>
    <w:div w:id="2010210229">
      <w:bodyDiv w:val="1"/>
      <w:marLeft w:val="0"/>
      <w:marRight w:val="0"/>
      <w:marTop w:val="0"/>
      <w:marBottom w:val="0"/>
      <w:divBdr>
        <w:top w:val="none" w:sz="0" w:space="0" w:color="auto"/>
        <w:left w:val="none" w:sz="0" w:space="0" w:color="auto"/>
        <w:bottom w:val="none" w:sz="0" w:space="0" w:color="auto"/>
        <w:right w:val="none" w:sz="0" w:space="0" w:color="auto"/>
      </w:divBdr>
    </w:div>
    <w:div w:id="2015959386">
      <w:bodyDiv w:val="1"/>
      <w:marLeft w:val="0"/>
      <w:marRight w:val="0"/>
      <w:marTop w:val="0"/>
      <w:marBottom w:val="0"/>
      <w:divBdr>
        <w:top w:val="none" w:sz="0" w:space="0" w:color="auto"/>
        <w:left w:val="none" w:sz="0" w:space="0" w:color="auto"/>
        <w:bottom w:val="none" w:sz="0" w:space="0" w:color="auto"/>
        <w:right w:val="none" w:sz="0" w:space="0" w:color="auto"/>
      </w:divBdr>
    </w:div>
    <w:div w:id="210864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douard.francois@technicolor.comyan.ye@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20CF4-7E03-40FF-8E73-1ECF3BDC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1426</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19</cp:revision>
  <cp:lastPrinted>1900-01-01T08:00:00Z</cp:lastPrinted>
  <dcterms:created xsi:type="dcterms:W3CDTF">2019-03-21T15:30:00Z</dcterms:created>
  <dcterms:modified xsi:type="dcterms:W3CDTF">2019-03-22T15:02:00Z</dcterms:modified>
</cp:coreProperties>
</file>