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1DAEC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80D3F3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192E9D">
              <w:rPr>
                <w:lang w:val="en-CA"/>
              </w:rPr>
              <w:t>0</w:t>
            </w:r>
            <w:r w:rsidR="00093FD8">
              <w:rPr>
                <w:lang w:val="en-CA"/>
              </w:rPr>
              <w:t>87</w:t>
            </w:r>
            <w:r w:rsidR="006A517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CD8565" w:rsidR="00E61DAC" w:rsidRPr="005B217D" w:rsidRDefault="00192E9D" w:rsidP="00192E9D">
            <w:pPr>
              <w:spacing w:before="60" w:after="60"/>
              <w:rPr>
                <w:b/>
                <w:szCs w:val="22"/>
                <w:lang w:val="en-CA"/>
              </w:rPr>
            </w:pPr>
            <w:r>
              <w:rPr>
                <w:b/>
                <w:szCs w:val="22"/>
                <w:lang w:val="en-CA"/>
              </w:rPr>
              <w:t>AHG14: Performance Evaluation by CTU based Intra Refresh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E1708D" w:rsidR="00E61DAC" w:rsidRPr="005B217D" w:rsidRDefault="0013458C" w:rsidP="004C07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165AFDB" w:rsidR="00E61DAC" w:rsidRPr="005B217D" w:rsidRDefault="00192E9D" w:rsidP="004C0743">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2A210E" w:rsidR="00E61DAC" w:rsidRPr="005B217D" w:rsidRDefault="004C0743" w:rsidP="004C0743">
            <w:pPr>
              <w:spacing w:before="60" w:after="60"/>
              <w:rPr>
                <w:szCs w:val="22"/>
                <w:lang w:val="en-CA"/>
              </w:rPr>
            </w:pPr>
            <w:r w:rsidRPr="00097F97">
              <w:rPr>
                <w:szCs w:val="22"/>
              </w:rPr>
              <w:t>Kei Kawamura</w:t>
            </w:r>
            <w:r w:rsidRPr="00097F97">
              <w:rPr>
                <w:szCs w:val="22"/>
              </w:rPr>
              <w:br/>
              <w:t>Sei Naito</w:t>
            </w:r>
            <w:r w:rsidRPr="00097F97">
              <w:rPr>
                <w:szCs w:val="22"/>
              </w:rPr>
              <w:br/>
              <w:t>2-1-15 Ohara, Fujimino-shi,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153DD4" w:rsidR="00E61DAC" w:rsidRPr="005B217D" w:rsidRDefault="004C0743" w:rsidP="004C0743">
            <w:pPr>
              <w:spacing w:before="60" w:after="60"/>
              <w:rPr>
                <w:szCs w:val="22"/>
                <w:lang w:val="en-CA"/>
              </w:rPr>
            </w:pPr>
            <w:r w:rsidRPr="00150F62">
              <w:rPr>
                <w:szCs w:val="22"/>
                <w:lang w:val="en-CA"/>
              </w:rPr>
              <w:br/>
            </w:r>
            <w:r w:rsidRPr="00150F62">
              <w:rPr>
                <w:rFonts w:hint="eastAsia"/>
                <w:szCs w:val="22"/>
                <w:lang w:val="en-CA" w:eastAsia="ja-JP"/>
              </w:rPr>
              <w:t xml:space="preserve">+81 </w:t>
            </w:r>
            <w:r>
              <w:rPr>
                <w:szCs w:val="22"/>
                <w:lang w:val="en-CA" w:eastAsia="ja-JP"/>
              </w:rPr>
              <w:t>80</w:t>
            </w:r>
            <w:r>
              <w:rPr>
                <w:rFonts w:hint="eastAsia"/>
                <w:szCs w:val="22"/>
                <w:lang w:val="en-CA" w:eastAsia="ja-JP"/>
              </w:rPr>
              <w:t xml:space="preserve"> </w:t>
            </w:r>
            <w:r>
              <w:rPr>
                <w:szCs w:val="22"/>
                <w:lang w:val="en-CA" w:eastAsia="ja-JP"/>
              </w:rPr>
              <w:t>5066 9075</w:t>
            </w:r>
            <w:r w:rsidRPr="00150F62">
              <w:rPr>
                <w:szCs w:val="22"/>
                <w:lang w:val="en-CA" w:eastAsia="ja-JP"/>
              </w:rPr>
              <w:br/>
            </w:r>
            <w:hyperlink r:id="rId10" w:history="1">
              <w:r w:rsidRPr="00150F62">
                <w:rPr>
                  <w:rStyle w:val="a6"/>
                  <w:szCs w:val="22"/>
                  <w:lang w:val="en-CA" w:eastAsia="ja-JP"/>
                </w:rPr>
                <w:t>ki-kawamura@kddi.com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89DF3CA" w:rsidR="00E61DAC" w:rsidRPr="005B217D" w:rsidRDefault="004C0743">
            <w:pPr>
              <w:spacing w:before="60" w:after="60"/>
              <w:rPr>
                <w:szCs w:val="22"/>
                <w:lang w:val="en-CA"/>
              </w:rPr>
            </w:pPr>
            <w:r w:rsidRPr="00150F62">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71086E9" w14:textId="55312A9B" w:rsidR="004C0743" w:rsidRDefault="00192E9D" w:rsidP="00C97D78">
      <w:pPr>
        <w:rPr>
          <w:lang w:val="en-CA" w:eastAsia="ja-JP"/>
        </w:rPr>
      </w:pPr>
      <w:r>
        <w:rPr>
          <w:lang w:val="en-CA" w:eastAsia="ja-JP"/>
        </w:rPr>
        <w:t>This contribution reports the performance evaluation by CTU based intra refresh approach</w:t>
      </w:r>
      <w:r w:rsidR="00DC6CF9">
        <w:rPr>
          <w:lang w:val="en-CA" w:eastAsia="ja-JP"/>
        </w:rPr>
        <w:t xml:space="preserve"> as information</w:t>
      </w:r>
      <w:r>
        <w:rPr>
          <w:lang w:val="en-CA" w:eastAsia="ja-JP"/>
        </w:rPr>
        <w:t xml:space="preserve">. </w:t>
      </w:r>
      <w:r w:rsidR="001337DF">
        <w:rPr>
          <w:lang w:val="en-CA" w:eastAsia="ja-JP"/>
        </w:rPr>
        <w:t xml:space="preserve">While the anchor condition candidate in JVET-L0160 </w:t>
      </w:r>
      <w:r w:rsidR="001337DF" w:rsidRPr="001337DF">
        <w:rPr>
          <w:lang w:val="en-CA" w:eastAsia="ja-JP"/>
        </w:rPr>
        <w:t xml:space="preserve">used </w:t>
      </w:r>
      <w:r w:rsidR="001337DF">
        <w:rPr>
          <w:lang w:val="en-CA" w:eastAsia="ja-JP"/>
        </w:rPr>
        <w:t xml:space="preserve">a CU line as </w:t>
      </w:r>
      <w:r w:rsidR="001337DF" w:rsidRPr="001337DF">
        <w:rPr>
          <w:lang w:val="en-CA" w:eastAsia="ja-JP"/>
        </w:rPr>
        <w:t>a gra</w:t>
      </w:r>
      <w:r w:rsidR="001337DF">
        <w:rPr>
          <w:lang w:val="en-CA" w:eastAsia="ja-JP"/>
        </w:rPr>
        <w:t xml:space="preserve">nularity of the refresh area, this contribution used a CTU line. </w:t>
      </w:r>
      <w:r w:rsidR="00DC6CF9">
        <w:rPr>
          <w:lang w:val="en-CA" w:eastAsia="ja-JP"/>
        </w:rPr>
        <w:t xml:space="preserve">For 1080p content, CTU size is set to 64 instead of 128 to realize that the intra refresh period becomes 30 frames. </w:t>
      </w:r>
      <w:r w:rsidR="001337DF">
        <w:rPr>
          <w:lang w:val="en-CA" w:eastAsia="ja-JP"/>
        </w:rPr>
        <w:t xml:space="preserve">The </w:t>
      </w:r>
      <w:r w:rsidR="00866CBA">
        <w:rPr>
          <w:lang w:val="en-CA" w:eastAsia="ja-JP"/>
        </w:rPr>
        <w:t xml:space="preserve">preliminary </w:t>
      </w:r>
      <w:r w:rsidR="001337DF">
        <w:rPr>
          <w:lang w:val="en-CA" w:eastAsia="ja-JP"/>
        </w:rPr>
        <w:t xml:space="preserve">simulation results shows </w:t>
      </w:r>
      <w:r w:rsidR="004F3EBC">
        <w:rPr>
          <w:lang w:val="en-CA" w:eastAsia="ja-JP"/>
        </w:rPr>
        <w:t>7.4% Y-BD rate loss compared to with / without intra refresh coding condition.</w:t>
      </w:r>
      <w:r w:rsidR="0052539C">
        <w:rPr>
          <w:lang w:val="en-CA" w:eastAsia="ja-JP"/>
        </w:rPr>
        <w:t xml:space="preserve"> This contribution also suggests to </w:t>
      </w:r>
      <w:r w:rsidR="0075186B">
        <w:rPr>
          <w:lang w:val="en-CA" w:eastAsia="ja-JP"/>
        </w:rPr>
        <w:t xml:space="preserve">change the </w:t>
      </w:r>
      <w:r w:rsidR="0052539C">
        <w:rPr>
          <w:lang w:val="en-CA" w:eastAsia="ja-JP"/>
        </w:rPr>
        <w:t xml:space="preserve">intra refresh period </w:t>
      </w:r>
      <w:r w:rsidR="0075186B">
        <w:rPr>
          <w:lang w:val="en-CA" w:eastAsia="ja-JP"/>
        </w:rPr>
        <w:t>to 30 frame</w:t>
      </w:r>
      <w:r w:rsidR="00866CBA">
        <w:rPr>
          <w:lang w:val="en-CA" w:eastAsia="ja-JP"/>
        </w:rPr>
        <w:t>,</w:t>
      </w:r>
      <w:r w:rsidR="0075186B">
        <w:rPr>
          <w:lang w:val="en-CA" w:eastAsia="ja-JP"/>
        </w:rPr>
        <w:t xml:space="preserve"> </w:t>
      </w:r>
      <w:r w:rsidR="0052539C">
        <w:rPr>
          <w:lang w:val="en-CA" w:eastAsia="ja-JP"/>
        </w:rPr>
        <w:t>instead of 32 frame.</w:t>
      </w:r>
    </w:p>
    <w:p w14:paraId="7D2AC1F0" w14:textId="730D96EA" w:rsidR="00745F6B" w:rsidRPr="005B217D" w:rsidRDefault="00745F6B" w:rsidP="00E11923">
      <w:pPr>
        <w:pStyle w:val="1"/>
        <w:rPr>
          <w:lang w:val="en-CA"/>
        </w:rPr>
      </w:pPr>
      <w:r w:rsidRPr="005B217D">
        <w:rPr>
          <w:lang w:val="en-CA"/>
        </w:rPr>
        <w:t>Introduction</w:t>
      </w:r>
    </w:p>
    <w:p w14:paraId="6B6380AC" w14:textId="010C67B9" w:rsidR="00777013" w:rsidRDefault="004F3EBC" w:rsidP="004234F0">
      <w:pPr>
        <w:rPr>
          <w:szCs w:val="22"/>
          <w:lang w:val="en-CA" w:eastAsia="ja-JP"/>
        </w:rPr>
      </w:pPr>
      <w:r>
        <w:rPr>
          <w:rFonts w:hint="eastAsia"/>
          <w:szCs w:val="22"/>
          <w:lang w:val="en-CA" w:eastAsia="ja-JP"/>
        </w:rPr>
        <w:t>The gr</w:t>
      </w:r>
      <w:r>
        <w:rPr>
          <w:szCs w:val="22"/>
          <w:lang w:val="en-CA" w:eastAsia="ja-JP"/>
        </w:rPr>
        <w:t>adual intra refresh scheme refreshes decoded picture progressively by insertin</w:t>
      </w:r>
      <w:r w:rsidR="00DC1F00">
        <w:rPr>
          <w:szCs w:val="22"/>
          <w:lang w:val="en-CA" w:eastAsia="ja-JP"/>
        </w:rPr>
        <w:t>g an intra-coding region in every</w:t>
      </w:r>
      <w:r>
        <w:rPr>
          <w:szCs w:val="22"/>
          <w:lang w:val="en-CA" w:eastAsia="ja-JP"/>
        </w:rPr>
        <w:t xml:space="preserve"> inter-coded picture. Such scheme is studied in AHG 14 and which kick-off message announce</w:t>
      </w:r>
      <w:r w:rsidR="0075186B">
        <w:rPr>
          <w:szCs w:val="22"/>
          <w:lang w:val="en-CA" w:eastAsia="ja-JP"/>
        </w:rPr>
        <w:t>d</w:t>
      </w:r>
      <w:r>
        <w:rPr>
          <w:szCs w:val="22"/>
          <w:lang w:val="en-CA" w:eastAsia="ja-JP"/>
        </w:rPr>
        <w:t xml:space="preserve"> the softwar</w:t>
      </w:r>
      <w:r w:rsidR="00DC6CF9">
        <w:rPr>
          <w:szCs w:val="22"/>
          <w:lang w:val="en-CA" w:eastAsia="ja-JP"/>
        </w:rPr>
        <w:t>e implementation of JVET-L0160.</w:t>
      </w:r>
      <w:r w:rsidR="009B3AC9">
        <w:rPr>
          <w:szCs w:val="22"/>
          <w:lang w:val="en-CA" w:eastAsia="ja-JP"/>
        </w:rPr>
        <w:t xml:space="preserve"> From the investigation of the JVET-L0160 software, it seems that CU based intra refresh scheme is complicated.</w:t>
      </w:r>
      <w:r w:rsidR="00DC1F00">
        <w:rPr>
          <w:szCs w:val="22"/>
          <w:lang w:val="en-CA" w:eastAsia="ja-JP"/>
        </w:rPr>
        <w:t xml:space="preserve"> In this contribution, we try to clarify the</w:t>
      </w:r>
      <w:r w:rsidR="004C019D">
        <w:rPr>
          <w:szCs w:val="22"/>
          <w:lang w:val="en-CA" w:eastAsia="ja-JP"/>
        </w:rPr>
        <w:t xml:space="preserve"> performance degradation by the intra refresh scheme for the CTU line based implementation. In the current stage, normative and non-normative changes are mixed. Tile based implementation is also future working item.</w:t>
      </w:r>
    </w:p>
    <w:p w14:paraId="441B5D7F" w14:textId="4ED74D9A" w:rsidR="003C3A83" w:rsidRDefault="004C019D" w:rsidP="00E11923">
      <w:pPr>
        <w:pStyle w:val="1"/>
        <w:rPr>
          <w:lang w:val="en-CA" w:eastAsia="ja-JP"/>
        </w:rPr>
      </w:pPr>
      <w:r>
        <w:rPr>
          <w:lang w:val="en-CA" w:eastAsia="ja-JP"/>
        </w:rPr>
        <w:t>Evaluation method</w:t>
      </w:r>
    </w:p>
    <w:p w14:paraId="03507DFE" w14:textId="17E598A1" w:rsidR="002009B9" w:rsidRDefault="002009B9" w:rsidP="002009B9">
      <w:pPr>
        <w:pStyle w:val="2"/>
        <w:rPr>
          <w:lang w:val="en-CA" w:eastAsia="ja-JP"/>
        </w:rPr>
      </w:pPr>
      <w:r>
        <w:rPr>
          <w:lang w:val="en-CA" w:eastAsia="ja-JP"/>
        </w:rPr>
        <w:t>C</w:t>
      </w:r>
      <w:r>
        <w:rPr>
          <w:rFonts w:hint="eastAsia"/>
          <w:lang w:val="en-CA" w:eastAsia="ja-JP"/>
        </w:rPr>
        <w:t>oding structure</w:t>
      </w:r>
    </w:p>
    <w:p w14:paraId="5FA3D90B" w14:textId="53F3CC98" w:rsidR="00D676C8" w:rsidRDefault="00D676C8" w:rsidP="002009B9">
      <w:pPr>
        <w:rPr>
          <w:lang w:val="en-CA" w:eastAsia="ja-JP"/>
        </w:rPr>
      </w:pPr>
      <w:r>
        <w:rPr>
          <w:rFonts w:hint="eastAsia"/>
          <w:lang w:val="en-CA" w:eastAsia="ja-JP"/>
        </w:rPr>
        <w:t xml:space="preserve">Base coding condition is low-delay B but </w:t>
      </w:r>
      <w:r>
        <w:rPr>
          <w:lang w:val="en-CA" w:eastAsia="ja-JP"/>
        </w:rPr>
        <w:t>hierarchical</w:t>
      </w:r>
      <w:r>
        <w:rPr>
          <w:rFonts w:hint="eastAsia"/>
          <w:lang w:val="en-CA" w:eastAsia="ja-JP"/>
        </w:rPr>
        <w:t xml:space="preserve"> </w:t>
      </w:r>
      <w:r>
        <w:rPr>
          <w:lang w:val="en-CA" w:eastAsia="ja-JP"/>
        </w:rPr>
        <w:t>QP setting is disabled, i.e., all frame utilizes same QP value. It is noted that QT/BT/TT partitioning is enabled since intra refresh area is aligned to the CTU line</w:t>
      </w:r>
      <w:r w:rsidR="0075186B">
        <w:rPr>
          <w:lang w:val="en-CA" w:eastAsia="ja-JP"/>
        </w:rPr>
        <w:t>, not the CU line</w:t>
      </w:r>
      <w:r>
        <w:rPr>
          <w:lang w:val="en-CA" w:eastAsia="ja-JP"/>
        </w:rPr>
        <w:t>.</w:t>
      </w:r>
    </w:p>
    <w:p w14:paraId="16874D0E" w14:textId="144FB001" w:rsidR="00D676C8" w:rsidRDefault="00D676C8" w:rsidP="002009B9">
      <w:pPr>
        <w:rPr>
          <w:lang w:val="en-CA" w:eastAsia="ja-JP"/>
        </w:rPr>
      </w:pPr>
      <w:r>
        <w:rPr>
          <w:lang w:val="en-CA" w:eastAsia="ja-JP"/>
        </w:rPr>
        <w:t>I</w:t>
      </w:r>
      <w:r w:rsidR="00E04743">
        <w:rPr>
          <w:lang w:val="en-CA" w:eastAsia="ja-JP"/>
        </w:rPr>
        <w:t xml:space="preserve">ntra refresh area is constructed by </w:t>
      </w:r>
      <w:r>
        <w:rPr>
          <w:lang w:val="en-CA" w:eastAsia="ja-JP"/>
        </w:rPr>
        <w:t xml:space="preserve">vertical </w:t>
      </w:r>
      <w:r w:rsidR="00E04743">
        <w:rPr>
          <w:lang w:val="en-CA" w:eastAsia="ja-JP"/>
        </w:rPr>
        <w:t xml:space="preserve">CTU line. To keep the alignment between intra period and intra refresh cycle, 30 frames contain an intra refresh region while two frames do not contain an intra refresh region. Furthermore, CTU size is </w:t>
      </w:r>
      <w:r>
        <w:rPr>
          <w:lang w:val="en-CA" w:eastAsia="ja-JP"/>
        </w:rPr>
        <w:t>adapted to</w:t>
      </w:r>
      <w:r w:rsidR="002E4E51">
        <w:rPr>
          <w:lang w:val="en-CA" w:eastAsia="ja-JP"/>
        </w:rPr>
        <w:t xml:space="preserve"> </w:t>
      </w:r>
      <w:r>
        <w:rPr>
          <w:lang w:val="en-CA" w:eastAsia="ja-JP"/>
        </w:rPr>
        <w:t xml:space="preserve">the </w:t>
      </w:r>
      <w:r w:rsidR="002E4E51">
        <w:rPr>
          <w:lang w:val="en-CA" w:eastAsia="ja-JP"/>
        </w:rPr>
        <w:t xml:space="preserve">picture size of each category. </w:t>
      </w:r>
      <w:r w:rsidR="00E04743">
        <w:rPr>
          <w:lang w:val="en-CA" w:eastAsia="ja-JP"/>
        </w:rPr>
        <w:t>In detail, Class A cont</w:t>
      </w:r>
      <w:r w:rsidR="0075186B">
        <w:rPr>
          <w:lang w:val="en-CA" w:eastAsia="ja-JP"/>
        </w:rPr>
        <w:t>ent is divided into 128 x 128 C</w:t>
      </w:r>
      <w:r w:rsidR="00E04743">
        <w:rPr>
          <w:lang w:val="en-CA" w:eastAsia="ja-JP"/>
        </w:rPr>
        <w:t>T</w:t>
      </w:r>
      <w:r w:rsidR="0075186B">
        <w:rPr>
          <w:lang w:val="en-CA" w:eastAsia="ja-JP"/>
        </w:rPr>
        <w:t>U</w:t>
      </w:r>
      <w:r w:rsidR="00E04743">
        <w:rPr>
          <w:lang w:val="en-CA" w:eastAsia="ja-JP"/>
        </w:rPr>
        <w:t xml:space="preserve"> x 30 </w:t>
      </w:r>
      <w:r>
        <w:rPr>
          <w:lang w:val="en-CA" w:eastAsia="ja-JP"/>
        </w:rPr>
        <w:t>vertical lines = 3840 pixel</w:t>
      </w:r>
      <w:r w:rsidR="0075186B">
        <w:rPr>
          <w:lang w:val="en-CA" w:eastAsia="ja-JP"/>
        </w:rPr>
        <w:t xml:space="preserve"> width</w:t>
      </w:r>
      <w:r>
        <w:rPr>
          <w:lang w:val="en-CA" w:eastAsia="ja-JP"/>
        </w:rPr>
        <w:t>, while</w:t>
      </w:r>
      <w:r w:rsidR="00E04743">
        <w:rPr>
          <w:lang w:val="en-CA" w:eastAsia="ja-JP"/>
        </w:rPr>
        <w:t xml:space="preserve"> Class B content is divided into 64x64 CTU x 30 </w:t>
      </w:r>
      <w:r w:rsidR="0075186B">
        <w:rPr>
          <w:lang w:val="en-CA" w:eastAsia="ja-JP"/>
        </w:rPr>
        <w:t xml:space="preserve">vertical </w:t>
      </w:r>
      <w:r w:rsidR="00E04743">
        <w:rPr>
          <w:lang w:val="en-CA" w:eastAsia="ja-JP"/>
        </w:rPr>
        <w:t>lines = 1920 pixel</w:t>
      </w:r>
      <w:r w:rsidR="0075186B">
        <w:rPr>
          <w:lang w:val="en-CA" w:eastAsia="ja-JP"/>
        </w:rPr>
        <w:t xml:space="preserve"> width</w:t>
      </w:r>
      <w:r w:rsidR="00E04743">
        <w:rPr>
          <w:lang w:val="en-CA" w:eastAsia="ja-JP"/>
        </w:rPr>
        <w:t>.</w:t>
      </w:r>
      <w:r w:rsidR="0075186B">
        <w:rPr>
          <w:lang w:val="en-CA" w:eastAsia="ja-JP"/>
        </w:rPr>
        <w:t xml:space="preserve"> Class C and D are</w:t>
      </w:r>
      <w:r w:rsidR="002E4E51">
        <w:rPr>
          <w:lang w:val="en-CA" w:eastAsia="ja-JP"/>
        </w:rPr>
        <w:t xml:space="preserve"> not defined, here.</w:t>
      </w:r>
    </w:p>
    <w:p w14:paraId="18FD6880" w14:textId="284FA775" w:rsidR="00D676C8" w:rsidRPr="002009B9" w:rsidRDefault="00D676C8" w:rsidP="002009B9">
      <w:pPr>
        <w:rPr>
          <w:lang w:val="en-CA" w:eastAsia="ja-JP"/>
        </w:rPr>
      </w:pPr>
      <w:r>
        <w:rPr>
          <w:lang w:val="en-CA" w:eastAsia="ja-JP"/>
        </w:rPr>
        <w:t>Anchor stream utilize the above coding structure and condition. It is noted that constraint intra prediction flag is enabled.</w:t>
      </w:r>
    </w:p>
    <w:p w14:paraId="22959470" w14:textId="5803DE80" w:rsidR="00BF6A6D" w:rsidRDefault="00BF6A6D" w:rsidP="00BF6A6D">
      <w:pPr>
        <w:pStyle w:val="2"/>
        <w:rPr>
          <w:lang w:val="en-CA" w:eastAsia="ja-JP"/>
        </w:rPr>
      </w:pPr>
      <w:r>
        <w:rPr>
          <w:rFonts w:hint="eastAsia"/>
          <w:lang w:val="en-CA" w:eastAsia="ja-JP"/>
        </w:rPr>
        <w:lastRenderedPageBreak/>
        <w:t xml:space="preserve">Normative </w:t>
      </w:r>
      <w:r w:rsidR="00866CBA">
        <w:rPr>
          <w:lang w:val="en-CA" w:eastAsia="ja-JP"/>
        </w:rPr>
        <w:t xml:space="preserve">and non-normative </w:t>
      </w:r>
      <w:r>
        <w:rPr>
          <w:rFonts w:hint="eastAsia"/>
          <w:lang w:val="en-CA" w:eastAsia="ja-JP"/>
        </w:rPr>
        <w:t>change</w:t>
      </w:r>
      <w:r w:rsidR="00866CBA">
        <w:rPr>
          <w:lang w:val="en-CA" w:eastAsia="ja-JP"/>
        </w:rPr>
        <w:t>s</w:t>
      </w:r>
    </w:p>
    <w:p w14:paraId="51D5CF01" w14:textId="77777777" w:rsidR="00866CBA" w:rsidRDefault="00D676C8" w:rsidP="002009B9">
      <w:pPr>
        <w:rPr>
          <w:lang w:val="en-CA" w:eastAsia="ja-JP"/>
        </w:rPr>
      </w:pPr>
      <w:r>
        <w:rPr>
          <w:rFonts w:hint="eastAsia"/>
          <w:lang w:val="en-CA" w:eastAsia="ja-JP"/>
        </w:rPr>
        <w:t>Some coding tool</w:t>
      </w:r>
      <w:r>
        <w:rPr>
          <w:lang w:val="en-CA" w:eastAsia="ja-JP"/>
        </w:rPr>
        <w:t>s</w:t>
      </w:r>
      <w:r>
        <w:rPr>
          <w:rFonts w:hint="eastAsia"/>
          <w:lang w:val="en-CA" w:eastAsia="ja-JP"/>
        </w:rPr>
        <w:t xml:space="preserve"> violate the intra refresh scheme</w:t>
      </w:r>
      <w:r w:rsidR="00411483">
        <w:rPr>
          <w:lang w:val="en-CA" w:eastAsia="ja-JP"/>
        </w:rPr>
        <w:t>, i.e., referring to non-refresh region</w:t>
      </w:r>
      <w:r>
        <w:rPr>
          <w:rFonts w:hint="eastAsia"/>
          <w:lang w:val="en-CA" w:eastAsia="ja-JP"/>
        </w:rPr>
        <w:t xml:space="preserve">. In this contribution, DBF and ALF is disabled at the boundary between the refreshed and the non-refreshed region. </w:t>
      </w:r>
      <w:r w:rsidR="009B3AC9">
        <w:rPr>
          <w:lang w:val="en-CA" w:eastAsia="ja-JP"/>
        </w:rPr>
        <w:t>The intra refresh region is explicitly signalled</w:t>
      </w:r>
      <w:r w:rsidR="0075186B">
        <w:rPr>
          <w:lang w:val="en-CA" w:eastAsia="ja-JP"/>
        </w:rPr>
        <w:t xml:space="preserve"> in the header</w:t>
      </w:r>
      <w:r w:rsidR="009B3AC9">
        <w:rPr>
          <w:lang w:val="en-CA" w:eastAsia="ja-JP"/>
        </w:rPr>
        <w:t>.</w:t>
      </w:r>
    </w:p>
    <w:p w14:paraId="4561D6A1" w14:textId="1A519583" w:rsidR="002009B9" w:rsidRPr="002009B9" w:rsidRDefault="004C019D" w:rsidP="002009B9">
      <w:pPr>
        <w:rPr>
          <w:rFonts w:hint="eastAsia"/>
          <w:lang w:val="en-CA" w:eastAsia="ja-JP"/>
        </w:rPr>
      </w:pPr>
      <w:r>
        <w:rPr>
          <w:lang w:val="en-CA" w:eastAsia="ja-JP"/>
        </w:rPr>
        <w:t xml:space="preserve">Temporal MV prediction and POC referring </w:t>
      </w:r>
      <w:r w:rsidR="0075186B">
        <w:rPr>
          <w:lang w:val="en-CA" w:eastAsia="ja-JP"/>
        </w:rPr>
        <w:t>to</w:t>
      </w:r>
      <w:r w:rsidR="0075186B">
        <w:rPr>
          <w:lang w:val="en-CA" w:eastAsia="ja-JP"/>
        </w:rPr>
        <w:t xml:space="preserve"> non-refreshed region </w:t>
      </w:r>
      <w:r>
        <w:rPr>
          <w:lang w:val="en-CA" w:eastAsia="ja-JP"/>
        </w:rPr>
        <w:t>are also dis</w:t>
      </w:r>
      <w:r w:rsidR="00866CBA">
        <w:rPr>
          <w:lang w:val="en-CA" w:eastAsia="ja-JP"/>
        </w:rPr>
        <w:t>abled by the encoder only change.</w:t>
      </w:r>
    </w:p>
    <w:p w14:paraId="7E14D483" w14:textId="4F73C370" w:rsidR="00F36377" w:rsidRDefault="00F36377" w:rsidP="00E11923">
      <w:pPr>
        <w:pStyle w:val="1"/>
        <w:rPr>
          <w:lang w:val="en-CA" w:eastAsia="ja-JP"/>
        </w:rPr>
      </w:pPr>
      <w:r>
        <w:rPr>
          <w:rFonts w:hint="eastAsia"/>
          <w:lang w:val="en-CA" w:eastAsia="ja-JP"/>
        </w:rPr>
        <w:t>Simulation results</w:t>
      </w:r>
      <w:r w:rsidR="004C019D">
        <w:rPr>
          <w:lang w:val="en-CA" w:eastAsia="ja-JP"/>
        </w:rPr>
        <w:t xml:space="preserve"> and discussion</w:t>
      </w:r>
    </w:p>
    <w:p w14:paraId="3410172F" w14:textId="773FEBB6" w:rsidR="00590EA2" w:rsidRDefault="00590EA2" w:rsidP="00F36377">
      <w:pPr>
        <w:rPr>
          <w:lang w:val="en-CA" w:eastAsia="ja-JP"/>
        </w:rPr>
      </w:pPr>
      <w:r>
        <w:rPr>
          <w:rFonts w:hint="eastAsia"/>
          <w:lang w:val="en-CA" w:eastAsia="ja-JP"/>
        </w:rPr>
        <w:t xml:space="preserve">The CTU based intra refresh approach is </w:t>
      </w:r>
      <w:r>
        <w:rPr>
          <w:lang w:val="en-CA" w:eastAsia="ja-JP"/>
        </w:rPr>
        <w:t xml:space="preserve">implemented on the VTM3.0. It is noted that the anchor condition is described in the above section. The summary of BD-rate </w:t>
      </w:r>
      <w:r w:rsidR="0052539C">
        <w:rPr>
          <w:lang w:val="en-CA" w:eastAsia="ja-JP"/>
        </w:rPr>
        <w:t xml:space="preserve">is shown in </w:t>
      </w:r>
      <w:r w:rsidR="0052539C">
        <w:rPr>
          <w:lang w:val="en-CA" w:eastAsia="ja-JP"/>
        </w:rPr>
        <w:fldChar w:fldCharType="begin"/>
      </w:r>
      <w:r w:rsidR="0052539C">
        <w:rPr>
          <w:lang w:val="en-CA" w:eastAsia="ja-JP"/>
        </w:rPr>
        <w:instrText xml:space="preserve"> REF _Ref535193220 \h </w:instrText>
      </w:r>
      <w:r w:rsidR="0052539C">
        <w:rPr>
          <w:lang w:val="en-CA" w:eastAsia="ja-JP"/>
        </w:rPr>
      </w:r>
      <w:r w:rsidR="0052539C">
        <w:rPr>
          <w:lang w:val="en-CA" w:eastAsia="ja-JP"/>
        </w:rPr>
        <w:fldChar w:fldCharType="separate"/>
      </w:r>
      <w:r w:rsidR="0052539C">
        <w:t xml:space="preserve">Table </w:t>
      </w:r>
      <w:r w:rsidR="0052539C">
        <w:rPr>
          <w:noProof/>
        </w:rPr>
        <w:t>1</w:t>
      </w:r>
      <w:r w:rsidR="0052539C">
        <w:rPr>
          <w:lang w:val="en-CA" w:eastAsia="ja-JP"/>
        </w:rPr>
        <w:fldChar w:fldCharType="end"/>
      </w:r>
      <w:r>
        <w:rPr>
          <w:lang w:val="en-CA" w:eastAsia="ja-JP"/>
        </w:rPr>
        <w:t>.</w:t>
      </w:r>
      <w:r w:rsidR="00866CBA">
        <w:rPr>
          <w:lang w:val="en-CA" w:eastAsia="ja-JP"/>
        </w:rPr>
        <w:t xml:space="preserve"> In this stage, BD-rate loss value is not meaningful </w:t>
      </w:r>
      <w:r w:rsidR="008E3F6A">
        <w:rPr>
          <w:lang w:val="en-CA" w:eastAsia="ja-JP"/>
        </w:rPr>
        <w:t xml:space="preserve">due to the unfiled tool/setting changes and so on. It is noted that the no mismatch between encoder and decoder is confirmed, while an intra refresh functionality is not confirmed. We have not confirmed decoding the partial </w:t>
      </w:r>
      <w:proofErr w:type="spellStart"/>
      <w:r w:rsidR="008E3F6A">
        <w:rPr>
          <w:lang w:val="en-CA" w:eastAsia="ja-JP"/>
        </w:rPr>
        <w:t>bitstream</w:t>
      </w:r>
      <w:proofErr w:type="spellEnd"/>
      <w:r w:rsidR="008E3F6A">
        <w:rPr>
          <w:lang w:val="en-CA" w:eastAsia="ja-JP"/>
        </w:rPr>
        <w:t>.</w:t>
      </w:r>
    </w:p>
    <w:p w14:paraId="78FEB777" w14:textId="6037E9A7" w:rsidR="003C0ED3" w:rsidRDefault="003C0ED3" w:rsidP="00F36377">
      <w:pPr>
        <w:rPr>
          <w:lang w:val="en-CA" w:eastAsia="ja-JP"/>
        </w:rPr>
      </w:pPr>
      <w:r>
        <w:rPr>
          <w:lang w:val="en-CA" w:eastAsia="ja-JP"/>
        </w:rPr>
        <w:t>Since the two frames have no intra-refresh region, the comparison is not fair. To overcome the situation, we suggest to change intra refresh period to 30 frames, instead of 32 frames.</w:t>
      </w:r>
    </w:p>
    <w:p w14:paraId="23FBD864" w14:textId="2B4257E0" w:rsidR="00866CBA" w:rsidRDefault="003C0ED3" w:rsidP="00F36377">
      <w:pPr>
        <w:rPr>
          <w:rFonts w:hint="eastAsia"/>
          <w:lang w:val="en-CA" w:eastAsia="ja-JP"/>
        </w:rPr>
      </w:pPr>
      <w:r>
        <w:rPr>
          <w:lang w:val="en-CA" w:eastAsia="ja-JP"/>
        </w:rPr>
        <w:t xml:space="preserve">From the running time aspect, LDB condition for Class A requires more than 1 week. For our computer environment, 10 days are required on DaylightRoad2 QP22. </w:t>
      </w:r>
      <w:r w:rsidR="00866CBA">
        <w:rPr>
          <w:lang w:val="en-CA" w:eastAsia="ja-JP"/>
        </w:rPr>
        <w:t>Due to the fast evaluation, w</w:t>
      </w:r>
      <w:r>
        <w:rPr>
          <w:lang w:val="en-CA" w:eastAsia="ja-JP"/>
        </w:rPr>
        <w:t>e suggest to shorten the number of fr</w:t>
      </w:r>
      <w:r w:rsidR="00866CBA">
        <w:rPr>
          <w:lang w:val="en-CA" w:eastAsia="ja-JP"/>
        </w:rPr>
        <w:t>ames and/or crop the height of content to half.</w:t>
      </w:r>
    </w:p>
    <w:p w14:paraId="334FC661" w14:textId="6A1E2BBA" w:rsidR="00127E9B" w:rsidRDefault="00127E9B" w:rsidP="00127E9B">
      <w:pPr>
        <w:pStyle w:val="ab"/>
        <w:keepNext/>
        <w:jc w:val="center"/>
        <w:rPr>
          <w:lang w:val="en-CA" w:eastAsia="ja-JP"/>
        </w:rPr>
      </w:pPr>
      <w:bookmarkStart w:id="0" w:name="_Ref535193220"/>
      <w:r>
        <w:t xml:space="preserve">Table </w:t>
      </w:r>
      <w:r w:rsidR="00E76F2F">
        <w:rPr>
          <w:noProof/>
        </w:rPr>
        <w:fldChar w:fldCharType="begin"/>
      </w:r>
      <w:r w:rsidR="00E76F2F">
        <w:rPr>
          <w:noProof/>
        </w:rPr>
        <w:instrText xml:space="preserve"> SEQ Table \* ARABIC </w:instrText>
      </w:r>
      <w:r w:rsidR="00E76F2F">
        <w:rPr>
          <w:noProof/>
        </w:rPr>
        <w:fldChar w:fldCharType="separate"/>
      </w:r>
      <w:r>
        <w:rPr>
          <w:noProof/>
        </w:rPr>
        <w:t>1</w:t>
      </w:r>
      <w:r w:rsidR="00E76F2F">
        <w:rPr>
          <w:noProof/>
        </w:rPr>
        <w:fldChar w:fldCharType="end"/>
      </w:r>
      <w:bookmarkEnd w:id="0"/>
      <w:r>
        <w:t xml:space="preserve"> </w:t>
      </w:r>
      <w:r w:rsidRPr="009C4B3E">
        <w:t>Simulation results by the proposed method.</w:t>
      </w:r>
    </w:p>
    <w:tbl>
      <w:tblPr>
        <w:tblW w:w="5484" w:type="dxa"/>
        <w:jc w:val="center"/>
        <w:tblCellMar>
          <w:left w:w="99" w:type="dxa"/>
          <w:right w:w="99" w:type="dxa"/>
        </w:tblCellMar>
        <w:tblLook w:val="04A0" w:firstRow="1" w:lastRow="0" w:firstColumn="1" w:lastColumn="0" w:noHBand="0" w:noVBand="1"/>
      </w:tblPr>
      <w:tblGrid>
        <w:gridCol w:w="1640"/>
        <w:gridCol w:w="961"/>
        <w:gridCol w:w="961"/>
        <w:gridCol w:w="961"/>
        <w:gridCol w:w="961"/>
      </w:tblGrid>
      <w:tr w:rsidR="002009B9" w:rsidRPr="002009B9" w14:paraId="4FF23FF9" w14:textId="77777777" w:rsidTr="002009B9">
        <w:trPr>
          <w:trHeight w:val="255"/>
          <w:jc w:val="center"/>
        </w:trPr>
        <w:tc>
          <w:tcPr>
            <w:tcW w:w="1640" w:type="dxa"/>
            <w:tcBorders>
              <w:top w:val="nil"/>
              <w:left w:val="nil"/>
              <w:bottom w:val="nil"/>
              <w:right w:val="nil"/>
            </w:tcBorders>
            <w:shd w:val="clear" w:color="auto" w:fill="auto"/>
            <w:noWrap/>
            <w:vAlign w:val="center"/>
            <w:hideMark/>
          </w:tcPr>
          <w:p w14:paraId="3FD9F8CF"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3844" w:type="dxa"/>
            <w:gridSpan w:val="4"/>
            <w:tcBorders>
              <w:top w:val="single" w:sz="8" w:space="0" w:color="auto"/>
              <w:left w:val="single" w:sz="8" w:space="0" w:color="auto"/>
              <w:bottom w:val="nil"/>
              <w:right w:val="nil"/>
            </w:tcBorders>
            <w:shd w:val="clear" w:color="auto" w:fill="auto"/>
            <w:noWrap/>
            <w:vAlign w:val="center"/>
            <w:hideMark/>
          </w:tcPr>
          <w:p w14:paraId="282AEBA7"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sidRPr="002009B9">
              <w:rPr>
                <w:rFonts w:ascii="Arial" w:eastAsia="ＭＳ Ｐゴシック" w:hAnsi="Arial" w:cs="Arial"/>
                <w:b/>
                <w:bCs/>
                <w:color w:val="000000"/>
                <w:sz w:val="18"/>
                <w:szCs w:val="18"/>
                <w:lang w:eastAsia="ja-JP"/>
              </w:rPr>
              <w:t>IntraRefresh</w:t>
            </w:r>
            <w:proofErr w:type="spellEnd"/>
          </w:p>
        </w:tc>
      </w:tr>
      <w:tr w:rsidR="002009B9" w:rsidRPr="002009B9" w14:paraId="12D22072" w14:textId="77777777" w:rsidTr="002009B9">
        <w:trPr>
          <w:trHeight w:val="255"/>
          <w:jc w:val="center"/>
        </w:trPr>
        <w:tc>
          <w:tcPr>
            <w:tcW w:w="1640" w:type="dxa"/>
            <w:tcBorders>
              <w:top w:val="nil"/>
              <w:left w:val="nil"/>
              <w:bottom w:val="nil"/>
              <w:right w:val="nil"/>
            </w:tcBorders>
            <w:shd w:val="clear" w:color="auto" w:fill="auto"/>
            <w:noWrap/>
            <w:vAlign w:val="center"/>
            <w:hideMark/>
          </w:tcPr>
          <w:p w14:paraId="1B8D23C7"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3844" w:type="dxa"/>
            <w:gridSpan w:val="4"/>
            <w:tcBorders>
              <w:top w:val="single" w:sz="8" w:space="0" w:color="auto"/>
              <w:left w:val="single" w:sz="8" w:space="0" w:color="auto"/>
              <w:bottom w:val="nil"/>
              <w:right w:val="nil"/>
            </w:tcBorders>
            <w:shd w:val="clear" w:color="auto" w:fill="auto"/>
            <w:noWrap/>
            <w:vAlign w:val="center"/>
            <w:hideMark/>
          </w:tcPr>
          <w:p w14:paraId="10A2477D"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09B9">
              <w:rPr>
                <w:rFonts w:ascii="Arial" w:eastAsia="ＭＳ Ｐゴシック" w:hAnsi="Arial" w:cs="Arial"/>
                <w:b/>
                <w:bCs/>
                <w:color w:val="000000"/>
                <w:sz w:val="18"/>
                <w:szCs w:val="18"/>
                <w:lang w:eastAsia="ja-JP"/>
              </w:rPr>
              <w:t>Over VTM3.0+IntraRefreshCfg+IntraPeriod32</w:t>
            </w:r>
          </w:p>
        </w:tc>
      </w:tr>
      <w:tr w:rsidR="002009B9" w:rsidRPr="002009B9" w14:paraId="3771C431" w14:textId="77777777" w:rsidTr="002009B9">
        <w:trPr>
          <w:trHeight w:val="255"/>
          <w:jc w:val="center"/>
        </w:trPr>
        <w:tc>
          <w:tcPr>
            <w:tcW w:w="1640" w:type="dxa"/>
            <w:tcBorders>
              <w:top w:val="nil"/>
              <w:left w:val="nil"/>
              <w:bottom w:val="nil"/>
              <w:right w:val="nil"/>
            </w:tcBorders>
            <w:shd w:val="clear" w:color="auto" w:fill="auto"/>
            <w:noWrap/>
            <w:vAlign w:val="center"/>
            <w:hideMark/>
          </w:tcPr>
          <w:p w14:paraId="22337C60"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61" w:type="dxa"/>
            <w:tcBorders>
              <w:top w:val="nil"/>
              <w:left w:val="single" w:sz="8" w:space="0" w:color="auto"/>
              <w:bottom w:val="single" w:sz="8" w:space="0" w:color="auto"/>
              <w:right w:val="nil"/>
            </w:tcBorders>
            <w:shd w:val="clear" w:color="auto" w:fill="auto"/>
            <w:noWrap/>
            <w:vAlign w:val="center"/>
            <w:hideMark/>
          </w:tcPr>
          <w:p w14:paraId="2C3722E0"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09B9">
              <w:rPr>
                <w:rFonts w:ascii="Arial" w:eastAsia="ＭＳ Ｐゴシック" w:hAnsi="Arial" w:cs="Arial"/>
                <w:color w:val="000000"/>
                <w:sz w:val="18"/>
                <w:szCs w:val="18"/>
                <w:lang w:eastAsia="ja-JP"/>
              </w:rPr>
              <w:t>Y</w:t>
            </w:r>
          </w:p>
        </w:tc>
        <w:tc>
          <w:tcPr>
            <w:tcW w:w="961" w:type="dxa"/>
            <w:tcBorders>
              <w:top w:val="nil"/>
              <w:left w:val="nil"/>
              <w:bottom w:val="single" w:sz="8" w:space="0" w:color="auto"/>
              <w:right w:val="nil"/>
            </w:tcBorders>
            <w:shd w:val="clear" w:color="auto" w:fill="auto"/>
            <w:noWrap/>
            <w:vAlign w:val="center"/>
            <w:hideMark/>
          </w:tcPr>
          <w:p w14:paraId="5A41C776"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09B9">
              <w:rPr>
                <w:rFonts w:ascii="Arial" w:eastAsia="ＭＳ Ｐゴシック" w:hAnsi="Arial" w:cs="Arial"/>
                <w:color w:val="000000"/>
                <w:sz w:val="18"/>
                <w:szCs w:val="18"/>
                <w:lang w:eastAsia="ja-JP"/>
              </w:rPr>
              <w:t>U</w:t>
            </w:r>
          </w:p>
        </w:tc>
        <w:tc>
          <w:tcPr>
            <w:tcW w:w="961" w:type="dxa"/>
            <w:tcBorders>
              <w:top w:val="nil"/>
              <w:left w:val="nil"/>
              <w:bottom w:val="single" w:sz="8" w:space="0" w:color="auto"/>
              <w:right w:val="nil"/>
            </w:tcBorders>
            <w:shd w:val="clear" w:color="auto" w:fill="auto"/>
            <w:noWrap/>
            <w:vAlign w:val="center"/>
            <w:hideMark/>
          </w:tcPr>
          <w:p w14:paraId="288DDCC6"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09B9">
              <w:rPr>
                <w:rFonts w:ascii="Arial" w:eastAsia="ＭＳ Ｐゴシック" w:hAnsi="Arial" w:cs="Arial"/>
                <w:color w:val="000000"/>
                <w:sz w:val="18"/>
                <w:szCs w:val="18"/>
                <w:lang w:eastAsia="ja-JP"/>
              </w:rPr>
              <w:t>V</w:t>
            </w:r>
          </w:p>
        </w:tc>
        <w:tc>
          <w:tcPr>
            <w:tcW w:w="961" w:type="dxa"/>
            <w:tcBorders>
              <w:top w:val="nil"/>
              <w:left w:val="nil"/>
              <w:bottom w:val="single" w:sz="8" w:space="0" w:color="auto"/>
              <w:right w:val="single" w:sz="4" w:space="0" w:color="auto"/>
            </w:tcBorders>
            <w:shd w:val="clear" w:color="auto" w:fill="auto"/>
            <w:noWrap/>
            <w:vAlign w:val="center"/>
            <w:hideMark/>
          </w:tcPr>
          <w:p w14:paraId="655B68C6"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09B9">
              <w:rPr>
                <w:rFonts w:ascii="Arial" w:eastAsia="ＭＳ Ｐゴシック" w:hAnsi="Arial" w:cs="Arial"/>
                <w:color w:val="000000"/>
                <w:sz w:val="18"/>
                <w:szCs w:val="18"/>
                <w:lang w:eastAsia="ja-JP"/>
              </w:rPr>
              <w:t>YUV</w:t>
            </w:r>
          </w:p>
        </w:tc>
      </w:tr>
      <w:tr w:rsidR="002009B9" w:rsidRPr="002009B9" w14:paraId="2C92088C" w14:textId="77777777" w:rsidTr="002009B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805F33"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09B9">
              <w:rPr>
                <w:rFonts w:ascii="Arial" w:eastAsia="ＭＳ Ｐゴシック" w:hAnsi="Arial" w:cs="Arial"/>
                <w:color w:val="000000"/>
                <w:sz w:val="18"/>
                <w:szCs w:val="18"/>
                <w:lang w:eastAsia="ja-JP"/>
              </w:rPr>
              <w:t>Class A1</w:t>
            </w:r>
          </w:p>
        </w:tc>
        <w:tc>
          <w:tcPr>
            <w:tcW w:w="961" w:type="dxa"/>
            <w:tcBorders>
              <w:top w:val="single" w:sz="8" w:space="0" w:color="auto"/>
              <w:left w:val="single" w:sz="8" w:space="0" w:color="auto"/>
              <w:bottom w:val="nil"/>
              <w:right w:val="nil"/>
            </w:tcBorders>
            <w:shd w:val="clear" w:color="000000" w:fill="FFC7CE"/>
            <w:noWrap/>
            <w:vAlign w:val="center"/>
            <w:hideMark/>
          </w:tcPr>
          <w:p w14:paraId="31D0E160"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6.26%</w:t>
            </w:r>
          </w:p>
        </w:tc>
        <w:tc>
          <w:tcPr>
            <w:tcW w:w="961" w:type="dxa"/>
            <w:tcBorders>
              <w:top w:val="single" w:sz="8" w:space="0" w:color="auto"/>
              <w:left w:val="nil"/>
              <w:bottom w:val="nil"/>
              <w:right w:val="nil"/>
            </w:tcBorders>
            <w:shd w:val="clear" w:color="000000" w:fill="FFC7CE"/>
            <w:noWrap/>
            <w:vAlign w:val="center"/>
            <w:hideMark/>
          </w:tcPr>
          <w:p w14:paraId="3562DC0B"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16.73%</w:t>
            </w:r>
          </w:p>
        </w:tc>
        <w:tc>
          <w:tcPr>
            <w:tcW w:w="961" w:type="dxa"/>
            <w:tcBorders>
              <w:top w:val="single" w:sz="8" w:space="0" w:color="auto"/>
              <w:left w:val="nil"/>
              <w:bottom w:val="nil"/>
              <w:right w:val="nil"/>
            </w:tcBorders>
            <w:shd w:val="clear" w:color="000000" w:fill="FFC7CE"/>
            <w:noWrap/>
            <w:vAlign w:val="center"/>
            <w:hideMark/>
          </w:tcPr>
          <w:p w14:paraId="2CA0665E"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15.68%</w:t>
            </w:r>
          </w:p>
        </w:tc>
        <w:tc>
          <w:tcPr>
            <w:tcW w:w="961" w:type="dxa"/>
            <w:tcBorders>
              <w:top w:val="single" w:sz="8" w:space="0" w:color="auto"/>
              <w:left w:val="nil"/>
              <w:bottom w:val="nil"/>
              <w:right w:val="single" w:sz="4" w:space="0" w:color="auto"/>
            </w:tcBorders>
            <w:shd w:val="clear" w:color="000000" w:fill="FFC7CE"/>
            <w:noWrap/>
            <w:vAlign w:val="center"/>
            <w:hideMark/>
          </w:tcPr>
          <w:p w14:paraId="2083EBDB"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7.67%</w:t>
            </w:r>
          </w:p>
        </w:tc>
      </w:tr>
      <w:tr w:rsidR="002009B9" w:rsidRPr="002009B9" w14:paraId="0F3E765C" w14:textId="77777777" w:rsidTr="002009B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5EBDD2"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09B9">
              <w:rPr>
                <w:rFonts w:ascii="Arial" w:eastAsia="ＭＳ Ｐゴシック" w:hAnsi="Arial" w:cs="Arial"/>
                <w:color w:val="000000"/>
                <w:sz w:val="18"/>
                <w:szCs w:val="18"/>
                <w:lang w:eastAsia="ja-JP"/>
              </w:rPr>
              <w:t>Class A2</w:t>
            </w:r>
          </w:p>
        </w:tc>
        <w:tc>
          <w:tcPr>
            <w:tcW w:w="961" w:type="dxa"/>
            <w:tcBorders>
              <w:top w:val="nil"/>
              <w:left w:val="single" w:sz="8" w:space="0" w:color="auto"/>
              <w:bottom w:val="nil"/>
              <w:right w:val="nil"/>
            </w:tcBorders>
            <w:shd w:val="clear" w:color="000000" w:fill="FFC7CE"/>
            <w:noWrap/>
            <w:vAlign w:val="center"/>
            <w:hideMark/>
          </w:tcPr>
          <w:p w14:paraId="42A525C3"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6.05%</w:t>
            </w:r>
          </w:p>
        </w:tc>
        <w:tc>
          <w:tcPr>
            <w:tcW w:w="961" w:type="dxa"/>
            <w:tcBorders>
              <w:top w:val="nil"/>
              <w:left w:val="nil"/>
              <w:bottom w:val="nil"/>
              <w:right w:val="nil"/>
            </w:tcBorders>
            <w:shd w:val="clear" w:color="000000" w:fill="FFC7CE"/>
            <w:noWrap/>
            <w:vAlign w:val="center"/>
            <w:hideMark/>
          </w:tcPr>
          <w:p w14:paraId="54A68913"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11.75%</w:t>
            </w:r>
          </w:p>
        </w:tc>
        <w:tc>
          <w:tcPr>
            <w:tcW w:w="961" w:type="dxa"/>
            <w:tcBorders>
              <w:top w:val="nil"/>
              <w:left w:val="nil"/>
              <w:bottom w:val="nil"/>
              <w:right w:val="nil"/>
            </w:tcBorders>
            <w:shd w:val="clear" w:color="000000" w:fill="FFC7CE"/>
            <w:noWrap/>
            <w:vAlign w:val="center"/>
            <w:hideMark/>
          </w:tcPr>
          <w:p w14:paraId="13E57293"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7.69%</w:t>
            </w:r>
          </w:p>
        </w:tc>
        <w:tc>
          <w:tcPr>
            <w:tcW w:w="961" w:type="dxa"/>
            <w:tcBorders>
              <w:top w:val="nil"/>
              <w:left w:val="nil"/>
              <w:bottom w:val="nil"/>
              <w:right w:val="single" w:sz="4" w:space="0" w:color="auto"/>
            </w:tcBorders>
            <w:shd w:val="clear" w:color="000000" w:fill="FFC7CE"/>
            <w:noWrap/>
            <w:vAlign w:val="center"/>
            <w:hideMark/>
          </w:tcPr>
          <w:p w14:paraId="64692E9E"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5.97%</w:t>
            </w:r>
          </w:p>
        </w:tc>
      </w:tr>
      <w:tr w:rsidR="002009B9" w:rsidRPr="002009B9" w14:paraId="37B26D7C" w14:textId="77777777" w:rsidTr="002009B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4F4F5B"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009B9">
              <w:rPr>
                <w:rFonts w:ascii="Arial" w:eastAsia="ＭＳ Ｐゴシック" w:hAnsi="Arial" w:cs="Arial"/>
                <w:color w:val="000000"/>
                <w:sz w:val="18"/>
                <w:szCs w:val="18"/>
                <w:lang w:eastAsia="ja-JP"/>
              </w:rPr>
              <w:t>Class B</w:t>
            </w:r>
          </w:p>
        </w:tc>
        <w:tc>
          <w:tcPr>
            <w:tcW w:w="961" w:type="dxa"/>
            <w:tcBorders>
              <w:top w:val="nil"/>
              <w:left w:val="single" w:sz="8" w:space="0" w:color="auto"/>
              <w:bottom w:val="nil"/>
              <w:right w:val="nil"/>
            </w:tcBorders>
            <w:shd w:val="clear" w:color="000000" w:fill="FFC7CE"/>
            <w:noWrap/>
            <w:vAlign w:val="center"/>
            <w:hideMark/>
          </w:tcPr>
          <w:p w14:paraId="7FA44F24"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8.88%</w:t>
            </w:r>
          </w:p>
        </w:tc>
        <w:tc>
          <w:tcPr>
            <w:tcW w:w="961" w:type="dxa"/>
            <w:tcBorders>
              <w:top w:val="nil"/>
              <w:left w:val="nil"/>
              <w:bottom w:val="nil"/>
              <w:right w:val="nil"/>
            </w:tcBorders>
            <w:shd w:val="clear" w:color="000000" w:fill="FFC7CE"/>
            <w:noWrap/>
            <w:vAlign w:val="center"/>
            <w:hideMark/>
          </w:tcPr>
          <w:p w14:paraId="5D7D064C"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18.10%</w:t>
            </w:r>
          </w:p>
        </w:tc>
        <w:tc>
          <w:tcPr>
            <w:tcW w:w="961" w:type="dxa"/>
            <w:tcBorders>
              <w:top w:val="nil"/>
              <w:left w:val="nil"/>
              <w:bottom w:val="nil"/>
              <w:right w:val="nil"/>
            </w:tcBorders>
            <w:shd w:val="clear" w:color="000000" w:fill="FFC7CE"/>
            <w:noWrap/>
            <w:vAlign w:val="center"/>
            <w:hideMark/>
          </w:tcPr>
          <w:p w14:paraId="206772F2"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27.59%</w:t>
            </w:r>
          </w:p>
        </w:tc>
        <w:tc>
          <w:tcPr>
            <w:tcW w:w="961" w:type="dxa"/>
            <w:tcBorders>
              <w:top w:val="nil"/>
              <w:left w:val="nil"/>
              <w:bottom w:val="nil"/>
              <w:right w:val="single" w:sz="4" w:space="0" w:color="auto"/>
            </w:tcBorders>
            <w:shd w:val="clear" w:color="000000" w:fill="FFC7CE"/>
            <w:noWrap/>
            <w:vAlign w:val="center"/>
            <w:hideMark/>
          </w:tcPr>
          <w:p w14:paraId="3BB15F84"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9.83%</w:t>
            </w:r>
          </w:p>
        </w:tc>
      </w:tr>
      <w:tr w:rsidR="002009B9" w:rsidRPr="002009B9" w14:paraId="1CA92E73" w14:textId="77777777" w:rsidTr="002009B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C295F0"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009B9">
              <w:rPr>
                <w:rFonts w:ascii="Arial" w:eastAsia="ＭＳ Ｐゴシック" w:hAnsi="Arial" w:cs="Arial"/>
                <w:b/>
                <w:bCs/>
                <w:color w:val="000000"/>
                <w:sz w:val="18"/>
                <w:szCs w:val="18"/>
                <w:lang w:eastAsia="ja-JP"/>
              </w:rPr>
              <w:t xml:space="preserve">Overall </w:t>
            </w:r>
          </w:p>
        </w:tc>
        <w:tc>
          <w:tcPr>
            <w:tcW w:w="961" w:type="dxa"/>
            <w:tcBorders>
              <w:top w:val="single" w:sz="8" w:space="0" w:color="auto"/>
              <w:left w:val="single" w:sz="8" w:space="0" w:color="auto"/>
              <w:bottom w:val="single" w:sz="8" w:space="0" w:color="auto"/>
              <w:right w:val="nil"/>
            </w:tcBorders>
            <w:shd w:val="clear" w:color="000000" w:fill="FFC7CE"/>
            <w:noWrap/>
            <w:vAlign w:val="center"/>
            <w:hideMark/>
          </w:tcPr>
          <w:p w14:paraId="41FEDC73"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7.40%</w:t>
            </w:r>
          </w:p>
        </w:tc>
        <w:tc>
          <w:tcPr>
            <w:tcW w:w="961" w:type="dxa"/>
            <w:tcBorders>
              <w:top w:val="single" w:sz="8" w:space="0" w:color="auto"/>
              <w:left w:val="nil"/>
              <w:bottom w:val="single" w:sz="8" w:space="0" w:color="auto"/>
              <w:right w:val="nil"/>
            </w:tcBorders>
            <w:shd w:val="clear" w:color="000000" w:fill="FFC7CE"/>
            <w:noWrap/>
            <w:vAlign w:val="center"/>
            <w:hideMark/>
          </w:tcPr>
          <w:p w14:paraId="695BED75"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15.99%</w:t>
            </w:r>
          </w:p>
        </w:tc>
        <w:tc>
          <w:tcPr>
            <w:tcW w:w="961" w:type="dxa"/>
            <w:tcBorders>
              <w:top w:val="single" w:sz="8" w:space="0" w:color="auto"/>
              <w:left w:val="nil"/>
              <w:bottom w:val="single" w:sz="8" w:space="0" w:color="auto"/>
              <w:right w:val="nil"/>
            </w:tcBorders>
            <w:shd w:val="clear" w:color="000000" w:fill="FFC7CE"/>
            <w:noWrap/>
            <w:vAlign w:val="center"/>
            <w:hideMark/>
          </w:tcPr>
          <w:p w14:paraId="06B19EDD"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18.91%</w:t>
            </w:r>
          </w:p>
        </w:tc>
        <w:tc>
          <w:tcPr>
            <w:tcW w:w="961" w:type="dxa"/>
            <w:tcBorders>
              <w:top w:val="single" w:sz="8" w:space="0" w:color="auto"/>
              <w:left w:val="nil"/>
              <w:bottom w:val="single" w:sz="8" w:space="0" w:color="auto"/>
              <w:right w:val="single" w:sz="4" w:space="0" w:color="auto"/>
            </w:tcBorders>
            <w:shd w:val="clear" w:color="000000" w:fill="FFC7CE"/>
            <w:noWrap/>
            <w:vAlign w:val="center"/>
            <w:hideMark/>
          </w:tcPr>
          <w:p w14:paraId="67283357" w14:textId="77777777" w:rsidR="002009B9" w:rsidRPr="002009B9" w:rsidRDefault="002009B9" w:rsidP="002009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2009B9">
              <w:rPr>
                <w:rFonts w:ascii="Arial" w:eastAsia="ＭＳ Ｐゴシック" w:hAnsi="Arial" w:cs="Arial"/>
                <w:sz w:val="18"/>
                <w:szCs w:val="18"/>
                <w:lang w:eastAsia="ja-JP"/>
              </w:rPr>
              <w:t>8.19%</w:t>
            </w:r>
          </w:p>
        </w:tc>
      </w:tr>
    </w:tbl>
    <w:p w14:paraId="4262A218" w14:textId="79DB63AF" w:rsidR="00962D14" w:rsidRDefault="00962D14" w:rsidP="00E11923">
      <w:pPr>
        <w:pStyle w:val="1"/>
        <w:rPr>
          <w:lang w:val="en-CA" w:eastAsia="ja-JP"/>
        </w:rPr>
      </w:pPr>
      <w:r>
        <w:rPr>
          <w:rFonts w:hint="eastAsia"/>
          <w:lang w:val="en-CA" w:eastAsia="ja-JP"/>
        </w:rPr>
        <w:t>Conclusion</w:t>
      </w:r>
    </w:p>
    <w:p w14:paraId="32BA648B" w14:textId="0F401DB5" w:rsidR="00962D14" w:rsidRPr="00962D14" w:rsidRDefault="00866CBA" w:rsidP="00962D14">
      <w:pPr>
        <w:rPr>
          <w:lang w:val="en-CA" w:eastAsia="ja-JP"/>
        </w:rPr>
      </w:pPr>
      <w:r>
        <w:rPr>
          <w:rFonts w:hint="eastAsia"/>
          <w:lang w:val="en-CA" w:eastAsia="ja-JP"/>
        </w:rPr>
        <w:t xml:space="preserve">In this contribution, </w:t>
      </w:r>
      <w:r>
        <w:rPr>
          <w:lang w:val="en-CA" w:eastAsia="ja-JP"/>
        </w:rPr>
        <w:t xml:space="preserve">we reported the preliminary evaluation results by the CTU based intra refresh scheme. </w:t>
      </w:r>
      <w:r w:rsidR="008E3F6A">
        <w:rPr>
          <w:lang w:val="en-CA" w:eastAsia="ja-JP"/>
        </w:rPr>
        <w:t>Three suggestions are summarized as follows. CTU based intra refresh scheme is less complex than CU based one. Intra refresh period is set to 30 frame for fair comparison. Smaller content set for Class A is useful for the fast experiment.</w:t>
      </w:r>
    </w:p>
    <w:p w14:paraId="708C2981" w14:textId="4C2140A9" w:rsidR="00962D14" w:rsidRDefault="00962D14" w:rsidP="00E11923">
      <w:pPr>
        <w:pStyle w:val="1"/>
        <w:rPr>
          <w:lang w:val="en-CA" w:eastAsia="ja-JP"/>
        </w:rPr>
      </w:pPr>
      <w:r>
        <w:rPr>
          <w:rFonts w:hint="eastAsia"/>
          <w:lang w:val="en-CA" w:eastAsia="ja-JP"/>
        </w:rPr>
        <w:t>References</w:t>
      </w:r>
    </w:p>
    <w:p w14:paraId="4790F353" w14:textId="5829947B" w:rsidR="00F27DEE" w:rsidRPr="00F27DEE" w:rsidRDefault="008E3F6A" w:rsidP="008E3F6A">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1" w:name="_Ref534931560"/>
      <w:r w:rsidRPr="008E3F6A">
        <w:rPr>
          <w:szCs w:val="22"/>
          <w:lang w:val="en-CA" w:eastAsia="ja-JP"/>
        </w:rPr>
        <w:t xml:space="preserve">J.-M. </w:t>
      </w:r>
      <w:proofErr w:type="spellStart"/>
      <w:r w:rsidRPr="008E3F6A">
        <w:rPr>
          <w:szCs w:val="22"/>
          <w:lang w:val="en-CA" w:eastAsia="ja-JP"/>
        </w:rPr>
        <w:t>Thiesse</w:t>
      </w:r>
      <w:proofErr w:type="spellEnd"/>
      <w:r w:rsidRPr="008E3F6A">
        <w:rPr>
          <w:szCs w:val="22"/>
          <w:lang w:val="en-CA" w:eastAsia="ja-JP"/>
        </w:rPr>
        <w:t xml:space="preserve">, D. Nicholson, D. </w:t>
      </w:r>
      <w:proofErr w:type="spellStart"/>
      <w:r w:rsidRPr="008E3F6A">
        <w:rPr>
          <w:szCs w:val="22"/>
          <w:lang w:val="en-CA" w:eastAsia="ja-JP"/>
        </w:rPr>
        <w:t>Gommelet</w:t>
      </w:r>
      <w:proofErr w:type="spellEnd"/>
      <w:r w:rsidR="00F27DEE" w:rsidRPr="00F27DEE">
        <w:rPr>
          <w:szCs w:val="22"/>
          <w:lang w:val="en-CA" w:eastAsia="ja-JP"/>
        </w:rPr>
        <w:t>, “</w:t>
      </w:r>
      <w:r w:rsidRPr="00F23A45">
        <w:rPr>
          <w:rFonts w:eastAsia="Times New Roman"/>
          <w:szCs w:val="24"/>
          <w:lang w:val="en-CA" w:eastAsia="de-DE"/>
        </w:rPr>
        <w:t>AHG14: Intra Refresh Anchor Proposal</w:t>
      </w:r>
      <w:r w:rsidR="00F27DEE" w:rsidRPr="00F27DEE">
        <w:rPr>
          <w:szCs w:val="22"/>
          <w:lang w:val="en-CA" w:eastAsia="ja-JP"/>
        </w:rPr>
        <w:t>”, JVET-</w:t>
      </w:r>
      <w:r w:rsidR="00F27DEE" w:rsidRPr="00730833">
        <w:rPr>
          <w:lang w:eastAsia="de-DE"/>
        </w:rPr>
        <w:t>L01</w:t>
      </w:r>
      <w:r>
        <w:rPr>
          <w:lang w:eastAsia="de-DE"/>
        </w:rPr>
        <w:t>60</w:t>
      </w:r>
      <w:r w:rsidR="00F27DEE" w:rsidRPr="00F27DEE">
        <w:rPr>
          <w:lang w:val="en-CA" w:eastAsia="ja-JP"/>
        </w:rPr>
        <w:t>, Macao, CN, 3–12 Oct. 2018.</w:t>
      </w:r>
      <w:bookmarkEnd w:id="1"/>
    </w:p>
    <w:p w14:paraId="02015FBF" w14:textId="3E405C32" w:rsidR="00F27DEE" w:rsidRPr="00F27DEE" w:rsidRDefault="00F27DEE" w:rsidP="00F27DEE">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2" w:name="_Ref534931578"/>
      <w:bookmarkStart w:id="3" w:name="_GoBack"/>
      <w:bookmarkEnd w:id="3"/>
      <w:r w:rsidRPr="00F27DEE">
        <w:rPr>
          <w:lang w:val="en-CA" w:eastAsia="ja-JP"/>
        </w:rPr>
        <w:t xml:space="preserve">F. </w:t>
      </w:r>
      <w:proofErr w:type="spellStart"/>
      <w:r w:rsidRPr="00F27DEE">
        <w:rPr>
          <w:lang w:val="en-CA" w:eastAsia="ja-JP"/>
        </w:rPr>
        <w:t>Bossen</w:t>
      </w:r>
      <w:proofErr w:type="spellEnd"/>
      <w:r w:rsidRPr="00F27DEE">
        <w:rPr>
          <w:lang w:val="en-CA" w:eastAsia="ja-JP"/>
        </w:rPr>
        <w:t xml:space="preserve">, J. Boyce, K. </w:t>
      </w:r>
      <w:proofErr w:type="spellStart"/>
      <w:r w:rsidRPr="00F27DEE">
        <w:rPr>
          <w:lang w:val="en-CA" w:eastAsia="ja-JP"/>
        </w:rPr>
        <w:t>Suehring</w:t>
      </w:r>
      <w:proofErr w:type="spellEnd"/>
      <w:r w:rsidRPr="00F27DEE">
        <w:rPr>
          <w:lang w:val="en-CA" w:eastAsia="ja-JP"/>
        </w:rPr>
        <w:t xml:space="preserve">, X. Li, V. </w:t>
      </w:r>
      <w:proofErr w:type="spellStart"/>
      <w:r w:rsidRPr="00F27DEE">
        <w:rPr>
          <w:lang w:val="en-CA" w:eastAsia="ja-JP"/>
        </w:rPr>
        <w:t>Seregin</w:t>
      </w:r>
      <w:proofErr w:type="spellEnd"/>
      <w:r w:rsidRPr="00F27DEE">
        <w:rPr>
          <w:lang w:val="en-CA" w:eastAsia="ja-JP"/>
        </w:rPr>
        <w:t>, “JVET common test conditions and software reference configurations for SDR video”, JVET-L1010, Macao, CN, 3–12 Oct. 2018.</w:t>
      </w:r>
      <w:bookmarkEnd w:id="2"/>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6256E25" w:rsidR="00342FF4" w:rsidRPr="005B217D" w:rsidRDefault="0048492E" w:rsidP="009234A5">
      <w:pPr>
        <w:rPr>
          <w:szCs w:val="22"/>
          <w:lang w:val="en-CA"/>
        </w:rPr>
      </w:pPr>
      <w:r>
        <w:rPr>
          <w:b/>
          <w:szCs w:val="22"/>
          <w:lang w:val="en-CA"/>
        </w:rPr>
        <w:t>KDDI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C1FD8" w14:textId="77777777" w:rsidR="00E76F2F" w:rsidRDefault="00E76F2F">
      <w:r>
        <w:separator/>
      </w:r>
    </w:p>
  </w:endnote>
  <w:endnote w:type="continuationSeparator" w:id="0">
    <w:p w14:paraId="5ED75869" w14:textId="77777777" w:rsidR="00E76F2F" w:rsidRDefault="00E7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E3F6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A517A">
      <w:rPr>
        <w:rStyle w:val="a5"/>
        <w:noProof/>
      </w:rPr>
      <w:t>2019-01-14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FA658" w14:textId="77777777" w:rsidR="00E76F2F" w:rsidRDefault="00E76F2F">
      <w:r>
        <w:separator/>
      </w:r>
    </w:p>
  </w:footnote>
  <w:footnote w:type="continuationSeparator" w:id="0">
    <w:p w14:paraId="0978F89A" w14:textId="77777777" w:rsidR="00E76F2F" w:rsidRDefault="00E76F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3FD8"/>
    <w:rsid w:val="00094479"/>
    <w:rsid w:val="000962AC"/>
    <w:rsid w:val="000B0C0F"/>
    <w:rsid w:val="000B1C6B"/>
    <w:rsid w:val="000B4FF9"/>
    <w:rsid w:val="000C09AC"/>
    <w:rsid w:val="000E00F3"/>
    <w:rsid w:val="000F158C"/>
    <w:rsid w:val="00102F3D"/>
    <w:rsid w:val="00124E38"/>
    <w:rsid w:val="0012580B"/>
    <w:rsid w:val="00127E9B"/>
    <w:rsid w:val="00131F90"/>
    <w:rsid w:val="001337DF"/>
    <w:rsid w:val="0013458C"/>
    <w:rsid w:val="0013526E"/>
    <w:rsid w:val="00146152"/>
    <w:rsid w:val="00155526"/>
    <w:rsid w:val="00166376"/>
    <w:rsid w:val="00171371"/>
    <w:rsid w:val="00175A24"/>
    <w:rsid w:val="00187E58"/>
    <w:rsid w:val="00192E9D"/>
    <w:rsid w:val="00194EA9"/>
    <w:rsid w:val="001A297E"/>
    <w:rsid w:val="001A368E"/>
    <w:rsid w:val="001A7329"/>
    <w:rsid w:val="001A792F"/>
    <w:rsid w:val="001B4E28"/>
    <w:rsid w:val="001C26C8"/>
    <w:rsid w:val="001C3525"/>
    <w:rsid w:val="001C3AFB"/>
    <w:rsid w:val="001D1BD2"/>
    <w:rsid w:val="001E0248"/>
    <w:rsid w:val="001E02BE"/>
    <w:rsid w:val="001E3B37"/>
    <w:rsid w:val="001F2594"/>
    <w:rsid w:val="002009B9"/>
    <w:rsid w:val="002022A7"/>
    <w:rsid w:val="0020341E"/>
    <w:rsid w:val="002055A6"/>
    <w:rsid w:val="00206460"/>
    <w:rsid w:val="002069B4"/>
    <w:rsid w:val="00215DFC"/>
    <w:rsid w:val="00216DE2"/>
    <w:rsid w:val="002212DF"/>
    <w:rsid w:val="00222CD4"/>
    <w:rsid w:val="00225016"/>
    <w:rsid w:val="002253CA"/>
    <w:rsid w:val="002257AC"/>
    <w:rsid w:val="002264A6"/>
    <w:rsid w:val="00227BA7"/>
    <w:rsid w:val="0023011C"/>
    <w:rsid w:val="002375C1"/>
    <w:rsid w:val="002455B8"/>
    <w:rsid w:val="00263398"/>
    <w:rsid w:val="00263B99"/>
    <w:rsid w:val="00266F06"/>
    <w:rsid w:val="00275BCF"/>
    <w:rsid w:val="00291E36"/>
    <w:rsid w:val="00292257"/>
    <w:rsid w:val="002A54E0"/>
    <w:rsid w:val="002B1595"/>
    <w:rsid w:val="002B191D"/>
    <w:rsid w:val="002B2E83"/>
    <w:rsid w:val="002B68EB"/>
    <w:rsid w:val="002D0AF6"/>
    <w:rsid w:val="002E4E51"/>
    <w:rsid w:val="002F164D"/>
    <w:rsid w:val="003021BC"/>
    <w:rsid w:val="00306206"/>
    <w:rsid w:val="00317D85"/>
    <w:rsid w:val="00327C56"/>
    <w:rsid w:val="003315A1"/>
    <w:rsid w:val="003373EC"/>
    <w:rsid w:val="00337AB0"/>
    <w:rsid w:val="00342FF4"/>
    <w:rsid w:val="00344E5A"/>
    <w:rsid w:val="00346148"/>
    <w:rsid w:val="003669EA"/>
    <w:rsid w:val="003706CC"/>
    <w:rsid w:val="00377710"/>
    <w:rsid w:val="003A2D8E"/>
    <w:rsid w:val="003A7CE6"/>
    <w:rsid w:val="003C0ED3"/>
    <w:rsid w:val="003C20E4"/>
    <w:rsid w:val="003C3A83"/>
    <w:rsid w:val="003C47B3"/>
    <w:rsid w:val="003D6342"/>
    <w:rsid w:val="003E6F90"/>
    <w:rsid w:val="003E73ED"/>
    <w:rsid w:val="003F5D0F"/>
    <w:rsid w:val="00410EAB"/>
    <w:rsid w:val="00411483"/>
    <w:rsid w:val="00413029"/>
    <w:rsid w:val="00414101"/>
    <w:rsid w:val="004219CF"/>
    <w:rsid w:val="004234F0"/>
    <w:rsid w:val="00433DDB"/>
    <w:rsid w:val="00435A29"/>
    <w:rsid w:val="00437619"/>
    <w:rsid w:val="00465A1E"/>
    <w:rsid w:val="0048492E"/>
    <w:rsid w:val="0049445A"/>
    <w:rsid w:val="004A2A63"/>
    <w:rsid w:val="004B210C"/>
    <w:rsid w:val="004C019D"/>
    <w:rsid w:val="004C0743"/>
    <w:rsid w:val="004D405F"/>
    <w:rsid w:val="004E4F4F"/>
    <w:rsid w:val="004E6789"/>
    <w:rsid w:val="004F3EBC"/>
    <w:rsid w:val="004F61E3"/>
    <w:rsid w:val="00502E10"/>
    <w:rsid w:val="00503FFD"/>
    <w:rsid w:val="0051015C"/>
    <w:rsid w:val="00516CF1"/>
    <w:rsid w:val="0052539C"/>
    <w:rsid w:val="00531AE9"/>
    <w:rsid w:val="00550A66"/>
    <w:rsid w:val="005632B6"/>
    <w:rsid w:val="00567EC7"/>
    <w:rsid w:val="00570013"/>
    <w:rsid w:val="00573E44"/>
    <w:rsid w:val="005753EC"/>
    <w:rsid w:val="005801A2"/>
    <w:rsid w:val="00590EA2"/>
    <w:rsid w:val="005952A5"/>
    <w:rsid w:val="005A33A1"/>
    <w:rsid w:val="005B217D"/>
    <w:rsid w:val="005C385F"/>
    <w:rsid w:val="005E1AC6"/>
    <w:rsid w:val="005F6F1B"/>
    <w:rsid w:val="00615995"/>
    <w:rsid w:val="00616155"/>
    <w:rsid w:val="00624B33"/>
    <w:rsid w:val="00626B9E"/>
    <w:rsid w:val="0063041A"/>
    <w:rsid w:val="00630AA2"/>
    <w:rsid w:val="00646707"/>
    <w:rsid w:val="00657F7E"/>
    <w:rsid w:val="00662E58"/>
    <w:rsid w:val="006637F2"/>
    <w:rsid w:val="006642A5"/>
    <w:rsid w:val="00664DCF"/>
    <w:rsid w:val="006A517A"/>
    <w:rsid w:val="006C5D39"/>
    <w:rsid w:val="006D6156"/>
    <w:rsid w:val="006D6D9B"/>
    <w:rsid w:val="006E2810"/>
    <w:rsid w:val="006E5417"/>
    <w:rsid w:val="006F0794"/>
    <w:rsid w:val="006F5476"/>
    <w:rsid w:val="006F7528"/>
    <w:rsid w:val="007023DE"/>
    <w:rsid w:val="00712F60"/>
    <w:rsid w:val="00720E3B"/>
    <w:rsid w:val="00727570"/>
    <w:rsid w:val="0074393F"/>
    <w:rsid w:val="00745F6B"/>
    <w:rsid w:val="0075186B"/>
    <w:rsid w:val="0075585E"/>
    <w:rsid w:val="00770571"/>
    <w:rsid w:val="007768FF"/>
    <w:rsid w:val="00777013"/>
    <w:rsid w:val="007824D3"/>
    <w:rsid w:val="00796EE3"/>
    <w:rsid w:val="007A7D29"/>
    <w:rsid w:val="007B4AB8"/>
    <w:rsid w:val="007D1181"/>
    <w:rsid w:val="007E01A3"/>
    <w:rsid w:val="007F1F8B"/>
    <w:rsid w:val="007F67A1"/>
    <w:rsid w:val="00811C05"/>
    <w:rsid w:val="008206C8"/>
    <w:rsid w:val="0082302D"/>
    <w:rsid w:val="0086387C"/>
    <w:rsid w:val="00866CBA"/>
    <w:rsid w:val="00874A6C"/>
    <w:rsid w:val="00876C65"/>
    <w:rsid w:val="008A4B4C"/>
    <w:rsid w:val="008C239F"/>
    <w:rsid w:val="008E3F6A"/>
    <w:rsid w:val="008E480C"/>
    <w:rsid w:val="00907757"/>
    <w:rsid w:val="009212B0"/>
    <w:rsid w:val="00921FA1"/>
    <w:rsid w:val="0092245D"/>
    <w:rsid w:val="009234A5"/>
    <w:rsid w:val="00933453"/>
    <w:rsid w:val="009336F7"/>
    <w:rsid w:val="0093636C"/>
    <w:rsid w:val="009374A7"/>
    <w:rsid w:val="00955F6D"/>
    <w:rsid w:val="00962D14"/>
    <w:rsid w:val="00977C16"/>
    <w:rsid w:val="0098551D"/>
    <w:rsid w:val="0099518F"/>
    <w:rsid w:val="009A523D"/>
    <w:rsid w:val="009B02A1"/>
    <w:rsid w:val="009B3361"/>
    <w:rsid w:val="009B3AC9"/>
    <w:rsid w:val="009B7AB4"/>
    <w:rsid w:val="009C7D4D"/>
    <w:rsid w:val="009D7CE6"/>
    <w:rsid w:val="009F496B"/>
    <w:rsid w:val="00A01439"/>
    <w:rsid w:val="00A02E61"/>
    <w:rsid w:val="00A059FC"/>
    <w:rsid w:val="00A05CFF"/>
    <w:rsid w:val="00A13048"/>
    <w:rsid w:val="00A46843"/>
    <w:rsid w:val="00A56B97"/>
    <w:rsid w:val="00A6093D"/>
    <w:rsid w:val="00A71693"/>
    <w:rsid w:val="00A767DC"/>
    <w:rsid w:val="00A76A6D"/>
    <w:rsid w:val="00A83253"/>
    <w:rsid w:val="00AA6E84"/>
    <w:rsid w:val="00AB1A1C"/>
    <w:rsid w:val="00AB4968"/>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6A6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76C8"/>
    <w:rsid w:val="00D807BF"/>
    <w:rsid w:val="00D82FCC"/>
    <w:rsid w:val="00DA17FC"/>
    <w:rsid w:val="00DA7887"/>
    <w:rsid w:val="00DB2C26"/>
    <w:rsid w:val="00DC1F00"/>
    <w:rsid w:val="00DC6CF9"/>
    <w:rsid w:val="00DD02F4"/>
    <w:rsid w:val="00DD6622"/>
    <w:rsid w:val="00DE1C7C"/>
    <w:rsid w:val="00DE6B43"/>
    <w:rsid w:val="00DF78E6"/>
    <w:rsid w:val="00E04743"/>
    <w:rsid w:val="00E11923"/>
    <w:rsid w:val="00E262D4"/>
    <w:rsid w:val="00E36250"/>
    <w:rsid w:val="00E47F2D"/>
    <w:rsid w:val="00E54511"/>
    <w:rsid w:val="00E61DAC"/>
    <w:rsid w:val="00E72B80"/>
    <w:rsid w:val="00E75FE3"/>
    <w:rsid w:val="00E76F2F"/>
    <w:rsid w:val="00E86C4C"/>
    <w:rsid w:val="00E8775D"/>
    <w:rsid w:val="00E907A3"/>
    <w:rsid w:val="00E923AB"/>
    <w:rsid w:val="00EA5AE0"/>
    <w:rsid w:val="00EB56E1"/>
    <w:rsid w:val="00EB7AB1"/>
    <w:rsid w:val="00EE7768"/>
    <w:rsid w:val="00EE7CD8"/>
    <w:rsid w:val="00EF37F6"/>
    <w:rsid w:val="00EF48CC"/>
    <w:rsid w:val="00F00801"/>
    <w:rsid w:val="00F041C8"/>
    <w:rsid w:val="00F2488D"/>
    <w:rsid w:val="00F27DEE"/>
    <w:rsid w:val="00F36377"/>
    <w:rsid w:val="00F45CAA"/>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71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Equation">
    <w:name w:val="Equation"/>
    <w:basedOn w:val="a"/>
    <w:uiPriority w:val="99"/>
    <w:qFormat/>
    <w:rsid w:val="00216D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b">
    <w:name w:val="caption"/>
    <w:basedOn w:val="a"/>
    <w:next w:val="a"/>
    <w:unhideWhenUsed/>
    <w:qFormat/>
    <w:rsid w:val="00127E9B"/>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534140">
      <w:bodyDiv w:val="1"/>
      <w:marLeft w:val="0"/>
      <w:marRight w:val="0"/>
      <w:marTop w:val="0"/>
      <w:marBottom w:val="0"/>
      <w:divBdr>
        <w:top w:val="none" w:sz="0" w:space="0" w:color="auto"/>
        <w:left w:val="none" w:sz="0" w:space="0" w:color="auto"/>
        <w:bottom w:val="none" w:sz="0" w:space="0" w:color="auto"/>
        <w:right w:val="none" w:sz="0" w:space="0" w:color="auto"/>
      </w:divBdr>
    </w:div>
    <w:div w:id="598414294">
      <w:bodyDiv w:val="1"/>
      <w:marLeft w:val="0"/>
      <w:marRight w:val="0"/>
      <w:marTop w:val="0"/>
      <w:marBottom w:val="0"/>
      <w:divBdr>
        <w:top w:val="none" w:sz="0" w:space="0" w:color="auto"/>
        <w:left w:val="none" w:sz="0" w:space="0" w:color="auto"/>
        <w:bottom w:val="none" w:sz="0" w:space="0" w:color="auto"/>
        <w:right w:val="none" w:sz="0" w:space="0" w:color="auto"/>
      </w:divBdr>
    </w:div>
    <w:div w:id="677078531">
      <w:bodyDiv w:val="1"/>
      <w:marLeft w:val="0"/>
      <w:marRight w:val="0"/>
      <w:marTop w:val="0"/>
      <w:marBottom w:val="0"/>
      <w:divBdr>
        <w:top w:val="none" w:sz="0" w:space="0" w:color="auto"/>
        <w:left w:val="none" w:sz="0" w:space="0" w:color="auto"/>
        <w:bottom w:val="none" w:sz="0" w:space="0" w:color="auto"/>
        <w:right w:val="none" w:sz="0" w:space="0" w:color="auto"/>
      </w:divBdr>
    </w:div>
    <w:div w:id="845944516">
      <w:bodyDiv w:val="1"/>
      <w:marLeft w:val="0"/>
      <w:marRight w:val="0"/>
      <w:marTop w:val="0"/>
      <w:marBottom w:val="0"/>
      <w:divBdr>
        <w:top w:val="none" w:sz="0" w:space="0" w:color="auto"/>
        <w:left w:val="none" w:sz="0" w:space="0" w:color="auto"/>
        <w:bottom w:val="none" w:sz="0" w:space="0" w:color="auto"/>
        <w:right w:val="none" w:sz="0" w:space="0" w:color="auto"/>
      </w:divBdr>
    </w:div>
    <w:div w:id="12011641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198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791E1-B630-4E28-8FBF-4BEA82C55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2</Pages>
  <Words>816</Words>
  <Characters>4655</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5461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kei</cp:lastModifiedBy>
  <cp:revision>35</cp:revision>
  <cp:lastPrinted>1900-01-01T08:00:00Z</cp:lastPrinted>
  <dcterms:created xsi:type="dcterms:W3CDTF">2018-08-09T13:44:00Z</dcterms:created>
  <dcterms:modified xsi:type="dcterms:W3CDTF">2019-01-13T17:52:00Z</dcterms:modified>
</cp:coreProperties>
</file>