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w:t>
            </w:r>
            <w:bookmarkStart w:id="0" w:name="_GoBack"/>
            <w:bookmarkEnd w:id="0"/>
            <w:r w:rsidR="00F712E9">
              <w:rPr>
                <w:b/>
                <w:szCs w:val="22"/>
                <w:lang w:val="en-CA"/>
              </w:rPr>
              <w:t>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D3AA3DB" w:rsidR="008A4B4C" w:rsidRPr="005B217D" w:rsidRDefault="00E61DAC" w:rsidP="00C264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D11E5">
              <w:rPr>
                <w:lang w:val="en-CA"/>
              </w:rPr>
              <w:t>M0</w:t>
            </w:r>
            <w:r w:rsidR="00AA4BAD">
              <w:rPr>
                <w:lang w:val="en-CA"/>
              </w:rPr>
              <w:t>527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2DAE23" w:rsidR="00E61DAC" w:rsidRPr="005B217D" w:rsidRDefault="00C26482" w:rsidP="00C26482">
            <w:pPr>
              <w:spacing w:before="60" w:after="60"/>
              <w:rPr>
                <w:b/>
                <w:szCs w:val="22"/>
                <w:lang w:val="en-CA"/>
              </w:rPr>
            </w:pPr>
            <w:r>
              <w:rPr>
                <w:b/>
                <w:szCs w:val="22"/>
                <w:lang w:val="en-CA"/>
              </w:rPr>
              <w:t xml:space="preserve">AHG12: Comments on </w:t>
            </w:r>
            <w:r w:rsidR="003B3C34">
              <w:rPr>
                <w:b/>
                <w:szCs w:val="22"/>
                <w:lang w:val="en-CA"/>
              </w:rPr>
              <w:t xml:space="preserve">Tiles and </w:t>
            </w:r>
            <w:r>
              <w:rPr>
                <w:b/>
                <w:szCs w:val="22"/>
                <w:lang w:val="en-CA"/>
              </w:rPr>
              <w:t xml:space="preserve">Flexible Tile Partitioning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D56552" w:rsidR="00E61DAC" w:rsidRPr="005B217D" w:rsidRDefault="00D2128A"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0C20B6" w14:textId="77777777" w:rsidR="00C26482" w:rsidRDefault="00C26482" w:rsidP="00CD1C67">
            <w:pPr>
              <w:spacing w:before="60" w:after="60"/>
              <w:rPr>
                <w:szCs w:val="22"/>
                <w:lang w:val="en-CA"/>
              </w:rPr>
            </w:pPr>
            <w:r>
              <w:rPr>
                <w:szCs w:val="22"/>
                <w:lang w:val="en-CA"/>
              </w:rPr>
              <w:t>Wade Wan</w:t>
            </w:r>
          </w:p>
          <w:p w14:paraId="433F1C95" w14:textId="09D8E801" w:rsidR="00E61DAC" w:rsidRDefault="00CD1C67" w:rsidP="00CD1C67">
            <w:pPr>
              <w:spacing w:before="60" w:after="60"/>
              <w:rPr>
                <w:szCs w:val="22"/>
                <w:lang w:val="en-CA"/>
              </w:rPr>
            </w:pPr>
            <w:r>
              <w:rPr>
                <w:szCs w:val="22"/>
                <w:lang w:val="en-CA"/>
              </w:rPr>
              <w:t>Minhua Zhou</w:t>
            </w:r>
          </w:p>
          <w:p w14:paraId="4AF07BAF" w14:textId="77777777" w:rsidR="00CD1C67" w:rsidRDefault="00C26482" w:rsidP="00CD1C67">
            <w:pPr>
              <w:spacing w:before="60" w:after="60"/>
              <w:rPr>
                <w:szCs w:val="22"/>
                <w:lang w:val="en-CA"/>
              </w:rPr>
            </w:pPr>
            <w:r>
              <w:rPr>
                <w:szCs w:val="22"/>
                <w:lang w:val="en-CA"/>
              </w:rPr>
              <w:t>Tim Hellman</w:t>
            </w:r>
          </w:p>
          <w:p w14:paraId="06C5B827" w14:textId="77777777" w:rsidR="005F45D2" w:rsidRDefault="005F45D2" w:rsidP="00CD1C67">
            <w:pPr>
              <w:spacing w:before="60" w:after="60"/>
              <w:rPr>
                <w:szCs w:val="22"/>
                <w:lang w:val="en-CA"/>
              </w:rPr>
            </w:pPr>
            <w:r>
              <w:rPr>
                <w:szCs w:val="22"/>
                <w:lang w:val="en-CA"/>
              </w:rPr>
              <w:t>Brian Heng</w:t>
            </w:r>
          </w:p>
          <w:p w14:paraId="49D81240" w14:textId="4309C914" w:rsidR="005F45D2" w:rsidRPr="005B217D" w:rsidRDefault="005F45D2" w:rsidP="00CD1C67">
            <w:pPr>
              <w:spacing w:before="60" w:after="60"/>
              <w:rPr>
                <w:szCs w:val="22"/>
                <w:lang w:val="en-CA"/>
              </w:rPr>
            </w:pPr>
            <w:r>
              <w:rPr>
                <w:szCs w:val="22"/>
                <w:lang w:val="en-CA"/>
              </w:rPr>
              <w:t>Peisong Chen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782A26ED" w14:textId="00DC80C9" w:rsidR="008346AF" w:rsidRDefault="00A31FDE" w:rsidP="000817A8">
            <w:pPr>
              <w:spacing w:before="60" w:after="60"/>
            </w:pPr>
            <w:hyperlink r:id="rId11" w:history="1">
              <w:r w:rsidR="00C26482" w:rsidRPr="004D34D5">
                <w:rPr>
                  <w:rStyle w:val="Hyperlink"/>
                </w:rPr>
                <w:t>wade.wan@broadcom.com</w:t>
              </w:r>
            </w:hyperlink>
          </w:p>
          <w:p w14:paraId="77F1DEFE" w14:textId="66283F76" w:rsidR="00CD1C67" w:rsidRDefault="00A31FDE" w:rsidP="000817A8">
            <w:pPr>
              <w:spacing w:before="60" w:after="60"/>
            </w:pPr>
            <w:hyperlink r:id="rId12" w:history="1">
              <w:r w:rsidR="00C26482" w:rsidRPr="004D34D5">
                <w:rPr>
                  <w:rStyle w:val="Hyperlink"/>
                </w:rPr>
                <w:t>minhua.zhou@broadcom.com</w:t>
              </w:r>
            </w:hyperlink>
          </w:p>
          <w:p w14:paraId="6973EBE4" w14:textId="77777777" w:rsidR="00CD1C67" w:rsidRDefault="00A31FDE" w:rsidP="00C26482">
            <w:pPr>
              <w:spacing w:before="60" w:after="60"/>
              <w:rPr>
                <w:rStyle w:val="Hyperlink"/>
              </w:rPr>
            </w:pPr>
            <w:hyperlink r:id="rId13" w:history="1">
              <w:r w:rsidR="00C26482" w:rsidRPr="004D34D5">
                <w:rPr>
                  <w:rStyle w:val="Hyperlink"/>
                </w:rPr>
                <w:t>tim.hellman@broadcom.com</w:t>
              </w:r>
            </w:hyperlink>
          </w:p>
          <w:p w14:paraId="18C9AFFD" w14:textId="77777777" w:rsidR="005F45D2" w:rsidRDefault="00A31FDE" w:rsidP="00C26482">
            <w:pPr>
              <w:spacing w:before="60" w:after="60"/>
              <w:rPr>
                <w:rStyle w:val="Hyperlink"/>
              </w:rPr>
            </w:pPr>
            <w:hyperlink r:id="rId14" w:history="1">
              <w:r w:rsidR="005F45D2" w:rsidRPr="00635FDE">
                <w:rPr>
                  <w:rStyle w:val="Hyperlink"/>
                </w:rPr>
                <w:t>brian.heng@broadcom.com</w:t>
              </w:r>
            </w:hyperlink>
          </w:p>
          <w:p w14:paraId="32C2ABFD" w14:textId="0C713C27" w:rsidR="005F45D2" w:rsidRPr="005B217D" w:rsidRDefault="005F45D2" w:rsidP="00C26482">
            <w:pPr>
              <w:spacing w:before="60" w:after="60"/>
              <w:rPr>
                <w:szCs w:val="22"/>
                <w:lang w:val="en-CA"/>
              </w:rPr>
            </w:pPr>
            <w:r>
              <w:rPr>
                <w:rStyle w:val="Hyperlink"/>
              </w:rPr>
              <w:t>peisong.chen@broadcom.com</w:t>
            </w:r>
          </w:p>
        </w:tc>
      </w:tr>
      <w:tr w:rsidR="00E61DAC" w:rsidRPr="005B217D" w14:paraId="49AFAA61" w14:textId="77777777" w:rsidTr="000962AC">
        <w:tc>
          <w:tcPr>
            <w:tcW w:w="1458" w:type="dxa"/>
          </w:tcPr>
          <w:p w14:paraId="2C08AF6B" w14:textId="6A365FE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EAD561" w:rsidR="00E61DAC" w:rsidRPr="005B217D" w:rsidRDefault="00CD1C67" w:rsidP="009459D9">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34020A" w14:textId="162F6774" w:rsidR="00FF57A2" w:rsidRDefault="00D2128A" w:rsidP="00FF57A2">
      <w:pPr>
        <w:rPr>
          <w:szCs w:val="22"/>
          <w:lang w:val="en-CA"/>
        </w:rPr>
      </w:pPr>
      <w:r>
        <w:rPr>
          <w:szCs w:val="22"/>
          <w:lang w:val="en-CA"/>
        </w:rPr>
        <w:t xml:space="preserve">The following document </w:t>
      </w:r>
      <w:r w:rsidR="00C26482">
        <w:rPr>
          <w:szCs w:val="22"/>
          <w:lang w:val="en-CA"/>
        </w:rPr>
        <w:t xml:space="preserve">provides comments </w:t>
      </w:r>
      <w:r w:rsidR="003B3C34">
        <w:rPr>
          <w:szCs w:val="22"/>
          <w:lang w:val="en-CA"/>
        </w:rPr>
        <w:t xml:space="preserve">on </w:t>
      </w:r>
      <w:r w:rsidR="00C26482">
        <w:rPr>
          <w:szCs w:val="22"/>
          <w:lang w:val="en-CA"/>
        </w:rPr>
        <w:t>t</w:t>
      </w:r>
      <w:r w:rsidR="00DB43A9">
        <w:rPr>
          <w:szCs w:val="22"/>
          <w:lang w:val="en-CA"/>
        </w:rPr>
        <w:t>iles and more specifically, t</w:t>
      </w:r>
      <w:r w:rsidR="00C26482">
        <w:rPr>
          <w:szCs w:val="22"/>
          <w:lang w:val="en-CA"/>
        </w:rPr>
        <w:t xml:space="preserve">he flexible tile partitioning feature discussed in </w:t>
      </w:r>
      <w:r w:rsidR="00714E80">
        <w:rPr>
          <w:szCs w:val="22"/>
          <w:lang w:val="en-CA"/>
        </w:rPr>
        <w:t xml:space="preserve">recent </w:t>
      </w:r>
      <w:r w:rsidR="00C26482">
        <w:rPr>
          <w:szCs w:val="22"/>
          <w:lang w:val="en-CA"/>
        </w:rPr>
        <w:t>meetings</w:t>
      </w:r>
      <w:r w:rsidR="00DB43A9">
        <w:rPr>
          <w:szCs w:val="22"/>
          <w:lang w:val="en-CA"/>
        </w:rPr>
        <w:t xml:space="preserve">.  The authors </w:t>
      </w:r>
      <w:r w:rsidR="00714E80">
        <w:rPr>
          <w:szCs w:val="22"/>
          <w:lang w:val="en-CA"/>
        </w:rPr>
        <w:t xml:space="preserve">assert that the idea of generalizing tile partitioning to allow for tiles being split into units smaller than a CTU may sound simple conceptually but has a significant impact to implementations and </w:t>
      </w:r>
      <w:r w:rsidR="00FF57A2">
        <w:rPr>
          <w:szCs w:val="22"/>
          <w:lang w:val="en-CA"/>
        </w:rPr>
        <w:t xml:space="preserve">wish to </w:t>
      </w:r>
      <w:r w:rsidR="00714E80">
        <w:rPr>
          <w:szCs w:val="22"/>
          <w:lang w:val="en-CA"/>
        </w:rPr>
        <w:t xml:space="preserve">express </w:t>
      </w:r>
      <w:r w:rsidR="00FF57A2">
        <w:rPr>
          <w:szCs w:val="22"/>
          <w:lang w:val="en-CA"/>
        </w:rPr>
        <w:t xml:space="preserve">significant </w:t>
      </w:r>
      <w:r w:rsidR="00714E80">
        <w:rPr>
          <w:szCs w:val="22"/>
          <w:lang w:val="en-CA"/>
        </w:rPr>
        <w:t xml:space="preserve">concern </w:t>
      </w:r>
      <w:r w:rsidR="00FF57A2">
        <w:rPr>
          <w:szCs w:val="22"/>
          <w:lang w:val="en-CA"/>
        </w:rPr>
        <w:t xml:space="preserve">with </w:t>
      </w:r>
      <w:r w:rsidR="00714E80">
        <w:rPr>
          <w:szCs w:val="22"/>
          <w:lang w:val="en-CA"/>
        </w:rPr>
        <w:t xml:space="preserve">the implications on frame compression, </w:t>
      </w:r>
      <w:r w:rsidR="00036045">
        <w:rPr>
          <w:szCs w:val="22"/>
          <w:lang w:val="en-CA"/>
        </w:rPr>
        <w:t>virtual pipeline data unit</w:t>
      </w:r>
      <w:r w:rsidR="00714E80">
        <w:rPr>
          <w:szCs w:val="22"/>
          <w:lang w:val="en-CA"/>
        </w:rPr>
        <w:t xml:space="preserve"> processing rate, in-loop filters a</w:t>
      </w:r>
      <w:r w:rsidR="001A6AA6">
        <w:rPr>
          <w:szCs w:val="22"/>
          <w:lang w:val="en-CA"/>
        </w:rPr>
        <w:t>nd on-chip memory access overhea</w:t>
      </w:r>
      <w:r w:rsidR="00714E80">
        <w:rPr>
          <w:szCs w:val="22"/>
          <w:lang w:val="en-CA"/>
        </w:rPr>
        <w:t xml:space="preserve">d.  Therefore, it is suggested </w:t>
      </w:r>
      <w:r w:rsidR="00FF57A2">
        <w:rPr>
          <w:szCs w:val="22"/>
          <w:lang w:val="en-CA"/>
        </w:rPr>
        <w:t xml:space="preserve">that </w:t>
      </w:r>
      <w:r w:rsidR="00714E80">
        <w:rPr>
          <w:szCs w:val="22"/>
          <w:lang w:val="en-CA"/>
        </w:rPr>
        <w:t xml:space="preserve">the </w:t>
      </w:r>
      <w:r w:rsidR="00FF57A2">
        <w:rPr>
          <w:szCs w:val="22"/>
          <w:lang w:val="en-CA"/>
        </w:rPr>
        <w:t>topic be more carefully studied, discuss whether tile functionality without splitting into smaller CTUs is already sufficient for applications such as 360 and frame packing video which may not be as prevalent as traditional 2D video and/or consider alternative techniques rather than flexible tile partitioning.</w:t>
      </w:r>
    </w:p>
    <w:p w14:paraId="7D2AC1F0" w14:textId="422280A1" w:rsidR="00745F6B" w:rsidRDefault="00C13B82" w:rsidP="00FF57A2">
      <w:pPr>
        <w:pStyle w:val="Heading1"/>
        <w:rPr>
          <w:lang w:val="en-CA"/>
        </w:rPr>
      </w:pPr>
      <w:r>
        <w:rPr>
          <w:lang w:val="en-CA"/>
        </w:rPr>
        <w:t>Introduction</w:t>
      </w:r>
    </w:p>
    <w:p w14:paraId="12D622E6" w14:textId="07DAE5B3" w:rsidR="00E22988" w:rsidRDefault="00E22988" w:rsidP="00F61DF4">
      <w:pPr>
        <w:rPr>
          <w:lang w:val="en-CA"/>
        </w:rPr>
      </w:pPr>
      <w:r>
        <w:rPr>
          <w:lang w:val="en-CA"/>
        </w:rPr>
        <w:t xml:space="preserve">A more flexible form of tile partitioning </w:t>
      </w:r>
      <w:r w:rsidR="007C7CCA">
        <w:rPr>
          <w:lang w:val="en-CA"/>
        </w:rPr>
        <w:t>that allow</w:t>
      </w:r>
      <w:r w:rsidR="001A6AA6">
        <w:rPr>
          <w:lang w:val="en-CA"/>
        </w:rPr>
        <w:t>s</w:t>
      </w:r>
      <w:r w:rsidR="007C7CCA">
        <w:rPr>
          <w:lang w:val="en-CA"/>
        </w:rPr>
        <w:t xml:space="preserve"> </w:t>
      </w:r>
      <w:r>
        <w:rPr>
          <w:lang w:val="en-CA"/>
        </w:rPr>
        <w:t xml:space="preserve">tiles </w:t>
      </w:r>
      <w:r w:rsidR="00F541CA">
        <w:rPr>
          <w:lang w:val="en-CA"/>
        </w:rPr>
        <w:t xml:space="preserve">to </w:t>
      </w:r>
      <w:r>
        <w:rPr>
          <w:lang w:val="en-CA"/>
        </w:rPr>
        <w:t>be split into units smaller than a CTU has been presented in JVET-K0155 [1] and JVET-L0359 [2].</w:t>
      </w:r>
      <w:r w:rsidR="007C7CCA">
        <w:rPr>
          <w:lang w:val="en-CA"/>
        </w:rPr>
        <w:t xml:space="preserve">  It was asserted </w:t>
      </w:r>
      <w:r w:rsidR="00F541CA">
        <w:rPr>
          <w:lang w:val="en-CA"/>
        </w:rPr>
        <w:t>in JVET-</w:t>
      </w:r>
      <w:r w:rsidR="007C7CCA">
        <w:rPr>
          <w:lang w:val="en-CA"/>
        </w:rPr>
        <w:t xml:space="preserve">L0359 that an important motivation for this feature was load balancing but it was </w:t>
      </w:r>
      <w:r w:rsidR="00F541CA">
        <w:rPr>
          <w:lang w:val="en-CA"/>
        </w:rPr>
        <w:t xml:space="preserve">unclear </w:t>
      </w:r>
      <w:r w:rsidR="00FF57A2">
        <w:rPr>
          <w:lang w:val="en-CA"/>
        </w:rPr>
        <w:t xml:space="preserve">whether </w:t>
      </w:r>
      <w:r w:rsidR="007C7CCA">
        <w:rPr>
          <w:lang w:val="en-CA"/>
        </w:rPr>
        <w:t xml:space="preserve">that </w:t>
      </w:r>
      <w:r w:rsidR="00FF57A2">
        <w:rPr>
          <w:lang w:val="en-CA"/>
        </w:rPr>
        <w:t xml:space="preserve">assertion </w:t>
      </w:r>
      <w:r w:rsidR="007C7CCA">
        <w:rPr>
          <w:lang w:val="en-CA"/>
        </w:rPr>
        <w:t xml:space="preserve">was generally accepted or interesting to the group.  It was also asserted that this feature was useful for 360 </w:t>
      </w:r>
      <w:r w:rsidR="001A6AA6">
        <w:rPr>
          <w:lang w:val="en-CA"/>
        </w:rPr>
        <w:t xml:space="preserve">video </w:t>
      </w:r>
      <w:r w:rsidR="007C7CCA">
        <w:rPr>
          <w:lang w:val="en-CA"/>
        </w:rPr>
        <w:t>and/or frame packing video to accommodate different rectangular face sizes</w:t>
      </w:r>
      <w:r w:rsidR="00FF57A2">
        <w:rPr>
          <w:lang w:val="en-CA"/>
        </w:rPr>
        <w:t>. The</w:t>
      </w:r>
      <w:r w:rsidR="007C7CCA">
        <w:rPr>
          <w:lang w:val="en-CA"/>
        </w:rPr>
        <w:t xml:space="preserve">se use cases </w:t>
      </w:r>
      <w:r w:rsidR="00FF57A2">
        <w:rPr>
          <w:lang w:val="en-CA"/>
        </w:rPr>
        <w:t xml:space="preserve">seem </w:t>
      </w:r>
      <w:r w:rsidR="007C7CCA">
        <w:rPr>
          <w:lang w:val="en-CA"/>
        </w:rPr>
        <w:t xml:space="preserve">narrowly focused and not </w:t>
      </w:r>
      <w:r w:rsidR="001A6AA6">
        <w:rPr>
          <w:lang w:val="en-CA"/>
        </w:rPr>
        <w:t xml:space="preserve">likely </w:t>
      </w:r>
      <w:r w:rsidR="007C7CCA">
        <w:rPr>
          <w:lang w:val="en-CA"/>
        </w:rPr>
        <w:t xml:space="preserve">as prevalent as traditional 2D video, </w:t>
      </w:r>
      <w:r w:rsidR="00FF57A2">
        <w:rPr>
          <w:lang w:val="en-CA"/>
        </w:rPr>
        <w:t xml:space="preserve">so perhaps </w:t>
      </w:r>
      <w:r w:rsidR="007C7CCA">
        <w:rPr>
          <w:lang w:val="en-CA"/>
        </w:rPr>
        <w:t>other techniques such as defining active region</w:t>
      </w:r>
      <w:r w:rsidR="00F541CA">
        <w:rPr>
          <w:lang w:val="en-CA"/>
        </w:rPr>
        <w:t>(s)</w:t>
      </w:r>
      <w:r w:rsidR="007C7CCA">
        <w:rPr>
          <w:lang w:val="en-CA"/>
        </w:rPr>
        <w:t xml:space="preserve"> and/or cropping window</w:t>
      </w:r>
      <w:r w:rsidR="00F541CA">
        <w:rPr>
          <w:lang w:val="en-CA"/>
        </w:rPr>
        <w:t>(s) could facilitate the same functionality</w:t>
      </w:r>
      <w:r w:rsidR="007C7CCA">
        <w:rPr>
          <w:lang w:val="en-CA"/>
        </w:rPr>
        <w:t xml:space="preserve"> </w:t>
      </w:r>
      <w:r w:rsidR="00F541CA">
        <w:rPr>
          <w:lang w:val="en-CA"/>
        </w:rPr>
        <w:t xml:space="preserve">and it is asserted they would </w:t>
      </w:r>
      <w:r w:rsidR="007C7CCA">
        <w:rPr>
          <w:lang w:val="en-CA"/>
        </w:rPr>
        <w:t>which have less implementation impact</w:t>
      </w:r>
      <w:r w:rsidR="00F541CA">
        <w:rPr>
          <w:lang w:val="en-CA"/>
        </w:rPr>
        <w:t>.</w:t>
      </w:r>
      <w:r w:rsidR="001A6AA6">
        <w:rPr>
          <w:lang w:val="en-CA"/>
        </w:rPr>
        <w:t xml:space="preserve">  The remainder of this document will focus on the implications </w:t>
      </w:r>
      <w:r w:rsidR="00FF57A2">
        <w:rPr>
          <w:lang w:val="en-CA"/>
        </w:rPr>
        <w:t xml:space="preserve">of this flexible tile partitioning approach </w:t>
      </w:r>
      <w:r w:rsidR="001A6AA6">
        <w:rPr>
          <w:lang w:val="en-CA"/>
        </w:rPr>
        <w:t xml:space="preserve">that were not as apparent to the authors during the meeting but became more </w:t>
      </w:r>
      <w:r w:rsidR="00FF57A2">
        <w:rPr>
          <w:lang w:val="en-CA"/>
        </w:rPr>
        <w:t xml:space="preserve">apparent </w:t>
      </w:r>
      <w:r w:rsidR="001A6AA6">
        <w:rPr>
          <w:lang w:val="en-CA"/>
        </w:rPr>
        <w:t xml:space="preserve">after </w:t>
      </w:r>
      <w:r w:rsidR="00FF57A2">
        <w:rPr>
          <w:lang w:val="en-CA"/>
        </w:rPr>
        <w:t xml:space="preserve">some internal analysis and </w:t>
      </w:r>
      <w:r w:rsidR="001A6AA6">
        <w:rPr>
          <w:lang w:val="en-CA"/>
        </w:rPr>
        <w:t>discussion with our design teams.</w:t>
      </w:r>
    </w:p>
    <w:p w14:paraId="52A8D7EA" w14:textId="4D994582" w:rsidR="0033256A" w:rsidRDefault="00103D2D" w:rsidP="00DD4DD8">
      <w:pPr>
        <w:pStyle w:val="Heading1"/>
        <w:rPr>
          <w:lang w:val="en-CA"/>
        </w:rPr>
      </w:pPr>
      <w:r>
        <w:rPr>
          <w:lang w:val="en-CA"/>
        </w:rPr>
        <w:t xml:space="preserve">Review of HEVC Tile Constraints </w:t>
      </w:r>
    </w:p>
    <w:p w14:paraId="555CCD40" w14:textId="73AAC523" w:rsidR="00690C52" w:rsidRDefault="00DB43A9" w:rsidP="00E22988">
      <w:pPr>
        <w:rPr>
          <w:lang w:val="en-CA"/>
        </w:rPr>
      </w:pPr>
      <w:r>
        <w:rPr>
          <w:lang w:val="en-CA"/>
        </w:rPr>
        <w:t>T</w:t>
      </w:r>
      <w:r w:rsidR="00F541CA">
        <w:rPr>
          <w:lang w:val="en-CA"/>
        </w:rPr>
        <w:t>he t</w:t>
      </w:r>
      <w:r w:rsidR="003B3C34">
        <w:rPr>
          <w:lang w:val="en-CA"/>
        </w:rPr>
        <w:t>ile</w:t>
      </w:r>
      <w:r>
        <w:rPr>
          <w:lang w:val="en-CA"/>
        </w:rPr>
        <w:t xml:space="preserve"> </w:t>
      </w:r>
      <w:r w:rsidR="00F541CA">
        <w:rPr>
          <w:lang w:val="en-CA"/>
        </w:rPr>
        <w:t xml:space="preserve">concept </w:t>
      </w:r>
      <w:r>
        <w:rPr>
          <w:lang w:val="en-CA"/>
        </w:rPr>
        <w:t xml:space="preserve">was discussed </w:t>
      </w:r>
      <w:r w:rsidR="00F541CA">
        <w:rPr>
          <w:lang w:val="en-CA"/>
        </w:rPr>
        <w:t xml:space="preserve">extensively </w:t>
      </w:r>
      <w:r>
        <w:rPr>
          <w:lang w:val="en-CA"/>
        </w:rPr>
        <w:t xml:space="preserve">during HEVC standardization with concerns </w:t>
      </w:r>
      <w:r w:rsidR="00F541CA">
        <w:rPr>
          <w:lang w:val="en-CA"/>
        </w:rPr>
        <w:t xml:space="preserve">expressed </w:t>
      </w:r>
      <w:r>
        <w:rPr>
          <w:lang w:val="en-CA"/>
        </w:rPr>
        <w:t xml:space="preserve">about its impact to overall throughput and testing which the authors </w:t>
      </w:r>
      <w:r w:rsidR="00EB6FAB">
        <w:rPr>
          <w:lang w:val="en-CA"/>
        </w:rPr>
        <w:t xml:space="preserve">can </w:t>
      </w:r>
      <w:r>
        <w:rPr>
          <w:lang w:val="en-CA"/>
        </w:rPr>
        <w:t xml:space="preserve">confirm did impact its </w:t>
      </w:r>
      <w:r w:rsidR="00FF57A2">
        <w:rPr>
          <w:lang w:val="en-CA"/>
        </w:rPr>
        <w:t xml:space="preserve">HEVC </w:t>
      </w:r>
      <w:r>
        <w:rPr>
          <w:lang w:val="en-CA"/>
        </w:rPr>
        <w:t xml:space="preserve">product </w:t>
      </w:r>
      <w:r w:rsidR="00690C52">
        <w:rPr>
          <w:lang w:val="en-CA"/>
        </w:rPr>
        <w:t xml:space="preserve">development and </w:t>
      </w:r>
      <w:r>
        <w:rPr>
          <w:lang w:val="en-CA"/>
        </w:rPr>
        <w:t xml:space="preserve">implementation.  </w:t>
      </w:r>
    </w:p>
    <w:p w14:paraId="467E8DC2" w14:textId="33945B54" w:rsidR="00EB6FAB" w:rsidRDefault="00EB6FAB" w:rsidP="00E22988">
      <w:pPr>
        <w:rPr>
          <w:lang w:val="en-CA"/>
        </w:rPr>
      </w:pPr>
      <w:r>
        <w:rPr>
          <w:lang w:val="en-CA"/>
        </w:rPr>
        <w:t xml:space="preserve">This document </w:t>
      </w:r>
      <w:r w:rsidR="00DB43A9">
        <w:rPr>
          <w:lang w:val="en-CA"/>
        </w:rPr>
        <w:t>note</w:t>
      </w:r>
      <w:r>
        <w:rPr>
          <w:lang w:val="en-CA"/>
        </w:rPr>
        <w:t>s</w:t>
      </w:r>
      <w:r w:rsidR="00DB43A9">
        <w:rPr>
          <w:lang w:val="en-CA"/>
        </w:rPr>
        <w:t xml:space="preserve"> that several constraints were imposed to </w:t>
      </w:r>
      <w:r w:rsidR="007C7CCA">
        <w:rPr>
          <w:lang w:val="en-CA"/>
        </w:rPr>
        <w:t xml:space="preserve">HEVC </w:t>
      </w:r>
      <w:r w:rsidR="00DB43A9">
        <w:rPr>
          <w:lang w:val="en-CA"/>
        </w:rPr>
        <w:t xml:space="preserve">tiles to </w:t>
      </w:r>
      <w:r>
        <w:rPr>
          <w:lang w:val="en-CA"/>
        </w:rPr>
        <w:t xml:space="preserve">specifically try to </w:t>
      </w:r>
      <w:r w:rsidR="00F541CA">
        <w:rPr>
          <w:lang w:val="en-CA"/>
        </w:rPr>
        <w:t>alleviate</w:t>
      </w:r>
      <w:r>
        <w:rPr>
          <w:lang w:val="en-CA"/>
        </w:rPr>
        <w:t xml:space="preserve"> </w:t>
      </w:r>
      <w:r w:rsidR="007C7CCA">
        <w:rPr>
          <w:lang w:val="en-CA"/>
        </w:rPr>
        <w:t xml:space="preserve">the </w:t>
      </w:r>
      <w:r w:rsidR="00513C10">
        <w:rPr>
          <w:lang w:val="en-CA"/>
        </w:rPr>
        <w:t>implementation</w:t>
      </w:r>
      <w:r w:rsidR="00FF57A2">
        <w:rPr>
          <w:lang w:val="en-CA"/>
        </w:rPr>
        <w:t xml:space="preserve"> concern</w:t>
      </w:r>
      <w:r w:rsidR="00513C10">
        <w:rPr>
          <w:lang w:val="en-CA"/>
        </w:rPr>
        <w:t>s</w:t>
      </w:r>
      <w:r>
        <w:rPr>
          <w:lang w:val="en-CA"/>
        </w:rPr>
        <w:t>.  T</w:t>
      </w:r>
      <w:r w:rsidR="00690C52">
        <w:rPr>
          <w:lang w:val="en-CA"/>
        </w:rPr>
        <w:t>hey are discussed below</w:t>
      </w:r>
      <w:r>
        <w:rPr>
          <w:lang w:val="en-CA"/>
        </w:rPr>
        <w:t xml:space="preserve"> </w:t>
      </w:r>
      <w:r w:rsidR="007C7CCA">
        <w:rPr>
          <w:lang w:val="en-CA"/>
        </w:rPr>
        <w:t xml:space="preserve">to </w:t>
      </w:r>
      <w:r w:rsidR="00FF57A2">
        <w:rPr>
          <w:lang w:val="en-CA"/>
        </w:rPr>
        <w:t xml:space="preserve">revisit why those constraints were included and </w:t>
      </w:r>
      <w:r w:rsidR="007C7CCA">
        <w:rPr>
          <w:lang w:val="en-CA"/>
        </w:rPr>
        <w:t xml:space="preserve">demonstrate how </w:t>
      </w:r>
      <w:r>
        <w:rPr>
          <w:lang w:val="en-CA"/>
        </w:rPr>
        <w:t xml:space="preserve">generalizing tile partitioning to units smaller than CTUs </w:t>
      </w:r>
      <w:r w:rsidR="00F541CA">
        <w:rPr>
          <w:lang w:val="en-CA"/>
        </w:rPr>
        <w:t xml:space="preserve">has the potential to </w:t>
      </w:r>
      <w:r w:rsidR="001A6AA6">
        <w:rPr>
          <w:lang w:val="en-CA"/>
        </w:rPr>
        <w:t xml:space="preserve">not only </w:t>
      </w:r>
      <w:r w:rsidR="00F541CA">
        <w:rPr>
          <w:lang w:val="en-CA"/>
        </w:rPr>
        <w:t>make</w:t>
      </w:r>
      <w:r>
        <w:rPr>
          <w:lang w:val="en-CA"/>
        </w:rPr>
        <w:t xml:space="preserve"> the same issues discussed before worse but </w:t>
      </w:r>
      <w:r w:rsidR="007C7CCA">
        <w:rPr>
          <w:lang w:val="en-CA"/>
        </w:rPr>
        <w:t xml:space="preserve">also </w:t>
      </w:r>
      <w:r>
        <w:rPr>
          <w:lang w:val="en-CA"/>
        </w:rPr>
        <w:t>creat</w:t>
      </w:r>
      <w:r w:rsidR="00F541CA">
        <w:rPr>
          <w:lang w:val="en-CA"/>
        </w:rPr>
        <w:t>e</w:t>
      </w:r>
      <w:r>
        <w:rPr>
          <w:lang w:val="en-CA"/>
        </w:rPr>
        <w:t xml:space="preserve"> new issues that </w:t>
      </w:r>
      <w:r w:rsidR="00F541CA">
        <w:rPr>
          <w:lang w:val="en-CA"/>
        </w:rPr>
        <w:t xml:space="preserve">will be </w:t>
      </w:r>
      <w:r>
        <w:rPr>
          <w:lang w:val="en-CA"/>
        </w:rPr>
        <w:t xml:space="preserve">significant for VVC implementations.  </w:t>
      </w:r>
    </w:p>
    <w:p w14:paraId="71E7F1D8" w14:textId="77777777" w:rsidR="00127752" w:rsidRPr="00EB6FAB" w:rsidRDefault="00127752" w:rsidP="00127752">
      <w:pPr>
        <w:rPr>
          <w:lang w:val="en-CA"/>
        </w:rPr>
      </w:pPr>
      <w:r>
        <w:rPr>
          <w:lang w:val="en-CA"/>
        </w:rPr>
        <w:lastRenderedPageBreak/>
        <w:t>The following properties were defined for HEVC tiles:</w:t>
      </w:r>
    </w:p>
    <w:p w14:paraId="42FF2B9E" w14:textId="73D75491" w:rsidR="00690C52" w:rsidRDefault="00690C52" w:rsidP="00103D2D">
      <w:pPr>
        <w:pStyle w:val="ListParagraph"/>
        <w:numPr>
          <w:ilvl w:val="0"/>
          <w:numId w:val="19"/>
        </w:numPr>
        <w:rPr>
          <w:lang w:val="en-CA"/>
        </w:rPr>
      </w:pPr>
      <w:r>
        <w:rPr>
          <w:lang w:val="en-CA"/>
        </w:rPr>
        <w:t xml:space="preserve">HEVC Tiles were defined on CTU boundaries </w:t>
      </w:r>
      <w:r w:rsidR="00127752">
        <w:rPr>
          <w:lang w:val="en-CA"/>
        </w:rPr>
        <w:t>as</w:t>
      </w:r>
      <w:r>
        <w:rPr>
          <w:lang w:val="en-CA"/>
        </w:rPr>
        <w:t xml:space="preserve"> tiles were defined to be an integer number of CTUs.</w:t>
      </w:r>
    </w:p>
    <w:p w14:paraId="204685F4" w14:textId="77777777" w:rsidR="00127752" w:rsidRDefault="00127752" w:rsidP="00103D2D">
      <w:pPr>
        <w:pStyle w:val="ListParagraph"/>
        <w:numPr>
          <w:ilvl w:val="0"/>
          <w:numId w:val="19"/>
        </w:numPr>
        <w:rPr>
          <w:lang w:val="en-CA"/>
        </w:rPr>
      </w:pPr>
      <w:r>
        <w:rPr>
          <w:lang w:val="en-CA"/>
        </w:rPr>
        <w:t xml:space="preserve">The size of HEVC CTUs were chosen by the encoder and allowed to range from 64x64 to 16x16 based on the </w:t>
      </w:r>
      <w:r w:rsidRPr="00DB43A9">
        <w:rPr>
          <w:lang w:val="en-CA"/>
        </w:rPr>
        <w:t>log2_diff_max_min_luma_coding_block_size</w:t>
      </w:r>
      <w:r>
        <w:rPr>
          <w:lang w:val="en-CA"/>
        </w:rPr>
        <w:t xml:space="preserve"> element.</w:t>
      </w:r>
    </w:p>
    <w:p w14:paraId="4C8D94AB" w14:textId="77777777" w:rsidR="00127752" w:rsidRDefault="00127752" w:rsidP="00103D2D">
      <w:pPr>
        <w:pStyle w:val="ListParagraph"/>
        <w:numPr>
          <w:ilvl w:val="0"/>
          <w:numId w:val="19"/>
        </w:numPr>
        <w:rPr>
          <w:lang w:val="en-CA"/>
        </w:rPr>
      </w:pPr>
      <w:r>
        <w:rPr>
          <w:lang w:val="en-CA"/>
        </w:rPr>
        <w:t>Note that level constraints do not allow 16x16 CTBs for large pictures</w:t>
      </w:r>
    </w:p>
    <w:p w14:paraId="6E8D3258" w14:textId="77777777" w:rsidR="00127752" w:rsidRDefault="00127752" w:rsidP="00127752">
      <w:pPr>
        <w:pStyle w:val="ListParagraph"/>
        <w:numPr>
          <w:ilvl w:val="1"/>
          <w:numId w:val="17"/>
        </w:numPr>
        <w:rPr>
          <w:lang w:val="en-CA"/>
        </w:rPr>
      </w:pPr>
      <w:r w:rsidRPr="00690C52">
        <w:rPr>
          <w:lang w:val="en-CA"/>
        </w:rPr>
        <w:t>In A.4.1 clause (d)</w:t>
      </w:r>
      <w:r>
        <w:rPr>
          <w:lang w:val="en-CA"/>
        </w:rPr>
        <w:t xml:space="preserve"> of [3]</w:t>
      </w:r>
      <w:r w:rsidRPr="00690C52">
        <w:rPr>
          <w:lang w:val="en-CA"/>
        </w:rPr>
        <w:t>: For level 5 and higher levels, the value of CtbSizeY shall be equal to 32 or 64.</w:t>
      </w:r>
    </w:p>
    <w:p w14:paraId="76D8ECC4" w14:textId="3FFAA902" w:rsidR="00103D2D" w:rsidRDefault="00103D2D" w:rsidP="00103D2D">
      <w:pPr>
        <w:rPr>
          <w:lang w:val="en-CA"/>
        </w:rPr>
      </w:pPr>
      <w:r>
        <w:rPr>
          <w:lang w:val="en-CA"/>
        </w:rPr>
        <w:t xml:space="preserve">Since VVC </w:t>
      </w:r>
      <w:r w:rsidR="001A6AA6">
        <w:rPr>
          <w:lang w:val="en-CA"/>
        </w:rPr>
        <w:t xml:space="preserve">standardization is still ongoing, </w:t>
      </w:r>
      <w:r>
        <w:rPr>
          <w:lang w:val="en-CA"/>
        </w:rPr>
        <w:t xml:space="preserve">it </w:t>
      </w:r>
      <w:r w:rsidRPr="00103D2D">
        <w:rPr>
          <w:lang w:val="en-CA"/>
        </w:rPr>
        <w:t xml:space="preserve">is currently unclear </w:t>
      </w:r>
      <w:r w:rsidR="001A6AA6">
        <w:rPr>
          <w:lang w:val="en-CA"/>
        </w:rPr>
        <w:t xml:space="preserve">or at least not widely discussed </w:t>
      </w:r>
      <w:r w:rsidRPr="00103D2D">
        <w:rPr>
          <w:lang w:val="en-CA"/>
        </w:rPr>
        <w:t xml:space="preserve">what the range of VVC CTUs permitted will be but </w:t>
      </w:r>
      <w:r>
        <w:rPr>
          <w:lang w:val="en-CA"/>
        </w:rPr>
        <w:t xml:space="preserve">currently it </w:t>
      </w:r>
      <w:r w:rsidRPr="00103D2D">
        <w:rPr>
          <w:lang w:val="en-CA"/>
        </w:rPr>
        <w:t xml:space="preserve">appears to be </w:t>
      </w:r>
      <w:r w:rsidR="001A6AA6">
        <w:rPr>
          <w:lang w:val="en-CA"/>
        </w:rPr>
        <w:t xml:space="preserve">leaning towards </w:t>
      </w:r>
      <w:r w:rsidRPr="00103D2D">
        <w:rPr>
          <w:lang w:val="en-CA"/>
        </w:rPr>
        <w:t xml:space="preserve">a maximum of 128x128 and </w:t>
      </w:r>
      <w:r w:rsidR="001A6AA6">
        <w:rPr>
          <w:lang w:val="en-CA"/>
        </w:rPr>
        <w:t>(perhaps?) a minimum of 16x16</w:t>
      </w:r>
      <w:r w:rsidRPr="00103D2D">
        <w:rPr>
          <w:lang w:val="en-CA"/>
        </w:rPr>
        <w:t xml:space="preserve">.  The authors believe that </w:t>
      </w:r>
      <w:r>
        <w:rPr>
          <w:lang w:val="en-CA"/>
        </w:rPr>
        <w:t xml:space="preserve">the idea of flexible partitioning is perhaps partially motivated by the fact that VVC CTUs can go up to 128x128 but it should be noted that </w:t>
      </w:r>
      <w:r w:rsidR="00326DFB">
        <w:rPr>
          <w:lang w:val="en-CA"/>
        </w:rPr>
        <w:t>the</w:t>
      </w:r>
      <w:r>
        <w:rPr>
          <w:lang w:val="en-CA"/>
        </w:rPr>
        <w:t xml:space="preserve"> smaller </w:t>
      </w:r>
      <w:r w:rsidR="00326DFB">
        <w:rPr>
          <w:lang w:val="en-CA"/>
        </w:rPr>
        <w:t xml:space="preserve">64x64 </w:t>
      </w:r>
      <w:r>
        <w:rPr>
          <w:lang w:val="en-CA"/>
        </w:rPr>
        <w:t>CTU size can be chosen by the encoder to get the same tile resolution as in HEVC</w:t>
      </w:r>
      <w:r w:rsidR="001A6AA6">
        <w:rPr>
          <w:lang w:val="en-CA"/>
        </w:rPr>
        <w:t xml:space="preserve"> and therefore there is no loss in functionality with VVC</w:t>
      </w:r>
      <w:r>
        <w:rPr>
          <w:lang w:val="en-CA"/>
        </w:rPr>
        <w:t>.</w:t>
      </w:r>
      <w:r w:rsidR="001A6AA6">
        <w:rPr>
          <w:lang w:val="en-CA"/>
        </w:rPr>
        <w:t xml:space="preserve">  </w:t>
      </w:r>
    </w:p>
    <w:p w14:paraId="02FD06CD" w14:textId="32AF310A" w:rsidR="001A6AA6" w:rsidRDefault="001A6AA6" w:rsidP="00103D2D">
      <w:pPr>
        <w:rPr>
          <w:lang w:val="en-CA"/>
        </w:rPr>
      </w:pPr>
      <w:r>
        <w:rPr>
          <w:lang w:val="en-CA"/>
        </w:rPr>
        <w:t>On a side note, we list HEVC tiles property #3 above which was adopted because of the concern that (small) 16x16 CTBs would have on throughput for larger picture sizes</w:t>
      </w:r>
      <w:r w:rsidR="00513C10">
        <w:rPr>
          <w:lang w:val="en-CA"/>
        </w:rPr>
        <w:t xml:space="preserve"> because at a high level, it forces a decoder to handle the 16x16 CTB one at a time rather than process a larger unit</w:t>
      </w:r>
      <w:r>
        <w:rPr>
          <w:lang w:val="en-CA"/>
        </w:rPr>
        <w:t xml:space="preserve">.  The authors can confirm that </w:t>
      </w:r>
      <w:r w:rsidR="00513C10">
        <w:rPr>
          <w:lang w:val="en-CA"/>
        </w:rPr>
        <w:t>this affected our present decoder implementation, will affect our planned future VVC implementation and can imagine that this concern would apply in general to other implementations.  Therefore, a similar constraint is needed for VVC.</w:t>
      </w:r>
      <w:r w:rsidR="00FF57A2">
        <w:rPr>
          <w:lang w:val="en-CA"/>
        </w:rPr>
        <w:t xml:space="preserve">  </w:t>
      </w:r>
    </w:p>
    <w:p w14:paraId="5A4552D1" w14:textId="7C582125" w:rsidR="00513C10" w:rsidRDefault="00513C10" w:rsidP="00513C10">
      <w:pPr>
        <w:pStyle w:val="Heading1"/>
        <w:ind w:left="360" w:hanging="360"/>
        <w:rPr>
          <w:lang w:val="en-CA"/>
        </w:rPr>
      </w:pPr>
      <w:r>
        <w:rPr>
          <w:lang w:val="en-CA"/>
        </w:rPr>
        <w:t xml:space="preserve">CU Tile Boundaries </w:t>
      </w:r>
    </w:p>
    <w:p w14:paraId="70C1498C" w14:textId="54BB5E07" w:rsidR="00326DFB" w:rsidRDefault="00326DFB" w:rsidP="00E22988">
      <w:pPr>
        <w:rPr>
          <w:lang w:val="en-CA"/>
        </w:rPr>
      </w:pPr>
      <w:r>
        <w:rPr>
          <w:lang w:val="en-CA"/>
        </w:rPr>
        <w:t>The authors assert that the</w:t>
      </w:r>
      <w:r w:rsidR="00513C10">
        <w:rPr>
          <w:lang w:val="en-CA"/>
        </w:rPr>
        <w:t>re are several</w:t>
      </w:r>
      <w:r>
        <w:rPr>
          <w:lang w:val="en-CA"/>
        </w:rPr>
        <w:t xml:space="preserve"> problem</w:t>
      </w:r>
      <w:r w:rsidR="00513C10">
        <w:rPr>
          <w:lang w:val="en-CA"/>
        </w:rPr>
        <w:t>s</w:t>
      </w:r>
      <w:r>
        <w:rPr>
          <w:lang w:val="en-CA"/>
        </w:rPr>
        <w:t xml:space="preserve"> with allowing tile boundaries at CU boundaries rather than CTU boundaries </w:t>
      </w:r>
      <w:r w:rsidR="00FF57A2">
        <w:rPr>
          <w:lang w:val="en-CA"/>
        </w:rPr>
        <w:t>which</w:t>
      </w:r>
      <w:r w:rsidR="00513C10">
        <w:rPr>
          <w:lang w:val="en-CA"/>
        </w:rPr>
        <w:t xml:space="preserve"> include </w:t>
      </w:r>
      <w:r>
        <w:rPr>
          <w:lang w:val="en-CA"/>
        </w:rPr>
        <w:t>issues of availability</w:t>
      </w:r>
      <w:r w:rsidR="00FF57A2">
        <w:rPr>
          <w:lang w:val="en-CA"/>
        </w:rPr>
        <w:t xml:space="preserve"> (location and timing) causing the </w:t>
      </w:r>
      <w:r>
        <w:rPr>
          <w:lang w:val="en-CA"/>
        </w:rPr>
        <w:t xml:space="preserve">associated processing </w:t>
      </w:r>
      <w:r w:rsidR="00FF57A2">
        <w:rPr>
          <w:lang w:val="en-CA"/>
        </w:rPr>
        <w:t xml:space="preserve">to </w:t>
      </w:r>
      <w:r>
        <w:rPr>
          <w:lang w:val="en-CA"/>
        </w:rPr>
        <w:t>become problematic</w:t>
      </w:r>
      <w:r w:rsidR="00FF57A2">
        <w:rPr>
          <w:lang w:val="en-CA"/>
        </w:rPr>
        <w:t xml:space="preserve"> and introducing many corner case edge conditions.</w:t>
      </w:r>
    </w:p>
    <w:p w14:paraId="704FC415" w14:textId="27F20A4B" w:rsidR="00103D2D" w:rsidRDefault="00326DFB" w:rsidP="00E22988">
      <w:pPr>
        <w:rPr>
          <w:lang w:val="en-CA"/>
        </w:rPr>
      </w:pPr>
      <w:r>
        <w:rPr>
          <w:lang w:val="en-CA"/>
        </w:rPr>
        <w:t xml:space="preserve">Figure 1 shows an example of a flexible tile partitioning </w:t>
      </w:r>
      <w:r w:rsidR="00513C10">
        <w:rPr>
          <w:lang w:val="en-CA"/>
        </w:rPr>
        <w:t xml:space="preserve">to aid the </w:t>
      </w:r>
      <w:r>
        <w:rPr>
          <w:lang w:val="en-CA"/>
        </w:rPr>
        <w:t>discussion</w:t>
      </w:r>
      <w:r w:rsidR="00513C10">
        <w:rPr>
          <w:lang w:val="en-CA"/>
        </w:rPr>
        <w:t xml:space="preserve"> in this document</w:t>
      </w:r>
      <w:r>
        <w:rPr>
          <w:lang w:val="en-CA"/>
        </w:rPr>
        <w:t>.</w:t>
      </w:r>
    </w:p>
    <w:p w14:paraId="422F638D" w14:textId="77777777" w:rsidR="00326DFB" w:rsidRDefault="00326DFB" w:rsidP="00E22988">
      <w:pPr>
        <w:rPr>
          <w:lang w:val="en-CA"/>
        </w:rPr>
      </w:pPr>
    </w:p>
    <w:p w14:paraId="52F2161A" w14:textId="420EDCB2" w:rsidR="00326DFB" w:rsidRDefault="00326DFB" w:rsidP="00326DFB">
      <w:pPr>
        <w:keepNext/>
        <w:jc w:val="center"/>
        <w:rPr>
          <w:lang w:val="en-CA"/>
        </w:rPr>
      </w:pPr>
      <w:r>
        <w:rPr>
          <w:noProof/>
        </w:rPr>
        <w:drawing>
          <wp:inline distT="0" distB="0" distL="0" distR="0" wp14:anchorId="185A1D59" wp14:editId="64C704C5">
            <wp:extent cx="5828030" cy="2304415"/>
            <wp:effectExtent l="0" t="0" r="127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8030" cy="2304415"/>
                    </a:xfrm>
                    <a:prstGeom prst="rect">
                      <a:avLst/>
                    </a:prstGeom>
                    <a:noFill/>
                  </pic:spPr>
                </pic:pic>
              </a:graphicData>
            </a:graphic>
          </wp:inline>
        </w:drawing>
      </w:r>
    </w:p>
    <w:p w14:paraId="0E4C1596" w14:textId="6D4F75C6" w:rsidR="00326DFB" w:rsidRPr="00326DFB" w:rsidRDefault="00326DFB" w:rsidP="00326DFB">
      <w:pPr>
        <w:keepNext/>
        <w:jc w:val="center"/>
        <w:rPr>
          <w:b/>
          <w:lang w:val="en-CA"/>
        </w:rPr>
      </w:pPr>
      <w:r w:rsidRPr="00326DFB">
        <w:rPr>
          <w:b/>
          <w:lang w:val="en-CA"/>
        </w:rPr>
        <w:t>Figure 1: Flexible Tile Partitioning Example</w:t>
      </w:r>
    </w:p>
    <w:p w14:paraId="523F9BF9" w14:textId="77777777" w:rsidR="00326DFB" w:rsidRDefault="00326DFB" w:rsidP="00326DFB">
      <w:pPr>
        <w:jc w:val="center"/>
        <w:rPr>
          <w:lang w:val="en-CA"/>
        </w:rPr>
      </w:pPr>
    </w:p>
    <w:p w14:paraId="1C66105D" w14:textId="38A6E16B" w:rsidR="00326DFB" w:rsidRDefault="00326DFB" w:rsidP="00326DFB">
      <w:pPr>
        <w:rPr>
          <w:lang w:val="en-CA"/>
        </w:rPr>
      </w:pPr>
      <w:r>
        <w:rPr>
          <w:lang w:val="en-CA"/>
        </w:rPr>
        <w:t xml:space="preserve">Figure 2 shows a zoomed in view of the upper right CTU of </w:t>
      </w:r>
      <w:r w:rsidR="007B1D8A">
        <w:rPr>
          <w:lang w:val="en-CA"/>
        </w:rPr>
        <w:t>the example in Figure 1 where this CTU is composed of data from four different tiles.</w:t>
      </w:r>
    </w:p>
    <w:p w14:paraId="18B261ED" w14:textId="77777777" w:rsidR="00326DFB" w:rsidRDefault="00326DFB" w:rsidP="00326DFB">
      <w:pPr>
        <w:rPr>
          <w:lang w:val="en-CA"/>
        </w:rPr>
      </w:pPr>
    </w:p>
    <w:p w14:paraId="18D7F8F0" w14:textId="3557E434" w:rsidR="00326DFB" w:rsidRDefault="00326DFB" w:rsidP="007B1D8A">
      <w:pPr>
        <w:keepNext/>
        <w:rPr>
          <w:lang w:val="en-CA"/>
        </w:rPr>
      </w:pPr>
      <w:r>
        <w:rPr>
          <w:noProof/>
        </w:rPr>
        <w:lastRenderedPageBreak/>
        <w:drawing>
          <wp:inline distT="0" distB="0" distL="0" distR="0" wp14:anchorId="6444FC47" wp14:editId="4F136008">
            <wp:extent cx="5151755" cy="2493645"/>
            <wp:effectExtent l="0" t="0" r="0" b="190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1755" cy="2493645"/>
                    </a:xfrm>
                    <a:prstGeom prst="rect">
                      <a:avLst/>
                    </a:prstGeom>
                    <a:noFill/>
                  </pic:spPr>
                </pic:pic>
              </a:graphicData>
            </a:graphic>
          </wp:inline>
        </w:drawing>
      </w:r>
    </w:p>
    <w:p w14:paraId="40235B77" w14:textId="4D61004B" w:rsidR="00326DFB" w:rsidRPr="00326DFB" w:rsidRDefault="00326DFB" w:rsidP="007B1D8A">
      <w:pPr>
        <w:keepNext/>
        <w:jc w:val="center"/>
        <w:rPr>
          <w:b/>
          <w:lang w:val="en-CA"/>
        </w:rPr>
      </w:pPr>
      <w:r>
        <w:rPr>
          <w:b/>
          <w:lang w:val="en-CA"/>
        </w:rPr>
        <w:t>Figure 2</w:t>
      </w:r>
      <w:r w:rsidRPr="00326DFB">
        <w:rPr>
          <w:b/>
          <w:lang w:val="en-CA"/>
        </w:rPr>
        <w:t xml:space="preserve">: </w:t>
      </w:r>
      <w:r>
        <w:rPr>
          <w:b/>
          <w:lang w:val="en-CA"/>
        </w:rPr>
        <w:t xml:space="preserve">Upper Right CTU of </w:t>
      </w:r>
      <w:r w:rsidRPr="00326DFB">
        <w:rPr>
          <w:b/>
          <w:lang w:val="en-CA"/>
        </w:rPr>
        <w:t>Flexible Tile Partitioning Example</w:t>
      </w:r>
    </w:p>
    <w:p w14:paraId="7D2580DA" w14:textId="77777777" w:rsidR="007B1D8A" w:rsidRDefault="007B1D8A" w:rsidP="00E22988">
      <w:pPr>
        <w:rPr>
          <w:lang w:val="en-CA"/>
        </w:rPr>
      </w:pPr>
    </w:p>
    <w:p w14:paraId="3999CDF2" w14:textId="634A8373" w:rsidR="00A6030F" w:rsidRDefault="007B1D8A" w:rsidP="00E22988">
      <w:pPr>
        <w:rPr>
          <w:lang w:val="en-CA"/>
        </w:rPr>
      </w:pPr>
      <w:r>
        <w:rPr>
          <w:lang w:val="en-CA"/>
        </w:rPr>
        <w:t xml:space="preserve">Many encoder and decoder implementation will need to process one CTU at a time.  </w:t>
      </w:r>
      <w:r w:rsidR="00A60E14">
        <w:rPr>
          <w:lang w:val="en-CA"/>
        </w:rPr>
        <w:t xml:space="preserve">As </w:t>
      </w:r>
      <w:r>
        <w:rPr>
          <w:lang w:val="en-CA"/>
        </w:rPr>
        <w:t xml:space="preserve">was mentioned in previous meetings </w:t>
      </w:r>
      <w:r w:rsidR="00A60E14">
        <w:rPr>
          <w:lang w:val="en-CA"/>
        </w:rPr>
        <w:t xml:space="preserve">but perhaps not rigorously studied </w:t>
      </w:r>
      <w:r w:rsidR="00513C10">
        <w:rPr>
          <w:lang w:val="en-CA"/>
        </w:rPr>
        <w:t xml:space="preserve">or not as readily apparent </w:t>
      </w:r>
      <w:r w:rsidR="00B370D2">
        <w:rPr>
          <w:lang w:val="en-CA"/>
        </w:rPr>
        <w:t xml:space="preserve">to some </w:t>
      </w:r>
      <w:r w:rsidR="00513C10">
        <w:rPr>
          <w:lang w:val="en-CA"/>
        </w:rPr>
        <w:t>without a diagram</w:t>
      </w:r>
      <w:r w:rsidR="00A60E14">
        <w:rPr>
          <w:lang w:val="en-CA"/>
        </w:rPr>
        <w:t xml:space="preserve">, this figure shows </w:t>
      </w:r>
      <w:r>
        <w:rPr>
          <w:lang w:val="en-CA"/>
        </w:rPr>
        <w:t xml:space="preserve">a direct impact to </w:t>
      </w:r>
      <w:r w:rsidR="00A60E14">
        <w:rPr>
          <w:lang w:val="en-CA"/>
        </w:rPr>
        <w:t xml:space="preserve">the throughput of pipelined HW decoders.  More specifically, this CTU would need to be processed </w:t>
      </w:r>
      <w:r w:rsidR="00513C10">
        <w:rPr>
          <w:lang w:val="en-CA"/>
        </w:rPr>
        <w:t xml:space="preserve">at </w:t>
      </w:r>
      <w:r w:rsidR="00A60E14">
        <w:rPr>
          <w:lang w:val="en-CA"/>
        </w:rPr>
        <w:t>four separate times to get the different portions associated with each tile.</w:t>
      </w:r>
    </w:p>
    <w:p w14:paraId="4C181A9B" w14:textId="61336999" w:rsidR="002C4C85" w:rsidRDefault="00A60E14" w:rsidP="00513C10">
      <w:pPr>
        <w:rPr>
          <w:lang w:val="en-CA"/>
        </w:rPr>
      </w:pPr>
      <w:r>
        <w:rPr>
          <w:lang w:val="en-CA"/>
        </w:rPr>
        <w:t xml:space="preserve">Another issue that will affect </w:t>
      </w:r>
      <w:r w:rsidR="00513C10">
        <w:rPr>
          <w:lang w:val="en-CA"/>
        </w:rPr>
        <w:t xml:space="preserve">both </w:t>
      </w:r>
      <w:r>
        <w:rPr>
          <w:lang w:val="en-CA"/>
        </w:rPr>
        <w:t xml:space="preserve">encoders and decoders is how each of these portions </w:t>
      </w:r>
      <w:r w:rsidR="0005275A">
        <w:rPr>
          <w:lang w:val="en-CA"/>
        </w:rPr>
        <w:t>is</w:t>
      </w:r>
      <w:r>
        <w:rPr>
          <w:lang w:val="en-CA"/>
        </w:rPr>
        <w:t xml:space="preserve"> “stitched back together”.  </w:t>
      </w:r>
      <w:r w:rsidR="00513C10">
        <w:rPr>
          <w:lang w:val="en-CA"/>
        </w:rPr>
        <w:t>T</w:t>
      </w:r>
      <w:r>
        <w:rPr>
          <w:lang w:val="en-CA"/>
        </w:rPr>
        <w:t xml:space="preserve">here </w:t>
      </w:r>
      <w:r w:rsidR="00513C10">
        <w:rPr>
          <w:lang w:val="en-CA"/>
        </w:rPr>
        <w:t xml:space="preserve">are </w:t>
      </w:r>
      <w:r>
        <w:rPr>
          <w:lang w:val="en-CA"/>
        </w:rPr>
        <w:t xml:space="preserve">issues </w:t>
      </w:r>
      <w:r w:rsidR="00513C10">
        <w:rPr>
          <w:lang w:val="en-CA"/>
        </w:rPr>
        <w:t xml:space="preserve">with memory addressing and how </w:t>
      </w:r>
      <w:r w:rsidR="002C4C85">
        <w:rPr>
          <w:lang w:val="en-CA"/>
        </w:rPr>
        <w:t>memory</w:t>
      </w:r>
      <w:r w:rsidR="00513C10">
        <w:rPr>
          <w:lang w:val="en-CA"/>
        </w:rPr>
        <w:t xml:space="preserve"> compression is performed when “partial CTUs” are decoded and have to be “kept waiting”.</w:t>
      </w:r>
      <w:r w:rsidR="00A6030F">
        <w:rPr>
          <w:lang w:val="en-CA"/>
        </w:rPr>
        <w:t xml:space="preserve">  </w:t>
      </w:r>
      <w:r w:rsidR="002C4C85">
        <w:rPr>
          <w:lang w:val="en-CA"/>
        </w:rPr>
        <w:t xml:space="preserve">Especially with large picture/video sizes, many devices </w:t>
      </w:r>
      <w:r w:rsidR="00B370D2">
        <w:rPr>
          <w:lang w:val="en-CA"/>
        </w:rPr>
        <w:t xml:space="preserve">have to </w:t>
      </w:r>
      <w:r w:rsidR="002C4C85">
        <w:rPr>
          <w:lang w:val="en-CA"/>
        </w:rPr>
        <w:t xml:space="preserve">implement some form of memory compression to reduce </w:t>
      </w:r>
      <w:r w:rsidR="00B370D2">
        <w:rPr>
          <w:lang w:val="en-CA"/>
        </w:rPr>
        <w:t xml:space="preserve">the </w:t>
      </w:r>
      <w:r w:rsidR="002C4C85">
        <w:rPr>
          <w:lang w:val="en-CA"/>
        </w:rPr>
        <w:t>memory bandwidth impact when writing into SDRAM.  Efficiency of this compression is directly related to th</w:t>
      </w:r>
      <w:r w:rsidR="00B370D2">
        <w:rPr>
          <w:lang w:val="en-CA"/>
        </w:rPr>
        <w:t xml:space="preserve">e region </w:t>
      </w:r>
      <w:r w:rsidR="002C4C85">
        <w:rPr>
          <w:lang w:val="en-CA"/>
        </w:rPr>
        <w:t>size so</w:t>
      </w:r>
      <w:r w:rsidR="00B370D2">
        <w:rPr>
          <w:lang w:val="en-CA"/>
        </w:rPr>
        <w:t xml:space="preserve"> there is less benefit to very small sizes.  A</w:t>
      </w:r>
      <w:r w:rsidR="002C4C85">
        <w:rPr>
          <w:lang w:val="en-CA"/>
        </w:rPr>
        <w:t xml:space="preserve">s an example, if the size used is 64x64 and the 64x64 region </w:t>
      </w:r>
      <w:r w:rsidR="00B370D2">
        <w:rPr>
          <w:lang w:val="en-CA"/>
        </w:rPr>
        <w:t xml:space="preserve">being </w:t>
      </w:r>
      <w:r w:rsidR="002C4C85">
        <w:rPr>
          <w:lang w:val="en-CA"/>
        </w:rPr>
        <w:t>decod</w:t>
      </w:r>
      <w:r w:rsidR="00B370D2">
        <w:rPr>
          <w:lang w:val="en-CA"/>
        </w:rPr>
        <w:t xml:space="preserve">ed </w:t>
      </w:r>
      <w:r w:rsidR="002C4C85">
        <w:rPr>
          <w:lang w:val="en-CA"/>
        </w:rPr>
        <w:t xml:space="preserve">happens to contain multiple pieces due to flexible tiling, </w:t>
      </w:r>
      <w:r w:rsidR="00B370D2">
        <w:rPr>
          <w:lang w:val="en-CA"/>
        </w:rPr>
        <w:t>it is not clear how one</w:t>
      </w:r>
      <w:r w:rsidR="002C4C85">
        <w:rPr>
          <w:lang w:val="en-CA"/>
        </w:rPr>
        <w:t xml:space="preserve"> put</w:t>
      </w:r>
      <w:r w:rsidR="00B370D2">
        <w:rPr>
          <w:lang w:val="en-CA"/>
        </w:rPr>
        <w:t>s</w:t>
      </w:r>
      <w:r w:rsidR="002C4C85">
        <w:rPr>
          <w:lang w:val="en-CA"/>
        </w:rPr>
        <w:t xml:space="preserve"> the pieces back together in memory after compression.</w:t>
      </w:r>
    </w:p>
    <w:p w14:paraId="32E16087" w14:textId="0ABC2CF4" w:rsidR="00A60E14" w:rsidRDefault="00A6030F" w:rsidP="00E22988">
      <w:pPr>
        <w:rPr>
          <w:lang w:val="en-CA"/>
        </w:rPr>
      </w:pPr>
      <w:r>
        <w:rPr>
          <w:lang w:val="en-CA"/>
        </w:rPr>
        <w:t xml:space="preserve">It is also unclear if/when </w:t>
      </w:r>
      <w:r w:rsidR="00A60E14">
        <w:rPr>
          <w:lang w:val="en-CA"/>
        </w:rPr>
        <w:t>in-loop filtering</w:t>
      </w:r>
      <w:r>
        <w:rPr>
          <w:lang w:val="en-CA"/>
        </w:rPr>
        <w:t xml:space="preserve"> is required but </w:t>
      </w:r>
      <w:r w:rsidR="00B370D2">
        <w:rPr>
          <w:lang w:val="en-CA"/>
        </w:rPr>
        <w:t xml:space="preserve">it </w:t>
      </w:r>
      <w:r>
        <w:rPr>
          <w:lang w:val="en-CA"/>
        </w:rPr>
        <w:t xml:space="preserve">appears this will also require more buffering to support it.  The authors recognize there may be certain use cases that do not require in-loop filtering and </w:t>
      </w:r>
      <w:r w:rsidR="00B370D2">
        <w:rPr>
          <w:lang w:val="en-CA"/>
        </w:rPr>
        <w:t xml:space="preserve">then </w:t>
      </w:r>
      <w:r>
        <w:rPr>
          <w:lang w:val="en-CA"/>
        </w:rPr>
        <w:t xml:space="preserve">this could be disabled but </w:t>
      </w:r>
      <w:r w:rsidR="00B370D2">
        <w:rPr>
          <w:lang w:val="en-CA"/>
        </w:rPr>
        <w:t xml:space="preserve">can </w:t>
      </w:r>
      <w:r>
        <w:rPr>
          <w:lang w:val="en-CA"/>
        </w:rPr>
        <w:t xml:space="preserve">imagine other use cases </w:t>
      </w:r>
      <w:r w:rsidR="00B370D2">
        <w:rPr>
          <w:lang w:val="en-CA"/>
        </w:rPr>
        <w:t xml:space="preserve">where one </w:t>
      </w:r>
      <w:r>
        <w:rPr>
          <w:lang w:val="en-CA"/>
        </w:rPr>
        <w:t xml:space="preserve">will want to enable in-loop filtering to avoid bad </w:t>
      </w:r>
      <w:r w:rsidR="00B370D2">
        <w:rPr>
          <w:lang w:val="en-CA"/>
        </w:rPr>
        <w:t xml:space="preserve">visual </w:t>
      </w:r>
      <w:r>
        <w:rPr>
          <w:lang w:val="en-CA"/>
        </w:rPr>
        <w:t>artifacts.</w:t>
      </w:r>
    </w:p>
    <w:p w14:paraId="1F837B9D" w14:textId="5C7AD1EC" w:rsidR="00A6030F" w:rsidRDefault="00A6030F" w:rsidP="00A6030F">
      <w:pPr>
        <w:pStyle w:val="ListParagraph"/>
        <w:ind w:left="0"/>
      </w:pPr>
      <w:r>
        <w:rPr>
          <w:lang w:val="en-CA"/>
        </w:rPr>
        <w:t xml:space="preserve">Finally, with </w:t>
      </w:r>
      <w:r>
        <w:rPr>
          <w:szCs w:val="22"/>
          <w:lang w:val="en-CA"/>
        </w:rPr>
        <w:t xml:space="preserve">blocks no longer aligned on 64x64 boundaries, the availability </w:t>
      </w:r>
      <w:r w:rsidR="002C4C85">
        <w:rPr>
          <w:szCs w:val="22"/>
          <w:lang w:val="en-CA"/>
        </w:rPr>
        <w:t xml:space="preserve">of the information </w:t>
      </w:r>
      <w:r>
        <w:rPr>
          <w:szCs w:val="22"/>
          <w:lang w:val="en-CA"/>
        </w:rPr>
        <w:t xml:space="preserve">required to decode </w:t>
      </w:r>
      <w:r w:rsidR="002C4C85">
        <w:rPr>
          <w:szCs w:val="22"/>
          <w:lang w:val="en-CA"/>
        </w:rPr>
        <w:t>an element could be in another tile</w:t>
      </w:r>
      <w:r w:rsidR="00B370D2">
        <w:rPr>
          <w:szCs w:val="22"/>
          <w:lang w:val="en-CA"/>
        </w:rPr>
        <w:t>.  I</w:t>
      </w:r>
      <w:r w:rsidR="002C4C85">
        <w:rPr>
          <w:szCs w:val="22"/>
          <w:lang w:val="en-CA"/>
        </w:rPr>
        <w:t xml:space="preserve">t is the opinion of the authors that this is significantly more complicated and will </w:t>
      </w:r>
      <w:r w:rsidR="00B370D2">
        <w:rPr>
          <w:szCs w:val="22"/>
          <w:lang w:val="en-CA"/>
        </w:rPr>
        <w:t xml:space="preserve">also </w:t>
      </w:r>
      <w:r w:rsidR="002C4C85">
        <w:rPr>
          <w:szCs w:val="22"/>
          <w:lang w:val="en-CA"/>
        </w:rPr>
        <w:t xml:space="preserve">create many </w:t>
      </w:r>
      <w:r w:rsidR="00B370D2">
        <w:rPr>
          <w:szCs w:val="22"/>
          <w:lang w:val="en-CA"/>
        </w:rPr>
        <w:t>corner case edge conditions which will</w:t>
      </w:r>
      <w:r w:rsidR="002C4C85">
        <w:rPr>
          <w:szCs w:val="22"/>
          <w:lang w:val="en-CA"/>
        </w:rPr>
        <w:t xml:space="preserve"> result in interoperability issues.</w:t>
      </w:r>
    </w:p>
    <w:p w14:paraId="24CAE10F" w14:textId="4818552F" w:rsidR="00E22988" w:rsidRDefault="00B370D2" w:rsidP="00E22988">
      <w:pPr>
        <w:pStyle w:val="Heading1"/>
        <w:rPr>
          <w:lang w:val="en-CA"/>
        </w:rPr>
      </w:pPr>
      <w:r>
        <w:rPr>
          <w:lang w:val="en-CA"/>
        </w:rPr>
        <w:t>Conclusion</w:t>
      </w:r>
    </w:p>
    <w:p w14:paraId="04F752C5" w14:textId="4AE2F984" w:rsidR="00F541CA" w:rsidRDefault="00F541CA" w:rsidP="00F541CA">
      <w:pPr>
        <w:rPr>
          <w:szCs w:val="22"/>
          <w:lang w:val="en-CA"/>
        </w:rPr>
      </w:pPr>
      <w:r>
        <w:rPr>
          <w:lang w:val="en-CA"/>
        </w:rPr>
        <w:t xml:space="preserve">The authors suggest that the </w:t>
      </w:r>
      <w:r w:rsidR="00B370D2">
        <w:rPr>
          <w:lang w:val="en-CA"/>
        </w:rPr>
        <w:t xml:space="preserve">flexible </w:t>
      </w:r>
      <w:r>
        <w:rPr>
          <w:lang w:val="en-CA"/>
        </w:rPr>
        <w:t xml:space="preserve">tile functionality </w:t>
      </w:r>
      <w:r w:rsidR="00B370D2">
        <w:rPr>
          <w:lang w:val="en-CA"/>
        </w:rPr>
        <w:t>be more carefully studied and examine whether the general t</w:t>
      </w:r>
      <w:r>
        <w:rPr>
          <w:lang w:val="en-CA"/>
        </w:rPr>
        <w:t>i</w:t>
      </w:r>
      <w:r w:rsidR="00B370D2">
        <w:rPr>
          <w:lang w:val="en-CA"/>
        </w:rPr>
        <w:t>les concept is already</w:t>
      </w:r>
      <w:r>
        <w:rPr>
          <w:lang w:val="en-CA"/>
        </w:rPr>
        <w:t xml:space="preserve"> sufficient for VVC applications</w:t>
      </w:r>
      <w:r w:rsidR="00B370D2">
        <w:rPr>
          <w:lang w:val="en-CA"/>
        </w:rPr>
        <w:t xml:space="preserve">.  They assert that </w:t>
      </w:r>
      <w:r>
        <w:rPr>
          <w:lang w:val="en-CA"/>
        </w:rPr>
        <w:t xml:space="preserve">generalizing the tile concept to allow for tiles being split into units smaller than a CTU </w:t>
      </w:r>
      <w:r w:rsidR="00B370D2">
        <w:rPr>
          <w:lang w:val="en-CA"/>
        </w:rPr>
        <w:t xml:space="preserve">has significant implementation challenges </w:t>
      </w:r>
      <w:r>
        <w:rPr>
          <w:lang w:val="en-CA"/>
        </w:rPr>
        <w:t xml:space="preserve">and suggest </w:t>
      </w:r>
      <w:r w:rsidR="00B370D2">
        <w:rPr>
          <w:lang w:val="en-CA"/>
        </w:rPr>
        <w:t xml:space="preserve">the </w:t>
      </w:r>
      <w:r>
        <w:rPr>
          <w:lang w:val="en-CA"/>
        </w:rPr>
        <w:t>additional complexity should be directed towards other tools that are more broadly applicable</w:t>
      </w:r>
      <w:r w:rsidR="00B370D2">
        <w:rPr>
          <w:lang w:val="en-CA"/>
        </w:rPr>
        <w:t>.</w:t>
      </w:r>
      <w:r>
        <w:rPr>
          <w:lang w:val="en-CA"/>
        </w:rPr>
        <w:t xml:space="preserve"> </w:t>
      </w:r>
    </w:p>
    <w:p w14:paraId="6D81BA09" w14:textId="11F72DA0" w:rsidR="00E22988" w:rsidRDefault="00E22988" w:rsidP="00E11923">
      <w:pPr>
        <w:pStyle w:val="Heading1"/>
        <w:rPr>
          <w:lang w:val="en-CA"/>
        </w:rPr>
      </w:pPr>
      <w:r>
        <w:rPr>
          <w:lang w:val="en-CA"/>
        </w:rPr>
        <w:t>References</w:t>
      </w:r>
    </w:p>
    <w:p w14:paraId="653F4F47" w14:textId="77777777" w:rsidR="00E22988" w:rsidRDefault="00E22988" w:rsidP="00E22988">
      <w:pPr>
        <w:ind w:left="360"/>
        <w:rPr>
          <w:lang w:val="en-CA" w:eastAsia="ja-JP"/>
        </w:rPr>
      </w:pPr>
      <w:r>
        <w:rPr>
          <w:color w:val="000000"/>
          <w:szCs w:val="22"/>
        </w:rPr>
        <w:t>[1] Y. Yasugi, T. Ikai, “AHG12: Flexible Tile Partitioning” JVET-K0155, Jul. 2018, Ljubljana, SI.</w:t>
      </w:r>
    </w:p>
    <w:p w14:paraId="48D13CEC" w14:textId="77777777" w:rsidR="00E22988" w:rsidRDefault="00E22988" w:rsidP="00E22988">
      <w:pPr>
        <w:ind w:left="720" w:hanging="360"/>
        <w:rPr>
          <w:color w:val="000000"/>
          <w:szCs w:val="22"/>
        </w:rPr>
      </w:pPr>
      <w:r>
        <w:rPr>
          <w:color w:val="000000"/>
          <w:szCs w:val="22"/>
        </w:rPr>
        <w:t>[2] Y. Yasugi, T. Ikai, “AHG12: Flexible Tile Partitioning” JVET-L0359, Oct. 2018, Macau, CN.</w:t>
      </w:r>
    </w:p>
    <w:p w14:paraId="0C13881D" w14:textId="59EDF0D7" w:rsidR="00690C52" w:rsidRDefault="00690C52" w:rsidP="00E22988">
      <w:pPr>
        <w:ind w:left="720" w:hanging="360"/>
        <w:rPr>
          <w:lang w:val="en-CA" w:eastAsia="ja-JP"/>
        </w:rPr>
      </w:pPr>
      <w:r>
        <w:rPr>
          <w:color w:val="000000"/>
          <w:szCs w:val="22"/>
        </w:rPr>
        <w:lastRenderedPageBreak/>
        <w:t xml:space="preserve">[3] “High efficiency video coding:, ITU-T Rec. H.265 and ISO/IEC 23008-2, ITU-T and ISO/IEC JTC 1, Feb. 2018.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308DBF" w14:textId="77777777" w:rsidR="00994FF4" w:rsidRDefault="00994FF4" w:rsidP="00994FF4">
      <w:r>
        <w:rPr>
          <w:b/>
          <w:bCs/>
          <w:lang w:val="en-CA"/>
        </w:rPr>
        <w:t>Broadcom Inc. does not have current or pending patent rights relating to the technology described in this contribution.</w:t>
      </w:r>
    </w:p>
    <w:p w14:paraId="32EAF635" w14:textId="4DEDD7D9" w:rsidR="007F1F8B" w:rsidRPr="005B217D" w:rsidRDefault="007F1F8B" w:rsidP="00994FF4">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CBB98" w14:textId="77777777" w:rsidR="00A31FDE" w:rsidRDefault="00A31FDE">
      <w:r>
        <w:separator/>
      </w:r>
    </w:p>
  </w:endnote>
  <w:endnote w:type="continuationSeparator" w:id="0">
    <w:p w14:paraId="670E8045" w14:textId="77777777" w:rsidR="00A31FDE" w:rsidRDefault="00A3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A787622" w:rsidR="004B02EC" w:rsidRPr="00C00DDE" w:rsidRDefault="004B02E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275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275A">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EA4F2" w14:textId="77777777" w:rsidR="00A31FDE" w:rsidRDefault="00A31FDE">
      <w:r>
        <w:separator/>
      </w:r>
    </w:p>
  </w:footnote>
  <w:footnote w:type="continuationSeparator" w:id="0">
    <w:p w14:paraId="179CB6DF" w14:textId="77777777" w:rsidR="00A31FDE" w:rsidRDefault="00A31F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900979"/>
    <w:multiLevelType w:val="hybridMultilevel"/>
    <w:tmpl w:val="217616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0F5567"/>
    <w:multiLevelType w:val="hybridMultilevel"/>
    <w:tmpl w:val="485A36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0C29F8"/>
    <w:multiLevelType w:val="hybridMultilevel"/>
    <w:tmpl w:val="9A7E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3EC316D"/>
    <w:multiLevelType w:val="hybridMultilevel"/>
    <w:tmpl w:val="AEEE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E5F80"/>
    <w:multiLevelType w:val="hybridMultilevel"/>
    <w:tmpl w:val="0B3EC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D715F1"/>
    <w:multiLevelType w:val="hybridMultilevel"/>
    <w:tmpl w:val="49800BF6"/>
    <w:lvl w:ilvl="0" w:tplc="5688F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CA1E84"/>
    <w:multiLevelType w:val="hybridMultilevel"/>
    <w:tmpl w:val="E288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F96540"/>
    <w:multiLevelType w:val="hybridMultilevel"/>
    <w:tmpl w:val="6AAA7DC0"/>
    <w:lvl w:ilvl="0" w:tplc="5688F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7"/>
  </w:num>
  <w:num w:numId="7">
    <w:abstractNumId w:val="10"/>
  </w:num>
  <w:num w:numId="8">
    <w:abstractNumId w:val="7"/>
  </w:num>
  <w:num w:numId="9">
    <w:abstractNumId w:val="1"/>
  </w:num>
  <w:num w:numId="10">
    <w:abstractNumId w:val="6"/>
  </w:num>
  <w:num w:numId="11">
    <w:abstractNumId w:val="2"/>
  </w:num>
  <w:num w:numId="12">
    <w:abstractNumId w:val="12"/>
  </w:num>
  <w:num w:numId="13">
    <w:abstractNumId w:val="4"/>
  </w:num>
  <w:num w:numId="14">
    <w:abstractNumId w:val="11"/>
  </w:num>
  <w:num w:numId="15">
    <w:abstractNumId w:val="13"/>
  </w:num>
  <w:num w:numId="16">
    <w:abstractNumId w:val="5"/>
  </w:num>
  <w:num w:numId="17">
    <w:abstractNumId w:val="9"/>
  </w:num>
  <w:num w:numId="18">
    <w:abstractNumId w:val="8"/>
  </w:num>
  <w:num w:numId="19">
    <w:abstractNumId w:val="3"/>
  </w:num>
  <w:num w:numId="20">
    <w:abstractNumId w:val="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3C7B"/>
    <w:rsid w:val="000308A3"/>
    <w:rsid w:val="00036045"/>
    <w:rsid w:val="000458BC"/>
    <w:rsid w:val="00045C41"/>
    <w:rsid w:val="00046C03"/>
    <w:rsid w:val="00047675"/>
    <w:rsid w:val="0005275A"/>
    <w:rsid w:val="00064E18"/>
    <w:rsid w:val="00065039"/>
    <w:rsid w:val="0007614F"/>
    <w:rsid w:val="00081398"/>
    <w:rsid w:val="000817A8"/>
    <w:rsid w:val="00094479"/>
    <w:rsid w:val="000945F5"/>
    <w:rsid w:val="000962AC"/>
    <w:rsid w:val="00096BFB"/>
    <w:rsid w:val="000A4505"/>
    <w:rsid w:val="000B0C0F"/>
    <w:rsid w:val="000B1C6B"/>
    <w:rsid w:val="000B4FF9"/>
    <w:rsid w:val="000C09AC"/>
    <w:rsid w:val="000E00F3"/>
    <w:rsid w:val="000E7251"/>
    <w:rsid w:val="000F158C"/>
    <w:rsid w:val="00100FCD"/>
    <w:rsid w:val="00102F3D"/>
    <w:rsid w:val="00103D2D"/>
    <w:rsid w:val="00124E38"/>
    <w:rsid w:val="0012580B"/>
    <w:rsid w:val="00127752"/>
    <w:rsid w:val="00131F90"/>
    <w:rsid w:val="0013458C"/>
    <w:rsid w:val="0013491E"/>
    <w:rsid w:val="0013526E"/>
    <w:rsid w:val="00146152"/>
    <w:rsid w:val="00155526"/>
    <w:rsid w:val="00157AD9"/>
    <w:rsid w:val="00171371"/>
    <w:rsid w:val="00172BF4"/>
    <w:rsid w:val="00173A8D"/>
    <w:rsid w:val="00175A24"/>
    <w:rsid w:val="00187E58"/>
    <w:rsid w:val="001900A9"/>
    <w:rsid w:val="001A297E"/>
    <w:rsid w:val="001A368E"/>
    <w:rsid w:val="001A6AA6"/>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EC"/>
    <w:rsid w:val="002C4C85"/>
    <w:rsid w:val="002C4D85"/>
    <w:rsid w:val="002D0AF6"/>
    <w:rsid w:val="002F164D"/>
    <w:rsid w:val="003002E6"/>
    <w:rsid w:val="003021BC"/>
    <w:rsid w:val="00306206"/>
    <w:rsid w:val="00317D85"/>
    <w:rsid w:val="00322005"/>
    <w:rsid w:val="00326DFB"/>
    <w:rsid w:val="00327C56"/>
    <w:rsid w:val="003315A1"/>
    <w:rsid w:val="0033256A"/>
    <w:rsid w:val="003373EC"/>
    <w:rsid w:val="0034090E"/>
    <w:rsid w:val="00342FF4"/>
    <w:rsid w:val="00344E5A"/>
    <w:rsid w:val="00346148"/>
    <w:rsid w:val="003669EA"/>
    <w:rsid w:val="003706CC"/>
    <w:rsid w:val="00377710"/>
    <w:rsid w:val="00381476"/>
    <w:rsid w:val="0038419F"/>
    <w:rsid w:val="003A26C8"/>
    <w:rsid w:val="003A2D8E"/>
    <w:rsid w:val="003A7CE6"/>
    <w:rsid w:val="003B3C34"/>
    <w:rsid w:val="003C20E4"/>
    <w:rsid w:val="003C3A6F"/>
    <w:rsid w:val="003D6342"/>
    <w:rsid w:val="003E157D"/>
    <w:rsid w:val="003E6D0D"/>
    <w:rsid w:val="003E6F90"/>
    <w:rsid w:val="003E73ED"/>
    <w:rsid w:val="003F5D0F"/>
    <w:rsid w:val="00414101"/>
    <w:rsid w:val="004219CF"/>
    <w:rsid w:val="00422CD8"/>
    <w:rsid w:val="00422E43"/>
    <w:rsid w:val="004234F0"/>
    <w:rsid w:val="00433DDB"/>
    <w:rsid w:val="00435A29"/>
    <w:rsid w:val="00437619"/>
    <w:rsid w:val="004512E3"/>
    <w:rsid w:val="00456E71"/>
    <w:rsid w:val="004617E7"/>
    <w:rsid w:val="0046577D"/>
    <w:rsid w:val="00465A1E"/>
    <w:rsid w:val="00466C41"/>
    <w:rsid w:val="004779FF"/>
    <w:rsid w:val="004877F8"/>
    <w:rsid w:val="004930F6"/>
    <w:rsid w:val="0049445A"/>
    <w:rsid w:val="004A2A63"/>
    <w:rsid w:val="004A45DF"/>
    <w:rsid w:val="004B02EC"/>
    <w:rsid w:val="004B210C"/>
    <w:rsid w:val="004C342A"/>
    <w:rsid w:val="004D11E5"/>
    <w:rsid w:val="004D405F"/>
    <w:rsid w:val="004E4F4F"/>
    <w:rsid w:val="004E6789"/>
    <w:rsid w:val="004F61E3"/>
    <w:rsid w:val="00502D97"/>
    <w:rsid w:val="00502E10"/>
    <w:rsid w:val="0051015C"/>
    <w:rsid w:val="00513C10"/>
    <w:rsid w:val="0051624E"/>
    <w:rsid w:val="00516CF1"/>
    <w:rsid w:val="005302A7"/>
    <w:rsid w:val="00531AE9"/>
    <w:rsid w:val="00534D92"/>
    <w:rsid w:val="00535543"/>
    <w:rsid w:val="00550A66"/>
    <w:rsid w:val="00551088"/>
    <w:rsid w:val="00561085"/>
    <w:rsid w:val="00563BB2"/>
    <w:rsid w:val="00567EC7"/>
    <w:rsid w:val="00570013"/>
    <w:rsid w:val="00571AF8"/>
    <w:rsid w:val="005753EC"/>
    <w:rsid w:val="005801A2"/>
    <w:rsid w:val="00584F3C"/>
    <w:rsid w:val="005952A5"/>
    <w:rsid w:val="005A33A1"/>
    <w:rsid w:val="005A3714"/>
    <w:rsid w:val="005B217D"/>
    <w:rsid w:val="005C0160"/>
    <w:rsid w:val="005C385F"/>
    <w:rsid w:val="005D0D8D"/>
    <w:rsid w:val="005D118F"/>
    <w:rsid w:val="005E1AC6"/>
    <w:rsid w:val="005F45D2"/>
    <w:rsid w:val="005F6F1B"/>
    <w:rsid w:val="006110AF"/>
    <w:rsid w:val="00615995"/>
    <w:rsid w:val="00616155"/>
    <w:rsid w:val="00616AA5"/>
    <w:rsid w:val="00624B33"/>
    <w:rsid w:val="0063041A"/>
    <w:rsid w:val="00630AA2"/>
    <w:rsid w:val="00643BF3"/>
    <w:rsid w:val="00646707"/>
    <w:rsid w:val="00653202"/>
    <w:rsid w:val="00657F7E"/>
    <w:rsid w:val="00662E58"/>
    <w:rsid w:val="006637F2"/>
    <w:rsid w:val="006642A5"/>
    <w:rsid w:val="00664DCF"/>
    <w:rsid w:val="00690C52"/>
    <w:rsid w:val="0069699C"/>
    <w:rsid w:val="006C5D39"/>
    <w:rsid w:val="006D6D9B"/>
    <w:rsid w:val="006E2810"/>
    <w:rsid w:val="006E5417"/>
    <w:rsid w:val="006F0794"/>
    <w:rsid w:val="006F7528"/>
    <w:rsid w:val="007023DE"/>
    <w:rsid w:val="00706CD8"/>
    <w:rsid w:val="0071152A"/>
    <w:rsid w:val="00712F60"/>
    <w:rsid w:val="00714E80"/>
    <w:rsid w:val="00720E3B"/>
    <w:rsid w:val="00723BFC"/>
    <w:rsid w:val="007259D4"/>
    <w:rsid w:val="00734090"/>
    <w:rsid w:val="00740F08"/>
    <w:rsid w:val="0074393F"/>
    <w:rsid w:val="00745F6B"/>
    <w:rsid w:val="0075585E"/>
    <w:rsid w:val="0075702C"/>
    <w:rsid w:val="00760D9D"/>
    <w:rsid w:val="00770571"/>
    <w:rsid w:val="007768FF"/>
    <w:rsid w:val="007824D3"/>
    <w:rsid w:val="00796120"/>
    <w:rsid w:val="00796EE3"/>
    <w:rsid w:val="007A7D29"/>
    <w:rsid w:val="007B1D8A"/>
    <w:rsid w:val="007B4AB8"/>
    <w:rsid w:val="007C7CCA"/>
    <w:rsid w:val="007D1181"/>
    <w:rsid w:val="007E01A3"/>
    <w:rsid w:val="007F1F8B"/>
    <w:rsid w:val="007F67A1"/>
    <w:rsid w:val="00806180"/>
    <w:rsid w:val="00811C05"/>
    <w:rsid w:val="008206C8"/>
    <w:rsid w:val="008346AF"/>
    <w:rsid w:val="008417C4"/>
    <w:rsid w:val="00842C38"/>
    <w:rsid w:val="00844B59"/>
    <w:rsid w:val="0086173F"/>
    <w:rsid w:val="0086387C"/>
    <w:rsid w:val="00874A6C"/>
    <w:rsid w:val="008751AB"/>
    <w:rsid w:val="00876C65"/>
    <w:rsid w:val="008869D9"/>
    <w:rsid w:val="0089202D"/>
    <w:rsid w:val="00897273"/>
    <w:rsid w:val="008A4B4C"/>
    <w:rsid w:val="008C239F"/>
    <w:rsid w:val="008D3E69"/>
    <w:rsid w:val="008E480C"/>
    <w:rsid w:val="00907757"/>
    <w:rsid w:val="00920D09"/>
    <w:rsid w:val="009212B0"/>
    <w:rsid w:val="0092178D"/>
    <w:rsid w:val="00921FA1"/>
    <w:rsid w:val="009234A5"/>
    <w:rsid w:val="00933453"/>
    <w:rsid w:val="009336F7"/>
    <w:rsid w:val="0093636C"/>
    <w:rsid w:val="009374A7"/>
    <w:rsid w:val="00942D4D"/>
    <w:rsid w:val="009459D9"/>
    <w:rsid w:val="009478A9"/>
    <w:rsid w:val="00955F6D"/>
    <w:rsid w:val="00960632"/>
    <w:rsid w:val="0096628E"/>
    <w:rsid w:val="00977C16"/>
    <w:rsid w:val="0098551D"/>
    <w:rsid w:val="00994FF4"/>
    <w:rsid w:val="0099518F"/>
    <w:rsid w:val="009978F9"/>
    <w:rsid w:val="009A523D"/>
    <w:rsid w:val="009B02A1"/>
    <w:rsid w:val="009B3361"/>
    <w:rsid w:val="009C10C3"/>
    <w:rsid w:val="009C42EB"/>
    <w:rsid w:val="009D2C78"/>
    <w:rsid w:val="009D7CE6"/>
    <w:rsid w:val="009F1330"/>
    <w:rsid w:val="009F496B"/>
    <w:rsid w:val="00A01439"/>
    <w:rsid w:val="00A02E61"/>
    <w:rsid w:val="00A05CFF"/>
    <w:rsid w:val="00A13048"/>
    <w:rsid w:val="00A14D98"/>
    <w:rsid w:val="00A31FDE"/>
    <w:rsid w:val="00A46843"/>
    <w:rsid w:val="00A56B97"/>
    <w:rsid w:val="00A6030F"/>
    <w:rsid w:val="00A6093D"/>
    <w:rsid w:val="00A60E14"/>
    <w:rsid w:val="00A671E2"/>
    <w:rsid w:val="00A72DEE"/>
    <w:rsid w:val="00A767DC"/>
    <w:rsid w:val="00A76A6D"/>
    <w:rsid w:val="00A83253"/>
    <w:rsid w:val="00AA4BAD"/>
    <w:rsid w:val="00AA5D3A"/>
    <w:rsid w:val="00AA6E84"/>
    <w:rsid w:val="00AB1A1C"/>
    <w:rsid w:val="00AB31D9"/>
    <w:rsid w:val="00AC01ED"/>
    <w:rsid w:val="00AC2A4D"/>
    <w:rsid w:val="00AD05A8"/>
    <w:rsid w:val="00AD1062"/>
    <w:rsid w:val="00AD16B0"/>
    <w:rsid w:val="00AE341B"/>
    <w:rsid w:val="00AF7173"/>
    <w:rsid w:val="00B01905"/>
    <w:rsid w:val="00B07CA7"/>
    <w:rsid w:val="00B1161C"/>
    <w:rsid w:val="00B1279A"/>
    <w:rsid w:val="00B370D2"/>
    <w:rsid w:val="00B4194A"/>
    <w:rsid w:val="00B437E8"/>
    <w:rsid w:val="00B43EFD"/>
    <w:rsid w:val="00B5222E"/>
    <w:rsid w:val="00B53179"/>
    <w:rsid w:val="00B563F1"/>
    <w:rsid w:val="00B57A23"/>
    <w:rsid w:val="00B600CD"/>
    <w:rsid w:val="00B61C96"/>
    <w:rsid w:val="00B73A2A"/>
    <w:rsid w:val="00B73C6D"/>
    <w:rsid w:val="00B75A51"/>
    <w:rsid w:val="00B827C6"/>
    <w:rsid w:val="00B94B06"/>
    <w:rsid w:val="00B94C28"/>
    <w:rsid w:val="00BC10BA"/>
    <w:rsid w:val="00BC5AFD"/>
    <w:rsid w:val="00BE1840"/>
    <w:rsid w:val="00C00DDE"/>
    <w:rsid w:val="00C04C5C"/>
    <w:rsid w:val="00C04F43"/>
    <w:rsid w:val="00C0609D"/>
    <w:rsid w:val="00C115AB"/>
    <w:rsid w:val="00C13B82"/>
    <w:rsid w:val="00C14DC5"/>
    <w:rsid w:val="00C26482"/>
    <w:rsid w:val="00C26CCB"/>
    <w:rsid w:val="00C30249"/>
    <w:rsid w:val="00C35266"/>
    <w:rsid w:val="00C3723B"/>
    <w:rsid w:val="00C42466"/>
    <w:rsid w:val="00C5476C"/>
    <w:rsid w:val="00C606C9"/>
    <w:rsid w:val="00C80288"/>
    <w:rsid w:val="00C84003"/>
    <w:rsid w:val="00C90650"/>
    <w:rsid w:val="00C97D78"/>
    <w:rsid w:val="00CB1CE9"/>
    <w:rsid w:val="00CC2AAE"/>
    <w:rsid w:val="00CC5A42"/>
    <w:rsid w:val="00CD0EAB"/>
    <w:rsid w:val="00CD1C67"/>
    <w:rsid w:val="00CD5077"/>
    <w:rsid w:val="00CE5E02"/>
    <w:rsid w:val="00CF0EC6"/>
    <w:rsid w:val="00CF34DB"/>
    <w:rsid w:val="00CF3917"/>
    <w:rsid w:val="00CF558F"/>
    <w:rsid w:val="00D010C0"/>
    <w:rsid w:val="00D073E2"/>
    <w:rsid w:val="00D2128A"/>
    <w:rsid w:val="00D446EC"/>
    <w:rsid w:val="00D44CE0"/>
    <w:rsid w:val="00D51BF0"/>
    <w:rsid w:val="00D531DB"/>
    <w:rsid w:val="00D55942"/>
    <w:rsid w:val="00D721BF"/>
    <w:rsid w:val="00D77FFB"/>
    <w:rsid w:val="00D807BF"/>
    <w:rsid w:val="00D812E3"/>
    <w:rsid w:val="00D82FCC"/>
    <w:rsid w:val="00DA17FC"/>
    <w:rsid w:val="00DA7887"/>
    <w:rsid w:val="00DB2C26"/>
    <w:rsid w:val="00DB43A9"/>
    <w:rsid w:val="00DC755F"/>
    <w:rsid w:val="00DC7B1B"/>
    <w:rsid w:val="00DD02F4"/>
    <w:rsid w:val="00DD4DD8"/>
    <w:rsid w:val="00DD6622"/>
    <w:rsid w:val="00DE1C7C"/>
    <w:rsid w:val="00DE5B29"/>
    <w:rsid w:val="00DE6B43"/>
    <w:rsid w:val="00DE6D1F"/>
    <w:rsid w:val="00E11923"/>
    <w:rsid w:val="00E22988"/>
    <w:rsid w:val="00E262D4"/>
    <w:rsid w:val="00E36250"/>
    <w:rsid w:val="00E47F2D"/>
    <w:rsid w:val="00E54511"/>
    <w:rsid w:val="00E61DAC"/>
    <w:rsid w:val="00E62521"/>
    <w:rsid w:val="00E72B80"/>
    <w:rsid w:val="00E75FE3"/>
    <w:rsid w:val="00E86C4C"/>
    <w:rsid w:val="00E907A3"/>
    <w:rsid w:val="00EA5AE0"/>
    <w:rsid w:val="00EB56E1"/>
    <w:rsid w:val="00EB6FAB"/>
    <w:rsid w:val="00EB7AB1"/>
    <w:rsid w:val="00ED5F84"/>
    <w:rsid w:val="00EE0359"/>
    <w:rsid w:val="00EE7CD8"/>
    <w:rsid w:val="00EF1D62"/>
    <w:rsid w:val="00EF37F6"/>
    <w:rsid w:val="00EF48CC"/>
    <w:rsid w:val="00F00801"/>
    <w:rsid w:val="00F15229"/>
    <w:rsid w:val="00F2488D"/>
    <w:rsid w:val="00F541CA"/>
    <w:rsid w:val="00F601A0"/>
    <w:rsid w:val="00F61DF4"/>
    <w:rsid w:val="00F712E9"/>
    <w:rsid w:val="00F73032"/>
    <w:rsid w:val="00F77D37"/>
    <w:rsid w:val="00F848FC"/>
    <w:rsid w:val="00F906F6"/>
    <w:rsid w:val="00F9282A"/>
    <w:rsid w:val="00F96BAD"/>
    <w:rsid w:val="00FA139D"/>
    <w:rsid w:val="00FA60F5"/>
    <w:rsid w:val="00FB0E84"/>
    <w:rsid w:val="00FC2405"/>
    <w:rsid w:val="00FD01C2"/>
    <w:rsid w:val="00FD0495"/>
    <w:rsid w:val="00FD49C1"/>
    <w:rsid w:val="00FD77B6"/>
    <w:rsid w:val="00FD7936"/>
    <w:rsid w:val="00FE595C"/>
    <w:rsid w:val="00FF0CE3"/>
    <w:rsid w:val="00FF57A2"/>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D85"/>
    <w:pPr>
      <w:ind w:left="720"/>
      <w:contextualSpacing/>
    </w:pPr>
  </w:style>
  <w:style w:type="paragraph" w:customStyle="1" w:styleId="Equation">
    <w:name w:val="Equation"/>
    <w:basedOn w:val="Normal"/>
    <w:uiPriority w:val="99"/>
    <w:qFormat/>
    <w:rsid w:val="002C4D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Default">
    <w:name w:val="Default"/>
    <w:rsid w:val="00A72DEE"/>
    <w:pPr>
      <w:autoSpaceDE w:val="0"/>
      <w:autoSpaceDN w:val="0"/>
      <w:adjustRightInd w:val="0"/>
    </w:pPr>
    <w:rPr>
      <w:color w:val="000000"/>
      <w:sz w:val="24"/>
      <w:szCs w:val="24"/>
    </w:rPr>
  </w:style>
  <w:style w:type="paragraph" w:styleId="Revision">
    <w:name w:val="Revision"/>
    <w:hidden/>
    <w:uiPriority w:val="99"/>
    <w:semiHidden/>
    <w:rsid w:val="009C10C3"/>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D85"/>
    <w:pPr>
      <w:ind w:left="720"/>
      <w:contextualSpacing/>
    </w:pPr>
  </w:style>
  <w:style w:type="paragraph" w:customStyle="1" w:styleId="Equation">
    <w:name w:val="Equation"/>
    <w:basedOn w:val="Normal"/>
    <w:uiPriority w:val="99"/>
    <w:qFormat/>
    <w:rsid w:val="002C4D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Default">
    <w:name w:val="Default"/>
    <w:rsid w:val="00A72DEE"/>
    <w:pPr>
      <w:autoSpaceDE w:val="0"/>
      <w:autoSpaceDN w:val="0"/>
      <w:adjustRightInd w:val="0"/>
    </w:pPr>
    <w:rPr>
      <w:color w:val="000000"/>
      <w:sz w:val="24"/>
      <w:szCs w:val="24"/>
    </w:rPr>
  </w:style>
  <w:style w:type="paragraph" w:styleId="Revision">
    <w:name w:val="Revision"/>
    <w:hidden/>
    <w:uiPriority w:val="99"/>
    <w:semiHidden/>
    <w:rsid w:val="009C10C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560676">
      <w:bodyDiv w:val="1"/>
      <w:marLeft w:val="0"/>
      <w:marRight w:val="0"/>
      <w:marTop w:val="0"/>
      <w:marBottom w:val="0"/>
      <w:divBdr>
        <w:top w:val="none" w:sz="0" w:space="0" w:color="auto"/>
        <w:left w:val="none" w:sz="0" w:space="0" w:color="auto"/>
        <w:bottom w:val="none" w:sz="0" w:space="0" w:color="auto"/>
        <w:right w:val="none" w:sz="0" w:space="0" w:color="auto"/>
      </w:divBdr>
    </w:div>
    <w:div w:id="442383705">
      <w:bodyDiv w:val="1"/>
      <w:marLeft w:val="0"/>
      <w:marRight w:val="0"/>
      <w:marTop w:val="0"/>
      <w:marBottom w:val="0"/>
      <w:divBdr>
        <w:top w:val="none" w:sz="0" w:space="0" w:color="auto"/>
        <w:left w:val="none" w:sz="0" w:space="0" w:color="auto"/>
        <w:bottom w:val="none" w:sz="0" w:space="0" w:color="auto"/>
        <w:right w:val="none" w:sz="0" w:space="0" w:color="auto"/>
      </w:divBdr>
      <w:divsChild>
        <w:div w:id="825318841">
          <w:marLeft w:val="1354"/>
          <w:marRight w:val="0"/>
          <w:marTop w:val="80"/>
          <w:marBottom w:val="0"/>
          <w:divBdr>
            <w:top w:val="none" w:sz="0" w:space="0" w:color="auto"/>
            <w:left w:val="none" w:sz="0" w:space="0" w:color="auto"/>
            <w:bottom w:val="none" w:sz="0" w:space="0" w:color="auto"/>
            <w:right w:val="none" w:sz="0" w:space="0" w:color="auto"/>
          </w:divBdr>
        </w:div>
      </w:divsChild>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319772348">
      <w:bodyDiv w:val="1"/>
      <w:marLeft w:val="0"/>
      <w:marRight w:val="0"/>
      <w:marTop w:val="0"/>
      <w:marBottom w:val="0"/>
      <w:divBdr>
        <w:top w:val="none" w:sz="0" w:space="0" w:color="auto"/>
        <w:left w:val="none" w:sz="0" w:space="0" w:color="auto"/>
        <w:bottom w:val="none" w:sz="0" w:space="0" w:color="auto"/>
        <w:right w:val="none" w:sz="0" w:space="0" w:color="auto"/>
      </w:divBdr>
    </w:div>
    <w:div w:id="1341160225">
      <w:bodyDiv w:val="1"/>
      <w:marLeft w:val="0"/>
      <w:marRight w:val="0"/>
      <w:marTop w:val="0"/>
      <w:marBottom w:val="0"/>
      <w:divBdr>
        <w:top w:val="none" w:sz="0" w:space="0" w:color="auto"/>
        <w:left w:val="none" w:sz="0" w:space="0" w:color="auto"/>
        <w:bottom w:val="none" w:sz="0" w:space="0" w:color="auto"/>
        <w:right w:val="none" w:sz="0" w:space="0" w:color="auto"/>
      </w:divBdr>
    </w:div>
    <w:div w:id="1364671301">
      <w:bodyDiv w:val="1"/>
      <w:marLeft w:val="0"/>
      <w:marRight w:val="0"/>
      <w:marTop w:val="0"/>
      <w:marBottom w:val="0"/>
      <w:divBdr>
        <w:top w:val="none" w:sz="0" w:space="0" w:color="auto"/>
        <w:left w:val="none" w:sz="0" w:space="0" w:color="auto"/>
        <w:bottom w:val="none" w:sz="0" w:space="0" w:color="auto"/>
        <w:right w:val="none" w:sz="0" w:space="0" w:color="auto"/>
      </w:divBdr>
      <w:divsChild>
        <w:div w:id="30034324">
          <w:marLeft w:val="1354"/>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35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im.hellman@broadcom.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inhua.zhou@broadcom.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ade.wan@broadcom.co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brian.heng@broad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A0764-0786-47E6-BB6F-F173EAE9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2018-12-26T15:16:00Z</dcterms:created>
  <dcterms:modified xsi:type="dcterms:W3CDTF">2019-01-03T07:28:00Z</dcterms:modified>
</cp:coreProperties>
</file>