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205979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354FCC">
              <w:rPr>
                <w:b/>
                <w:szCs w:val="22"/>
                <w:lang w:val="en-CA"/>
              </w:rPr>
              <w:t>J</w:t>
            </w:r>
            <w:r w:rsidR="00E61DAC" w:rsidRPr="005B217D">
              <w:rPr>
                <w:b/>
                <w:szCs w:val="22"/>
                <w:lang w:val="en-CA"/>
              </w:rPr>
              <w:t xml:space="preserve">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1B61BFF"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3E4DD1" w:rsidRPr="003E4DD1">
              <w:rPr>
                <w:lang w:val="en-CA"/>
              </w:rPr>
              <w:t>0</w:t>
            </w:r>
            <w:r w:rsidR="0003025C">
              <w:rPr>
                <w:lang w:val="en-CA"/>
              </w:rPr>
              <w:t>451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6BC1FE0" w:rsidR="00E61DAC" w:rsidRPr="005B217D" w:rsidRDefault="00936E6C" w:rsidP="009D7CE6">
            <w:pPr>
              <w:spacing w:before="60" w:after="60"/>
              <w:rPr>
                <w:b/>
                <w:szCs w:val="22"/>
                <w:lang w:val="en-CA"/>
              </w:rPr>
            </w:pPr>
            <w:r>
              <w:rPr>
                <w:b/>
                <w:szCs w:val="22"/>
                <w:lang w:val="en-CA"/>
              </w:rPr>
              <w:t xml:space="preserve">CE15-related: </w:t>
            </w:r>
            <w:r w:rsidR="005B7DC4">
              <w:rPr>
                <w:b/>
                <w:szCs w:val="22"/>
                <w:lang w:val="en-CA"/>
              </w:rPr>
              <w:t>P</w:t>
            </w:r>
            <w:r w:rsidR="003F1351">
              <w:rPr>
                <w:b/>
                <w:szCs w:val="22"/>
                <w:lang w:val="en-CA"/>
              </w:rPr>
              <w:t xml:space="preserve">alette </w:t>
            </w:r>
            <w:r w:rsidR="0003025C">
              <w:rPr>
                <w:b/>
                <w:szCs w:val="22"/>
                <w:lang w:val="en-CA"/>
              </w:rPr>
              <w:t>predictor list enhancement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FAA789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1769006" w:rsidR="00E61DAC" w:rsidRPr="005B217D" w:rsidRDefault="00F261DD" w:rsidP="005E1AC6">
            <w:pPr>
              <w:spacing w:before="60" w:after="60"/>
              <w:rPr>
                <w:szCs w:val="22"/>
                <w:lang w:val="en-CA"/>
              </w:rPr>
            </w:pPr>
            <w:r>
              <w:rPr>
                <w:szCs w:val="22"/>
                <w:lang w:val="en-CA"/>
              </w:rPr>
              <w:t>Proposal</w:t>
            </w:r>
            <w:bookmarkStart w:id="0" w:name="_GoBack"/>
            <w:bookmarkEnd w:id="0"/>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8F47953" w:rsidR="00E61DAC" w:rsidRPr="005B217D" w:rsidRDefault="00936E6C" w:rsidP="00E43783">
            <w:pPr>
              <w:spacing w:before="60" w:after="60"/>
              <w:rPr>
                <w:szCs w:val="22"/>
                <w:lang w:val="en-CA"/>
              </w:rPr>
            </w:pPr>
            <w:r>
              <w:rPr>
                <w:szCs w:val="22"/>
                <w:lang w:val="en-CA"/>
              </w:rPr>
              <w:t>Jing Ye</w:t>
            </w:r>
            <w:r w:rsidR="003105EC">
              <w:rPr>
                <w:szCs w:val="22"/>
                <w:lang w:val="en-CA"/>
              </w:rPr>
              <w:t xml:space="preserve">, </w:t>
            </w:r>
            <w:r w:rsidR="00BC1156">
              <w:rPr>
                <w:szCs w:val="22"/>
                <w:lang w:val="en-CA"/>
              </w:rPr>
              <w:t>Xiang Li</w:t>
            </w:r>
            <w:r w:rsidR="003A716D">
              <w:rPr>
                <w:szCs w:val="22"/>
                <w:lang w:val="en-CA"/>
              </w:rPr>
              <w:t>,</w:t>
            </w:r>
            <w:r w:rsidR="003105EC">
              <w:rPr>
                <w:szCs w:val="22"/>
                <w:lang w:val="en-CA"/>
              </w:rPr>
              <w:t xml:space="preserve"> </w:t>
            </w:r>
            <w:proofErr w:type="spellStart"/>
            <w:r w:rsidR="008044D1">
              <w:rPr>
                <w:szCs w:val="22"/>
                <w:lang w:val="en-CA"/>
              </w:rPr>
              <w:t>Xiaozhong</w:t>
            </w:r>
            <w:proofErr w:type="spellEnd"/>
            <w:r w:rsidR="008044D1">
              <w:rPr>
                <w:szCs w:val="22"/>
                <w:lang w:val="en-CA"/>
              </w:rPr>
              <w:t xml:space="preserve"> Xu</w:t>
            </w:r>
            <w:r w:rsidR="00AA280E">
              <w:rPr>
                <w:szCs w:val="22"/>
                <w:lang w:val="en-CA"/>
              </w:rPr>
              <w:t xml:space="preserve"> and Shan Liu</w:t>
            </w:r>
            <w:r w:rsidR="00BC1156">
              <w:rPr>
                <w:szCs w:val="22"/>
                <w:lang w:val="en-CA"/>
              </w:rPr>
              <w:t xml:space="preserve">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D5395A7" w14:textId="4D6E2CBA" w:rsidR="00E61DAC" w:rsidRDefault="00E61DAC" w:rsidP="005952A5">
            <w:pPr>
              <w:spacing w:before="60" w:after="60"/>
              <w:rPr>
                <w:szCs w:val="22"/>
                <w:lang w:val="en-CA"/>
              </w:rPr>
            </w:pPr>
            <w:r w:rsidRPr="005B217D">
              <w:rPr>
                <w:szCs w:val="22"/>
                <w:lang w:val="en-CA"/>
              </w:rPr>
              <w:br/>
            </w:r>
            <w:hyperlink r:id="rId9" w:history="1">
              <w:r w:rsidR="00936E6C" w:rsidRPr="001A2CEE">
                <w:rPr>
                  <w:rStyle w:val="Hyperlink"/>
                  <w:szCs w:val="22"/>
                  <w:lang w:val="en-CA"/>
                </w:rPr>
                <w:t>jingye@tencent.com</w:t>
              </w:r>
            </w:hyperlink>
          </w:p>
          <w:p w14:paraId="16B6B38A" w14:textId="6A140705" w:rsidR="00936E6C" w:rsidRDefault="008455E9" w:rsidP="005952A5">
            <w:pPr>
              <w:spacing w:before="60" w:after="60"/>
              <w:rPr>
                <w:szCs w:val="22"/>
                <w:lang w:val="en-CA"/>
              </w:rPr>
            </w:pPr>
            <w:hyperlink r:id="rId10" w:history="1">
              <w:r w:rsidR="00936E6C" w:rsidRPr="001A2CEE">
                <w:rPr>
                  <w:rStyle w:val="Hyperlink"/>
                  <w:szCs w:val="22"/>
                  <w:lang w:val="en-CA"/>
                </w:rPr>
                <w:t>xlxiangli@tencent.com</w:t>
              </w:r>
            </w:hyperlink>
          </w:p>
          <w:p w14:paraId="2EAEC7DA" w14:textId="710A63EA" w:rsidR="008044D1" w:rsidRDefault="008455E9" w:rsidP="005952A5">
            <w:pPr>
              <w:spacing w:before="60" w:after="60"/>
              <w:rPr>
                <w:rStyle w:val="Hyperlink"/>
                <w:szCs w:val="22"/>
                <w:lang w:val="en-CA"/>
              </w:rPr>
            </w:pPr>
            <w:hyperlink r:id="rId11" w:history="1">
              <w:r w:rsidR="00AA280E" w:rsidRPr="00C876B3">
                <w:rPr>
                  <w:rStyle w:val="Hyperlink"/>
                  <w:szCs w:val="22"/>
                  <w:lang w:val="en-CA"/>
                </w:rPr>
                <w:t>xiaozhongxu@tencent.com</w:t>
              </w:r>
            </w:hyperlink>
          </w:p>
          <w:p w14:paraId="36A7EBF7" w14:textId="77777777" w:rsidR="00AA280E" w:rsidRDefault="008455E9" w:rsidP="00AA280E">
            <w:pPr>
              <w:spacing w:before="60" w:after="60"/>
              <w:rPr>
                <w:rStyle w:val="Hyperlink"/>
                <w:szCs w:val="22"/>
                <w:lang w:val="en-CA"/>
              </w:rPr>
            </w:pPr>
            <w:hyperlink r:id="rId12" w:history="1">
              <w:r w:rsidR="00AA280E" w:rsidRPr="001A2CEE">
                <w:rPr>
                  <w:rStyle w:val="Hyperlink"/>
                  <w:szCs w:val="22"/>
                  <w:lang w:val="en-CA"/>
                </w:rPr>
                <w:t>shanl@tencent.com</w:t>
              </w:r>
            </w:hyperlink>
          </w:p>
          <w:p w14:paraId="32C2ABFD" w14:textId="7A94C4C8" w:rsidR="00BC1156" w:rsidRPr="005B217D" w:rsidRDefault="00BC1156" w:rsidP="00E43783">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BAE54AE" w:rsidR="00E61DAC" w:rsidRPr="005B217D" w:rsidRDefault="00BC1156">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6A63DD" w14:textId="3C41B4E7" w:rsidR="00EB2505" w:rsidRPr="00A967D2" w:rsidRDefault="003105EC" w:rsidP="00EB2505">
      <w:pPr>
        <w:rPr>
          <w:szCs w:val="22"/>
          <w:highlight w:val="yellow"/>
        </w:rPr>
      </w:pPr>
      <w:r>
        <w:rPr>
          <w:lang w:val="en-CA"/>
        </w:rPr>
        <w:t xml:space="preserve">In this contribution, </w:t>
      </w:r>
      <w:r w:rsidR="007745B6">
        <w:rPr>
          <w:lang w:val="en-CA"/>
        </w:rPr>
        <w:t>it is proposed to derive the spatial palette predictor from</w:t>
      </w:r>
      <w:r w:rsidR="0003025C">
        <w:rPr>
          <w:lang w:val="en-CA"/>
        </w:rPr>
        <w:t xml:space="preserve"> the spatial neighboring </w:t>
      </w:r>
      <w:r w:rsidR="007745B6">
        <w:rPr>
          <w:lang w:val="en-CA"/>
        </w:rPr>
        <w:t xml:space="preserve">blocks’ </w:t>
      </w:r>
      <w:r w:rsidR="0003025C">
        <w:rPr>
          <w:lang w:val="en-CA"/>
        </w:rPr>
        <w:t xml:space="preserve">palette </w:t>
      </w:r>
      <w:r w:rsidR="007745B6">
        <w:rPr>
          <w:lang w:val="en-CA"/>
        </w:rPr>
        <w:t>table</w:t>
      </w:r>
      <w:r w:rsidR="00C90033">
        <w:rPr>
          <w:lang w:val="en-CA"/>
        </w:rPr>
        <w:t xml:space="preserve"> </w:t>
      </w:r>
      <w:r w:rsidR="00C90033">
        <w:t xml:space="preserve">first. Then </w:t>
      </w:r>
      <w:r w:rsidR="007745B6">
        <w:rPr>
          <w:lang w:val="en-CA"/>
        </w:rPr>
        <w:t>combine the spatial palette predictor</w:t>
      </w:r>
      <w:r w:rsidR="0003025C">
        <w:rPr>
          <w:lang w:val="en-CA"/>
        </w:rPr>
        <w:t xml:space="preserve"> with</w:t>
      </w:r>
      <w:r w:rsidR="007745B6">
        <w:rPr>
          <w:lang w:val="en-CA"/>
        </w:rPr>
        <w:t xml:space="preserve"> HEVC SCC palette predictor</w:t>
      </w:r>
      <w:r w:rsidR="0003025C">
        <w:rPr>
          <w:lang w:val="en-CA"/>
        </w:rPr>
        <w:t>.</w:t>
      </w:r>
      <w:r w:rsidR="003F1351">
        <w:t xml:space="preserve"> </w:t>
      </w:r>
      <w:r w:rsidR="0050480C">
        <w:t>The proposed method</w:t>
      </w:r>
      <w:r w:rsidR="0003025C">
        <w:t xml:space="preserve"> </w:t>
      </w:r>
      <w:r w:rsidR="0050480C">
        <w:t>reports</w:t>
      </w:r>
      <w:r w:rsidR="003F1351">
        <w:t xml:space="preserve"> </w:t>
      </w:r>
      <w:r w:rsidR="00150F81" w:rsidRPr="00150F81">
        <w:t>-0.14%</w:t>
      </w:r>
      <w:r w:rsidR="00150F81">
        <w:rPr>
          <w:lang w:eastAsia="zh-CN"/>
        </w:rPr>
        <w:t>,</w:t>
      </w:r>
      <w:r w:rsidR="00150F81" w:rsidRPr="00150F81">
        <w:tab/>
        <w:t>-0.04%</w:t>
      </w:r>
      <w:r w:rsidR="00150F81">
        <w:t xml:space="preserve">, and </w:t>
      </w:r>
      <w:r w:rsidR="00150F81" w:rsidRPr="00150F81">
        <w:t>-0.04%</w:t>
      </w:r>
      <w:r w:rsidR="00A91939">
        <w:t xml:space="preserve"> </w:t>
      </w:r>
      <w:proofErr w:type="spellStart"/>
      <w:r w:rsidR="00A91939">
        <w:t>luma</w:t>
      </w:r>
      <w:proofErr w:type="spellEnd"/>
      <w:r w:rsidR="00A91939">
        <w:t xml:space="preserve"> and chroma BD rate changing</w:t>
      </w:r>
      <w:r w:rsidR="00150F81">
        <w:t xml:space="preserve"> for AI configuration on class SCC over CE 15.2</w:t>
      </w:r>
      <w:r w:rsidR="00A91939">
        <w:t xml:space="preserve">. </w:t>
      </w:r>
    </w:p>
    <w:p w14:paraId="7D2AC1F0" w14:textId="2C1C3D62" w:rsidR="00745F6B" w:rsidRPr="005B217D" w:rsidRDefault="00745F6B" w:rsidP="00E11923">
      <w:pPr>
        <w:pStyle w:val="Heading1"/>
        <w:rPr>
          <w:lang w:val="en-CA"/>
        </w:rPr>
      </w:pPr>
      <w:r w:rsidRPr="005B217D">
        <w:rPr>
          <w:lang w:val="en-CA"/>
        </w:rPr>
        <w:t xml:space="preserve">Introduction </w:t>
      </w:r>
    </w:p>
    <w:p w14:paraId="6E43DDDD" w14:textId="4E8C2BE3" w:rsidR="008C202D" w:rsidRDefault="00A967D2" w:rsidP="004234F0">
      <w:pPr>
        <w:rPr>
          <w:szCs w:val="22"/>
          <w:lang w:val="en-CA"/>
        </w:rPr>
      </w:pPr>
      <w:r>
        <w:rPr>
          <w:szCs w:val="22"/>
          <w:lang w:val="en-CA"/>
        </w:rPr>
        <w:t>In CE15</w:t>
      </w:r>
      <w:r w:rsidR="00B23901">
        <w:rPr>
          <w:szCs w:val="22"/>
        </w:rPr>
        <w:t>.2 [1]</w:t>
      </w:r>
      <w:r w:rsidR="00382589">
        <w:rPr>
          <w:szCs w:val="22"/>
          <w:lang w:val="en-CA"/>
        </w:rPr>
        <w:t>,</w:t>
      </w:r>
      <w:r w:rsidR="00B23901">
        <w:rPr>
          <w:szCs w:val="22"/>
          <w:lang w:val="en-CA"/>
        </w:rPr>
        <w:t xml:space="preserve"> </w:t>
      </w:r>
      <w:r w:rsidR="00A91939">
        <w:rPr>
          <w:szCs w:val="22"/>
          <w:lang w:val="en-CA"/>
        </w:rPr>
        <w:t>the</w:t>
      </w:r>
      <w:r w:rsidR="0003025C">
        <w:rPr>
          <w:szCs w:val="22"/>
          <w:lang w:val="en-CA"/>
        </w:rPr>
        <w:t xml:space="preserve"> HEVC palette predictor list is used when encoding the palette table entry</w:t>
      </w:r>
      <w:r w:rsidR="00CF703D">
        <w:rPr>
          <w:szCs w:val="22"/>
          <w:lang w:val="en-CA"/>
        </w:rPr>
        <w:t>.</w:t>
      </w:r>
      <w:r w:rsidR="0003025C">
        <w:rPr>
          <w:szCs w:val="22"/>
          <w:lang w:val="en-CA"/>
        </w:rPr>
        <w:t xml:space="preserve"> The</w:t>
      </w:r>
      <w:r w:rsidR="0003025C" w:rsidRPr="0003025C">
        <w:rPr>
          <w:szCs w:val="22"/>
          <w:lang w:val="en-CA"/>
        </w:rPr>
        <w:t xml:space="preserve"> palette predictor list stores the previously cod</w:t>
      </w:r>
      <w:r w:rsidR="0003025C">
        <w:rPr>
          <w:szCs w:val="22"/>
          <w:lang w:val="en-CA"/>
        </w:rPr>
        <w:t>ed palette entries as predictor to</w:t>
      </w:r>
      <w:r w:rsidR="0003025C" w:rsidRPr="0003025C">
        <w:rPr>
          <w:szCs w:val="22"/>
          <w:lang w:val="en-CA"/>
        </w:rPr>
        <w:t xml:space="preserve"> the current </w:t>
      </w:r>
      <w:r w:rsidR="0003025C">
        <w:rPr>
          <w:szCs w:val="22"/>
          <w:lang w:val="en-CA"/>
        </w:rPr>
        <w:t xml:space="preserve">block </w:t>
      </w:r>
      <w:r w:rsidR="0003025C" w:rsidRPr="0003025C">
        <w:rPr>
          <w:szCs w:val="22"/>
          <w:lang w:val="en-CA"/>
        </w:rPr>
        <w:t xml:space="preserve">palette. This list is updated after each palette mode CU. </w:t>
      </w:r>
      <w:r w:rsidR="007745B6">
        <w:rPr>
          <w:szCs w:val="22"/>
          <w:lang w:val="en-CA"/>
        </w:rPr>
        <w:t>T</w:t>
      </w:r>
      <w:r w:rsidR="0003025C" w:rsidRPr="0003025C">
        <w:rPr>
          <w:szCs w:val="22"/>
          <w:lang w:val="en-CA"/>
        </w:rPr>
        <w:t>he latest palette is inserted at the beginning of the list and the entries from the farthest CUs in scan order are discarded if t</w:t>
      </w:r>
      <w:r w:rsidR="007745B6">
        <w:rPr>
          <w:szCs w:val="22"/>
          <w:lang w:val="en-CA"/>
        </w:rPr>
        <w:t>he list size exceeds the maximum palette predictor size</w:t>
      </w:r>
      <w:r w:rsidR="0003025C" w:rsidRPr="0003025C">
        <w:rPr>
          <w:szCs w:val="22"/>
          <w:lang w:val="en-CA"/>
        </w:rPr>
        <w:t>.</w:t>
      </w:r>
      <w:r w:rsidR="007745B6">
        <w:rPr>
          <w:szCs w:val="22"/>
          <w:lang w:val="en-CA"/>
        </w:rPr>
        <w:t xml:space="preserve"> </w:t>
      </w:r>
    </w:p>
    <w:p w14:paraId="6725B454" w14:textId="6AA76137" w:rsidR="003F1351" w:rsidRDefault="003F1351" w:rsidP="003F1351">
      <w:pPr>
        <w:pStyle w:val="Heading1"/>
        <w:ind w:left="360" w:hanging="360"/>
        <w:rPr>
          <w:lang w:val="en-CA"/>
        </w:rPr>
      </w:pPr>
      <w:r>
        <w:rPr>
          <w:lang w:val="en-CA"/>
        </w:rPr>
        <w:t>Proposed methods</w:t>
      </w:r>
    </w:p>
    <w:p w14:paraId="32497258" w14:textId="0F6E3EFA" w:rsidR="003F1351" w:rsidRDefault="00885302" w:rsidP="003F1351">
      <w:pPr>
        <w:rPr>
          <w:lang w:val="en-CA"/>
        </w:rPr>
      </w:pPr>
      <w:r>
        <w:rPr>
          <w:lang w:val="en-CA"/>
        </w:rPr>
        <w:t>1. Derive the spatial palette predictor</w:t>
      </w:r>
      <w:r w:rsidR="008E4C73">
        <w:rPr>
          <w:lang w:val="en-CA"/>
        </w:rPr>
        <w:t xml:space="preserve">: </w:t>
      </w:r>
    </w:p>
    <w:p w14:paraId="0620187C" w14:textId="2B8B6207" w:rsidR="00885302" w:rsidRDefault="00F808B6" w:rsidP="00885302">
      <w:pPr>
        <w:jc w:val="center"/>
      </w:pPr>
      <w:r>
        <w:object w:dxaOrig="7305" w:dyaOrig="6750" w14:anchorId="00AFD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35pt;height:189.7pt" o:ole="">
            <v:imagedata r:id="rId13" o:title=""/>
          </v:shape>
          <o:OLEObject Type="Embed" ProgID="Visio.Drawing.15" ShapeID="_x0000_i1025" DrawAspect="Content" ObjectID="_1599674946" r:id="rId14"/>
        </w:object>
      </w:r>
    </w:p>
    <w:p w14:paraId="3101EF5F" w14:textId="46FE823F" w:rsidR="00885302" w:rsidRDefault="00885302" w:rsidP="00885302">
      <w:pPr>
        <w:jc w:val="center"/>
      </w:pPr>
      <w:r>
        <w:t>Fig.1 Illustration of the spatial palette predictor</w:t>
      </w:r>
    </w:p>
    <w:p w14:paraId="2CD77D89" w14:textId="53D62A02" w:rsidR="00885302" w:rsidRDefault="00885302" w:rsidP="00261157">
      <w:r>
        <w:lastRenderedPageBreak/>
        <w:t>To derive the spatial palette predictor</w:t>
      </w:r>
      <w:r w:rsidR="00C564DC">
        <w:t>, the adjacent neighboring and non-adjacent neighboring are both checked</w:t>
      </w:r>
      <w:r w:rsidR="00F808B6">
        <w:t xml:space="preserve"> from the neighboring blocks that are close to the current block to the blocks that are far away</w:t>
      </w:r>
      <w:r w:rsidR="00C564DC">
        <w:t xml:space="preserve">. The left block (Ai) and above block (Bi) are checked. The non-adjacent neighboring candidates are in a virtual box that surrounding the current block. The virtual block size and position are illustrated in Fig.1. In the current implementation, the </w:t>
      </w:r>
      <w:proofErr w:type="spellStart"/>
      <w:r w:rsidR="00C564DC">
        <w:t>gridX</w:t>
      </w:r>
      <w:proofErr w:type="spellEnd"/>
      <w:r w:rsidR="00C564DC">
        <w:t xml:space="preserve"> is block width and </w:t>
      </w:r>
      <w:proofErr w:type="spellStart"/>
      <w:r w:rsidR="00C564DC">
        <w:t>gridY</w:t>
      </w:r>
      <w:proofErr w:type="spellEnd"/>
      <w:r w:rsidR="00C564DC">
        <w:t xml:space="preserve"> is block height. </w:t>
      </w:r>
      <w:r w:rsidR="00F808B6">
        <w:t>There are two rounds of search. So, the current search order is A0-&gt;B0-&gt;A1-&gt;B1.</w:t>
      </w:r>
    </w:p>
    <w:p w14:paraId="28F5BAA4" w14:textId="2564123E" w:rsidR="00C564DC" w:rsidRDefault="00F808B6" w:rsidP="00885302">
      <w:pPr>
        <w:jc w:val="left"/>
      </w:pPr>
      <w:r>
        <w:t>2. Combine the s</w:t>
      </w:r>
      <w:r w:rsidR="00C564DC">
        <w:t>patial palette predictor and</w:t>
      </w:r>
      <w:r w:rsidR="00274D61">
        <w:t xml:space="preserve"> the HEVC SCC palette predictor:</w:t>
      </w:r>
    </w:p>
    <w:p w14:paraId="6B9BE72C" w14:textId="081ADCD2" w:rsidR="00C564DC" w:rsidRPr="00F808B6" w:rsidRDefault="00C564DC" w:rsidP="00261157">
      <w:r>
        <w:t>After deriving</w:t>
      </w:r>
      <w:r w:rsidR="00F808B6">
        <w:t xml:space="preserve"> the s</w:t>
      </w:r>
      <w:r>
        <w:t>patial palette predictor, the</w:t>
      </w:r>
      <w:r w:rsidR="00F808B6">
        <w:t xml:space="preserve"> spatial palette predictor will be inserted into the palette predictor list for the current block first. If the size of palette predictor list for the current block doesn’t exceed the maximum palette predictor size, the HEVC SCC palette predictor is inserted into the palette predictor list. If </w:t>
      </w:r>
      <w:r w:rsidR="00F808B6" w:rsidRPr="0003025C">
        <w:rPr>
          <w:szCs w:val="22"/>
          <w:lang w:val="en-CA"/>
        </w:rPr>
        <w:t>t</w:t>
      </w:r>
      <w:r w:rsidR="00F808B6">
        <w:rPr>
          <w:szCs w:val="22"/>
          <w:lang w:val="en-CA"/>
        </w:rPr>
        <w:t>he list size exceeds the maximum palette predictor size, the rest palette entry will be discarded.</w:t>
      </w:r>
      <w:r w:rsidR="00F808B6">
        <w:t xml:space="preserve"> The combined palette predictor will be used to code the palette table entry of the current block. </w:t>
      </w:r>
      <w:r>
        <w:t xml:space="preserve"> </w:t>
      </w:r>
    </w:p>
    <w:p w14:paraId="77F07D7D" w14:textId="6F9F8386" w:rsidR="003F1351" w:rsidRPr="00F808B6" w:rsidRDefault="003F1351" w:rsidP="003F1351">
      <w:pPr>
        <w:pStyle w:val="Heading1"/>
        <w:ind w:left="360" w:hanging="360"/>
        <w:rPr>
          <w:lang w:val="en-CA"/>
        </w:rPr>
      </w:pPr>
      <w:r>
        <w:rPr>
          <w:lang w:val="en-CA"/>
        </w:rPr>
        <w:t>Simulation results</w:t>
      </w:r>
    </w:p>
    <w:p w14:paraId="73FCD68C" w14:textId="18080E69" w:rsidR="00266AC8" w:rsidRPr="00AA2D19" w:rsidRDefault="003212A7" w:rsidP="00266AC8">
      <w:pPr>
        <w:rPr>
          <w:szCs w:val="22"/>
        </w:rPr>
      </w:pPr>
      <w:r>
        <w:rPr>
          <w:rFonts w:hint="eastAsia"/>
          <w:szCs w:val="22"/>
          <w:lang w:val="en-CA" w:eastAsia="zh-CN"/>
        </w:rPr>
        <w:t>The</w:t>
      </w:r>
      <w:r>
        <w:rPr>
          <w:szCs w:val="22"/>
        </w:rPr>
        <w:t xml:space="preserve"> simulation is performed using </w:t>
      </w:r>
      <w:r w:rsidR="00AA2D19">
        <w:rPr>
          <w:szCs w:val="22"/>
        </w:rPr>
        <w:t>VTM 2.0.1</w:t>
      </w:r>
      <w:r w:rsidR="003107B9">
        <w:rPr>
          <w:szCs w:val="22"/>
        </w:rPr>
        <w:t xml:space="preserve">, under VTM configuration. </w:t>
      </w:r>
      <w:r w:rsidR="002A3077">
        <w:rPr>
          <w:szCs w:val="22"/>
        </w:rPr>
        <w:t xml:space="preserve">The software is implemented on top of CE15.2. </w:t>
      </w:r>
      <w:r w:rsidR="00AA2D19" w:rsidRPr="00AA2D19">
        <w:rPr>
          <w:szCs w:val="22"/>
        </w:rPr>
        <w:t>The mandatory common test conditions (CTC) as specified in the JVET-K1010</w:t>
      </w:r>
      <w:r w:rsidR="00AA2D19">
        <w:rPr>
          <w:szCs w:val="22"/>
        </w:rPr>
        <w:t xml:space="preserve"> [3]</w:t>
      </w:r>
      <w:r w:rsidR="00AA2D19" w:rsidRPr="00AA2D19">
        <w:rPr>
          <w:szCs w:val="22"/>
        </w:rPr>
        <w:t xml:space="preserve"> </w:t>
      </w:r>
      <w:r w:rsidR="003107B9">
        <w:rPr>
          <w:szCs w:val="22"/>
        </w:rPr>
        <w:t>are followed.</w:t>
      </w:r>
      <w:r w:rsidR="00AA2D19">
        <w:rPr>
          <w:szCs w:val="22"/>
        </w:rPr>
        <w:t xml:space="preserve"> </w:t>
      </w:r>
      <w:r w:rsidR="00C85AEE">
        <w:rPr>
          <w:szCs w:val="22"/>
        </w:rPr>
        <w:t>Additional screen content testing materials as specified in CE8</w:t>
      </w:r>
      <w:r w:rsidR="0005778A">
        <w:rPr>
          <w:szCs w:val="22"/>
        </w:rPr>
        <w:t xml:space="preserve"> [4] and CE15 [1</w:t>
      </w:r>
      <w:r w:rsidR="00C85AEE">
        <w:rPr>
          <w:szCs w:val="22"/>
        </w:rPr>
        <w:t xml:space="preserve">] are also evaluated. </w:t>
      </w:r>
      <w:r w:rsidR="00591833">
        <w:rPr>
          <w:szCs w:val="22"/>
        </w:rPr>
        <w:t xml:space="preserve">Two anchors are used, the first anchor is VTM2.0.1, and the second anchor is CE15.2. </w:t>
      </w:r>
      <w:r w:rsidR="00266AC8">
        <w:rPr>
          <w:szCs w:val="22"/>
          <w:lang w:val="en-CA"/>
        </w:rPr>
        <w:t>R</w:t>
      </w:r>
      <w:r w:rsidR="00AA2D19">
        <w:rPr>
          <w:szCs w:val="22"/>
          <w:lang w:val="en-CA"/>
        </w:rPr>
        <w:t>esults are repor</w:t>
      </w:r>
      <w:r w:rsidR="00241A0D">
        <w:rPr>
          <w:szCs w:val="22"/>
          <w:lang w:val="en-CA"/>
        </w:rPr>
        <w:t>t</w:t>
      </w:r>
      <w:r w:rsidR="00AA2D19">
        <w:rPr>
          <w:szCs w:val="22"/>
          <w:lang w:val="en-CA"/>
        </w:rPr>
        <w:t>ed in the following table</w:t>
      </w:r>
      <w:r w:rsidR="00266AC8">
        <w:rPr>
          <w:szCs w:val="22"/>
          <w:lang w:val="en-CA"/>
        </w:rPr>
        <w:t>:</w:t>
      </w:r>
    </w:p>
    <w:p w14:paraId="5B7FB853" w14:textId="769B9F45" w:rsidR="003107B9" w:rsidRDefault="003107B9" w:rsidP="00AA2D19">
      <w:pPr>
        <w:jc w:val="center"/>
        <w:rPr>
          <w:szCs w:val="22"/>
        </w:rPr>
      </w:pPr>
      <w:r>
        <w:rPr>
          <w:szCs w:val="22"/>
        </w:rPr>
        <w:t xml:space="preserve">Table </w:t>
      </w:r>
      <w:r w:rsidR="00AA6A43">
        <w:rPr>
          <w:szCs w:val="22"/>
        </w:rPr>
        <w:t>I</w:t>
      </w:r>
      <w:r>
        <w:rPr>
          <w:szCs w:val="22"/>
        </w:rPr>
        <w:t>:</w:t>
      </w:r>
      <w:r w:rsidR="004E04EE">
        <w:rPr>
          <w:szCs w:val="22"/>
        </w:rPr>
        <w:t xml:space="preserve"> </w:t>
      </w:r>
      <w:r w:rsidR="00AA2D19">
        <w:rPr>
          <w:szCs w:val="22"/>
        </w:rPr>
        <w:t>simulation</w:t>
      </w:r>
      <w:r w:rsidR="00F808B6">
        <w:rPr>
          <w:szCs w:val="22"/>
        </w:rPr>
        <w:t xml:space="preserve"> results of the proposed method</w:t>
      </w:r>
      <w:r w:rsidR="00AA2D19">
        <w:rPr>
          <w:szCs w:val="22"/>
        </w:rPr>
        <w:t>.</w:t>
      </w:r>
    </w:p>
    <w:p w14:paraId="57A51837" w14:textId="1ECD22E5" w:rsidR="009E23BE" w:rsidRDefault="00F808B6" w:rsidP="00AA6A43">
      <w:pPr>
        <w:rPr>
          <w:szCs w:val="22"/>
        </w:rPr>
      </w:pPr>
      <w:r>
        <w:rPr>
          <w:noProof/>
        </w:rPr>
        <w:drawing>
          <wp:inline distT="0" distB="0" distL="0" distR="0" wp14:anchorId="3EC078AB" wp14:editId="705C5258">
            <wp:extent cx="5943600" cy="3122930"/>
            <wp:effectExtent l="0" t="0" r="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122930"/>
                    </a:xfrm>
                    <a:prstGeom prst="rect">
                      <a:avLst/>
                    </a:prstGeom>
                  </pic:spPr>
                </pic:pic>
              </a:graphicData>
            </a:graphic>
          </wp:inline>
        </w:drawing>
      </w:r>
    </w:p>
    <w:p w14:paraId="440D399A" w14:textId="74FDB3E6" w:rsidR="003A703C" w:rsidRPr="005B217D" w:rsidRDefault="003A703C" w:rsidP="003A703C">
      <w:pPr>
        <w:pStyle w:val="Heading1"/>
        <w:ind w:left="360" w:hanging="360"/>
        <w:rPr>
          <w:szCs w:val="22"/>
          <w:lang w:val="en-CA"/>
        </w:rPr>
      </w:pPr>
      <w:r>
        <w:rPr>
          <w:lang w:val="en-CA"/>
        </w:rPr>
        <w:t>Conclusion</w:t>
      </w:r>
    </w:p>
    <w:p w14:paraId="252323FD" w14:textId="2F0FE192" w:rsidR="003A703C" w:rsidRPr="005B217D" w:rsidRDefault="00F808B6" w:rsidP="009234A5">
      <w:pPr>
        <w:rPr>
          <w:szCs w:val="22"/>
          <w:lang w:val="en-CA"/>
        </w:rPr>
      </w:pPr>
      <w:r w:rsidRPr="00F808B6">
        <w:rPr>
          <w:szCs w:val="22"/>
          <w:lang w:val="en-CA"/>
        </w:rPr>
        <w:t xml:space="preserve">In this contribution, it is proposed to derive the spatial palette predictor from the spatial neighboring blocks’ palette table and combine the spatial palette predictor with HEVC SCC palette predictor. </w:t>
      </w:r>
      <w:r w:rsidR="00150F81">
        <w:t xml:space="preserve">The proposed method reports </w:t>
      </w:r>
      <w:r w:rsidR="00150F81" w:rsidRPr="00150F81">
        <w:t>-0.14%</w:t>
      </w:r>
      <w:r w:rsidR="00150F81">
        <w:rPr>
          <w:lang w:eastAsia="zh-CN"/>
        </w:rPr>
        <w:t>,</w:t>
      </w:r>
      <w:r w:rsidR="00150F81" w:rsidRPr="00150F81">
        <w:tab/>
        <w:t>-0.04%</w:t>
      </w:r>
      <w:r w:rsidR="00150F81">
        <w:t xml:space="preserve">, and </w:t>
      </w:r>
      <w:r w:rsidR="00150F81" w:rsidRPr="00150F81">
        <w:t>-0.04%</w:t>
      </w:r>
      <w:r w:rsidR="00150F81">
        <w:t xml:space="preserve"> </w:t>
      </w:r>
      <w:proofErr w:type="spellStart"/>
      <w:r w:rsidR="00150F81">
        <w:t>luma</w:t>
      </w:r>
      <w:proofErr w:type="spellEnd"/>
      <w:r w:rsidR="00150F81">
        <w:t xml:space="preserve"> and chroma BD rate changing for AI configuration on class SCC over CE 15.2. </w:t>
      </w:r>
      <w:r w:rsidR="00C17D4C">
        <w:t>It is recommended to further study this contribution in CE.</w:t>
      </w:r>
    </w:p>
    <w:p w14:paraId="49D5A298" w14:textId="5E835C72" w:rsidR="00213AD4" w:rsidRDefault="00213AD4" w:rsidP="00E11923">
      <w:pPr>
        <w:pStyle w:val="Heading1"/>
        <w:rPr>
          <w:lang w:val="en-CA"/>
        </w:rPr>
      </w:pPr>
      <w:r>
        <w:rPr>
          <w:lang w:val="en-CA"/>
        </w:rPr>
        <w:t>References</w:t>
      </w:r>
    </w:p>
    <w:p w14:paraId="5AC2B56A" w14:textId="77777777" w:rsidR="0005778A" w:rsidRPr="008E4C73" w:rsidRDefault="0005778A" w:rsidP="0005778A">
      <w:pPr>
        <w:rPr>
          <w:highlight w:val="yellow"/>
        </w:rPr>
      </w:pPr>
      <w:r w:rsidRPr="0005778A">
        <w:rPr>
          <w:lang w:val="en-CA"/>
        </w:rPr>
        <w:t>[1]</w:t>
      </w:r>
      <w:r w:rsidRPr="00896170">
        <w:t xml:space="preserve"> </w:t>
      </w:r>
      <w:r w:rsidRPr="00896170">
        <w:rPr>
          <w:lang w:val="en-CA"/>
        </w:rPr>
        <w:t>Y.-C. Sun, Y.-H. Chao, X. Xu</w:t>
      </w:r>
      <w:r>
        <w:rPr>
          <w:lang w:val="en-CA"/>
        </w:rPr>
        <w:t>,</w:t>
      </w:r>
      <w:r w:rsidRPr="00896170">
        <w:rPr>
          <w:lang w:val="en-CA"/>
        </w:rPr>
        <w:t xml:space="preserve"> </w:t>
      </w:r>
      <w:r>
        <w:rPr>
          <w:lang w:val="en-CA"/>
        </w:rPr>
        <w:t>“</w:t>
      </w:r>
      <w:r w:rsidRPr="00896170">
        <w:rPr>
          <w:lang w:val="en-CA"/>
        </w:rPr>
        <w:t>Description of Core Experiment 15 (CE15): Palette mode</w:t>
      </w:r>
      <w:r>
        <w:rPr>
          <w:lang w:val="en-CA"/>
        </w:rPr>
        <w:t xml:space="preserve">”, </w:t>
      </w:r>
      <w:r w:rsidRPr="00896170">
        <w:rPr>
          <w:lang w:val="en-CA"/>
        </w:rPr>
        <w:tab/>
      </w:r>
      <w:r w:rsidRPr="00C85AEE">
        <w:rPr>
          <w:lang w:val="en-CA"/>
        </w:rPr>
        <w:t>JVET-K10</w:t>
      </w:r>
      <w:r>
        <w:rPr>
          <w:lang w:val="en-CA"/>
        </w:rPr>
        <w:t>35</w:t>
      </w:r>
      <w:r w:rsidRPr="00C85AEE">
        <w:rPr>
          <w:lang w:val="en-CA"/>
        </w:rPr>
        <w:t>, Ljubljana, SL, July 2018</w:t>
      </w:r>
    </w:p>
    <w:p w14:paraId="78ABCD99" w14:textId="4950B85A" w:rsidR="00CF703D" w:rsidRPr="00CF703D" w:rsidRDefault="00CF703D" w:rsidP="0005778A">
      <w:pPr>
        <w:rPr>
          <w:highlight w:val="yellow"/>
        </w:rPr>
      </w:pPr>
      <w:r w:rsidRPr="00CF703D">
        <w:lastRenderedPageBreak/>
        <w:t>[2]</w:t>
      </w:r>
      <w:r w:rsidRPr="00CF703D">
        <w:tab/>
        <w:t>High Efficiency Video Coding (HEVC), Rec. ITU-T H.265 and ISO/IEC 23008-2, Dec. 2016.</w:t>
      </w:r>
    </w:p>
    <w:p w14:paraId="758728E5" w14:textId="2AFC08A5" w:rsidR="00AA2D19" w:rsidRDefault="0005778A" w:rsidP="00C554AE">
      <w:pPr>
        <w:rPr>
          <w:lang w:val="en-CA"/>
        </w:rPr>
      </w:pPr>
      <w:r>
        <w:rPr>
          <w:lang w:val="en-CA"/>
        </w:rPr>
        <w:t>[3</w:t>
      </w:r>
      <w:r w:rsidR="00AA2D19" w:rsidRPr="00AA2D19">
        <w:rPr>
          <w:lang w:val="en-CA"/>
        </w:rPr>
        <w:t>]</w:t>
      </w:r>
      <w:r w:rsidR="00AA2D19" w:rsidRPr="00AA2D19">
        <w:rPr>
          <w:lang w:val="en-CA"/>
        </w:rPr>
        <w:tab/>
      </w:r>
      <w:proofErr w:type="spellStart"/>
      <w:proofErr w:type="gramStart"/>
      <w:r w:rsidR="00AA2D19" w:rsidRPr="00AA2D19">
        <w:rPr>
          <w:lang w:val="en-CA"/>
        </w:rPr>
        <w:t>F.Bossen</w:t>
      </w:r>
      <w:proofErr w:type="spellEnd"/>
      <w:proofErr w:type="gramEnd"/>
      <w:r w:rsidR="00AA2D19" w:rsidRPr="00AA2D19">
        <w:rPr>
          <w:lang w:val="en-CA"/>
        </w:rPr>
        <w:t xml:space="preserve">, J. Boyce, X. Li, V. </w:t>
      </w:r>
      <w:proofErr w:type="spellStart"/>
      <w:r w:rsidR="00AA2D19" w:rsidRPr="00AA2D19">
        <w:rPr>
          <w:lang w:val="en-CA"/>
        </w:rPr>
        <w:t>Sergin</w:t>
      </w:r>
      <w:proofErr w:type="spellEnd"/>
      <w:r w:rsidR="00AA2D19" w:rsidRPr="00AA2D19">
        <w:rPr>
          <w:lang w:val="en-CA"/>
        </w:rPr>
        <w:t xml:space="preserve">, and K. </w:t>
      </w:r>
      <w:proofErr w:type="spellStart"/>
      <w:r w:rsidR="00AA2D19" w:rsidRPr="00AA2D19">
        <w:rPr>
          <w:lang w:val="en-CA"/>
        </w:rPr>
        <w:t>Suhring</w:t>
      </w:r>
      <w:proofErr w:type="spellEnd"/>
      <w:r w:rsidR="00AA2D19" w:rsidRPr="00AA2D19">
        <w:rPr>
          <w:lang w:val="en-CA"/>
        </w:rPr>
        <w:t>, ”JVET common test conditions and software reference configurations", JVET-K1010, 11th JVET meeting, July 2018.</w:t>
      </w:r>
    </w:p>
    <w:p w14:paraId="57102580" w14:textId="48B77795" w:rsidR="00C85AEE" w:rsidRDefault="00C85AEE" w:rsidP="00C554AE">
      <w:pPr>
        <w:rPr>
          <w:lang w:val="en-CA"/>
        </w:rPr>
      </w:pPr>
      <w:r w:rsidRPr="00C85AEE">
        <w:rPr>
          <w:lang w:val="en-CA"/>
        </w:rPr>
        <w:t>[</w:t>
      </w:r>
      <w:r w:rsidR="0005778A">
        <w:rPr>
          <w:lang w:val="en-CA"/>
        </w:rPr>
        <w:t>4</w:t>
      </w:r>
      <w:r w:rsidRPr="00C85AEE">
        <w:rPr>
          <w:lang w:val="en-CA"/>
        </w:rPr>
        <w:t>] X. Xu, K. Müller, L. Wang, “Description of Core Experiment 8 (CE8): Current Picture Referencing”, JVET-K1028, Ljubljana, SL, July 2018</w:t>
      </w:r>
    </w:p>
    <w:p w14:paraId="5F0CF8E4" w14:textId="40201DD8" w:rsidR="001F2594" w:rsidRPr="005B217D" w:rsidRDefault="001F2594" w:rsidP="00E11923">
      <w:pPr>
        <w:pStyle w:val="Heading1"/>
        <w:rPr>
          <w:lang w:val="en-CA"/>
        </w:rPr>
      </w:pPr>
      <w:r w:rsidRPr="005B217D">
        <w:rPr>
          <w:lang w:val="en-CA"/>
        </w:rPr>
        <w:t xml:space="preserve">Patent rights </w:t>
      </w:r>
      <w:r w:rsidR="00283E70" w:rsidRPr="005B217D">
        <w:rPr>
          <w:lang w:val="en-CA"/>
        </w:rPr>
        <w:t>declaration</w:t>
      </w:r>
      <w:r w:rsidR="00B94B06" w:rsidRPr="005B217D">
        <w:rPr>
          <w:lang w:val="en-CA"/>
        </w:rPr>
        <w:t>(s)</w:t>
      </w:r>
    </w:p>
    <w:p w14:paraId="7A9B4D21" w14:textId="47DC8F02" w:rsidR="00342FF4" w:rsidRPr="005B217D" w:rsidRDefault="0026202F" w:rsidP="009234A5">
      <w:pPr>
        <w:rPr>
          <w:szCs w:val="22"/>
          <w:lang w:val="en-CA"/>
        </w:rPr>
      </w:pPr>
      <w:r w:rsidRPr="009174FE">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9481E" w14:textId="77777777" w:rsidR="008455E9" w:rsidRDefault="008455E9">
      <w:r>
        <w:separator/>
      </w:r>
    </w:p>
  </w:endnote>
  <w:endnote w:type="continuationSeparator" w:id="0">
    <w:p w14:paraId="2C7178C4" w14:textId="77777777" w:rsidR="008455E9" w:rsidRDefault="00845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6725FB" w:rsidR="000C042A" w:rsidRPr="00C00DDE" w:rsidRDefault="000C04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261DD">
      <w:rPr>
        <w:rStyle w:val="PageNumber"/>
        <w:noProof/>
      </w:rPr>
      <w:t>2018-09-25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D4543" w14:textId="77777777" w:rsidR="008455E9" w:rsidRDefault="008455E9">
      <w:r>
        <w:separator/>
      </w:r>
    </w:p>
  </w:footnote>
  <w:footnote w:type="continuationSeparator" w:id="0">
    <w:p w14:paraId="09EAFFEC" w14:textId="77777777" w:rsidR="008455E9" w:rsidRDefault="008455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D4388"/>
    <w:multiLevelType w:val="hybridMultilevel"/>
    <w:tmpl w:val="568494E6"/>
    <w:lvl w:ilvl="0" w:tplc="04090011">
      <w:start w:val="1"/>
      <w:numFmt w:val="decimal"/>
      <w:lvlText w:val="%1)"/>
      <w:lvlJc w:val="left"/>
      <w:pPr>
        <w:ind w:left="1084" w:hanging="360"/>
      </w:pPr>
      <w:rPr>
        <w:rFonts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3"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52619C"/>
    <w:multiLevelType w:val="hybridMultilevel"/>
    <w:tmpl w:val="D774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B9342C"/>
    <w:multiLevelType w:val="hybridMultilevel"/>
    <w:tmpl w:val="3B6A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2E30"/>
    <w:multiLevelType w:val="hybridMultilevel"/>
    <w:tmpl w:val="405A0E82"/>
    <w:lvl w:ilvl="0" w:tplc="04090001">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4"/>
  </w:num>
  <w:num w:numId="12">
    <w:abstractNumId w:val="10"/>
  </w:num>
  <w:num w:numId="13">
    <w:abstractNumId w:val="3"/>
  </w:num>
  <w:num w:numId="14">
    <w:abstractNumId w:val="6"/>
  </w:num>
  <w:num w:numId="15">
    <w:abstractNumId w:val="7"/>
  </w:num>
  <w:num w:numId="16">
    <w:abstractNumId w:val="13"/>
  </w:num>
  <w:num w:numId="17">
    <w:abstractNumId w:val="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198"/>
    <w:rsid w:val="0003025C"/>
    <w:rsid w:val="000308A3"/>
    <w:rsid w:val="000458BC"/>
    <w:rsid w:val="00045C41"/>
    <w:rsid w:val="00046C03"/>
    <w:rsid w:val="0005778A"/>
    <w:rsid w:val="00065039"/>
    <w:rsid w:val="0007614F"/>
    <w:rsid w:val="00081398"/>
    <w:rsid w:val="000834E8"/>
    <w:rsid w:val="0009065E"/>
    <w:rsid w:val="00092C0C"/>
    <w:rsid w:val="000A2C5F"/>
    <w:rsid w:val="000B0C0F"/>
    <w:rsid w:val="000B1C6B"/>
    <w:rsid w:val="000B4FF9"/>
    <w:rsid w:val="000C042A"/>
    <w:rsid w:val="000C09AC"/>
    <w:rsid w:val="000C0D17"/>
    <w:rsid w:val="000E00F3"/>
    <w:rsid w:val="000F158C"/>
    <w:rsid w:val="00102F3D"/>
    <w:rsid w:val="00105783"/>
    <w:rsid w:val="00124E38"/>
    <w:rsid w:val="0012580B"/>
    <w:rsid w:val="00125FB2"/>
    <w:rsid w:val="00131F90"/>
    <w:rsid w:val="0013458C"/>
    <w:rsid w:val="0013526E"/>
    <w:rsid w:val="00146152"/>
    <w:rsid w:val="00150F81"/>
    <w:rsid w:val="00155526"/>
    <w:rsid w:val="00171371"/>
    <w:rsid w:val="00175A24"/>
    <w:rsid w:val="00187E58"/>
    <w:rsid w:val="00190C52"/>
    <w:rsid w:val="001A1871"/>
    <w:rsid w:val="001A297E"/>
    <w:rsid w:val="001A368E"/>
    <w:rsid w:val="001A7329"/>
    <w:rsid w:val="001A792F"/>
    <w:rsid w:val="001B4E28"/>
    <w:rsid w:val="001C3525"/>
    <w:rsid w:val="001C3AFB"/>
    <w:rsid w:val="001D1BD2"/>
    <w:rsid w:val="001E0248"/>
    <w:rsid w:val="001E02BE"/>
    <w:rsid w:val="001E34E5"/>
    <w:rsid w:val="001E3B37"/>
    <w:rsid w:val="001F2594"/>
    <w:rsid w:val="002055A6"/>
    <w:rsid w:val="00206460"/>
    <w:rsid w:val="002069B4"/>
    <w:rsid w:val="00213AD4"/>
    <w:rsid w:val="00215DFC"/>
    <w:rsid w:val="002212DF"/>
    <w:rsid w:val="00222CD4"/>
    <w:rsid w:val="00225016"/>
    <w:rsid w:val="002264A6"/>
    <w:rsid w:val="00227839"/>
    <w:rsid w:val="00227BA7"/>
    <w:rsid w:val="0023011C"/>
    <w:rsid w:val="002375C1"/>
    <w:rsid w:val="00240666"/>
    <w:rsid w:val="00241A0D"/>
    <w:rsid w:val="00261157"/>
    <w:rsid w:val="0026202F"/>
    <w:rsid w:val="00263398"/>
    <w:rsid w:val="00263B99"/>
    <w:rsid w:val="00263ECA"/>
    <w:rsid w:val="00266AC8"/>
    <w:rsid w:val="00266F06"/>
    <w:rsid w:val="00274D61"/>
    <w:rsid w:val="00275BCF"/>
    <w:rsid w:val="00283E70"/>
    <w:rsid w:val="00287078"/>
    <w:rsid w:val="00291E36"/>
    <w:rsid w:val="00292257"/>
    <w:rsid w:val="002A3077"/>
    <w:rsid w:val="002A54E0"/>
    <w:rsid w:val="002B1595"/>
    <w:rsid w:val="002B191D"/>
    <w:rsid w:val="002B7135"/>
    <w:rsid w:val="002C3ECC"/>
    <w:rsid w:val="002D0AF6"/>
    <w:rsid w:val="002D7B0F"/>
    <w:rsid w:val="002E6AC9"/>
    <w:rsid w:val="002F164D"/>
    <w:rsid w:val="002F2D35"/>
    <w:rsid w:val="002F7AB6"/>
    <w:rsid w:val="003021BC"/>
    <w:rsid w:val="00306206"/>
    <w:rsid w:val="003105EC"/>
    <w:rsid w:val="003107B9"/>
    <w:rsid w:val="00317D85"/>
    <w:rsid w:val="003212A7"/>
    <w:rsid w:val="00327C56"/>
    <w:rsid w:val="003315A1"/>
    <w:rsid w:val="00336564"/>
    <w:rsid w:val="003373EC"/>
    <w:rsid w:val="00342FF4"/>
    <w:rsid w:val="00344E5A"/>
    <w:rsid w:val="00346148"/>
    <w:rsid w:val="00354872"/>
    <w:rsid w:val="00354FCC"/>
    <w:rsid w:val="003669EA"/>
    <w:rsid w:val="003706CC"/>
    <w:rsid w:val="00370BC5"/>
    <w:rsid w:val="0037666C"/>
    <w:rsid w:val="00377710"/>
    <w:rsid w:val="00382589"/>
    <w:rsid w:val="00387AC0"/>
    <w:rsid w:val="003A16EF"/>
    <w:rsid w:val="003A2D8E"/>
    <w:rsid w:val="003A703C"/>
    <w:rsid w:val="003A716D"/>
    <w:rsid w:val="003A7CE6"/>
    <w:rsid w:val="003B49FD"/>
    <w:rsid w:val="003C20E4"/>
    <w:rsid w:val="003D06C1"/>
    <w:rsid w:val="003D6342"/>
    <w:rsid w:val="003E4DD1"/>
    <w:rsid w:val="003E6F90"/>
    <w:rsid w:val="003E73ED"/>
    <w:rsid w:val="003F1351"/>
    <w:rsid w:val="003F2C93"/>
    <w:rsid w:val="003F5D0F"/>
    <w:rsid w:val="00407D23"/>
    <w:rsid w:val="00414101"/>
    <w:rsid w:val="00415702"/>
    <w:rsid w:val="004219CF"/>
    <w:rsid w:val="004234F0"/>
    <w:rsid w:val="00430D43"/>
    <w:rsid w:val="00433DDB"/>
    <w:rsid w:val="00435A29"/>
    <w:rsid w:val="00437619"/>
    <w:rsid w:val="00465A1E"/>
    <w:rsid w:val="004739AD"/>
    <w:rsid w:val="00487856"/>
    <w:rsid w:val="00490E82"/>
    <w:rsid w:val="0049197D"/>
    <w:rsid w:val="0049445A"/>
    <w:rsid w:val="004A2A63"/>
    <w:rsid w:val="004A2AC2"/>
    <w:rsid w:val="004B10F1"/>
    <w:rsid w:val="004B210C"/>
    <w:rsid w:val="004C1EAC"/>
    <w:rsid w:val="004C2443"/>
    <w:rsid w:val="004C7FE0"/>
    <w:rsid w:val="004D405F"/>
    <w:rsid w:val="004E04EE"/>
    <w:rsid w:val="004E4F4F"/>
    <w:rsid w:val="004E60FD"/>
    <w:rsid w:val="004E6789"/>
    <w:rsid w:val="004E76A8"/>
    <w:rsid w:val="004F579B"/>
    <w:rsid w:val="004F61E3"/>
    <w:rsid w:val="00501A48"/>
    <w:rsid w:val="00502432"/>
    <w:rsid w:val="00502E10"/>
    <w:rsid w:val="0050480C"/>
    <w:rsid w:val="0051015C"/>
    <w:rsid w:val="00516CF1"/>
    <w:rsid w:val="00516E64"/>
    <w:rsid w:val="00523807"/>
    <w:rsid w:val="00531AE9"/>
    <w:rsid w:val="00550A66"/>
    <w:rsid w:val="00554531"/>
    <w:rsid w:val="00564FFA"/>
    <w:rsid w:val="00567EC7"/>
    <w:rsid w:val="00570013"/>
    <w:rsid w:val="00572A06"/>
    <w:rsid w:val="005801A2"/>
    <w:rsid w:val="00591833"/>
    <w:rsid w:val="005952A5"/>
    <w:rsid w:val="005A33A1"/>
    <w:rsid w:val="005B217D"/>
    <w:rsid w:val="005B7DC4"/>
    <w:rsid w:val="005C385F"/>
    <w:rsid w:val="005E1AC6"/>
    <w:rsid w:val="005F6A54"/>
    <w:rsid w:val="005F6F1B"/>
    <w:rsid w:val="00607810"/>
    <w:rsid w:val="00615995"/>
    <w:rsid w:val="00616155"/>
    <w:rsid w:val="00621100"/>
    <w:rsid w:val="00624A22"/>
    <w:rsid w:val="00624B33"/>
    <w:rsid w:val="0063041A"/>
    <w:rsid w:val="00630AA2"/>
    <w:rsid w:val="006451F2"/>
    <w:rsid w:val="00646707"/>
    <w:rsid w:val="00657F7E"/>
    <w:rsid w:val="00660C87"/>
    <w:rsid w:val="00660FEC"/>
    <w:rsid w:val="00662E58"/>
    <w:rsid w:val="006637F2"/>
    <w:rsid w:val="006642A5"/>
    <w:rsid w:val="00664DCF"/>
    <w:rsid w:val="006C08D1"/>
    <w:rsid w:val="006C5D39"/>
    <w:rsid w:val="006D3C29"/>
    <w:rsid w:val="006D51D9"/>
    <w:rsid w:val="006D6D9B"/>
    <w:rsid w:val="006E09BB"/>
    <w:rsid w:val="006E2810"/>
    <w:rsid w:val="006E5417"/>
    <w:rsid w:val="006F02E8"/>
    <w:rsid w:val="006F0794"/>
    <w:rsid w:val="007023DE"/>
    <w:rsid w:val="00712F60"/>
    <w:rsid w:val="00720E3B"/>
    <w:rsid w:val="0074393F"/>
    <w:rsid w:val="00745F6B"/>
    <w:rsid w:val="00747EF9"/>
    <w:rsid w:val="007520D2"/>
    <w:rsid w:val="00753BD1"/>
    <w:rsid w:val="0075585E"/>
    <w:rsid w:val="00760E92"/>
    <w:rsid w:val="00770571"/>
    <w:rsid w:val="007745B6"/>
    <w:rsid w:val="007768FF"/>
    <w:rsid w:val="007824D3"/>
    <w:rsid w:val="00792212"/>
    <w:rsid w:val="00792EBD"/>
    <w:rsid w:val="00796EE3"/>
    <w:rsid w:val="007A04CB"/>
    <w:rsid w:val="007A1BC8"/>
    <w:rsid w:val="007A7D29"/>
    <w:rsid w:val="007B4AB8"/>
    <w:rsid w:val="007C63EA"/>
    <w:rsid w:val="007D1181"/>
    <w:rsid w:val="007E01A3"/>
    <w:rsid w:val="007E327D"/>
    <w:rsid w:val="007F1F8B"/>
    <w:rsid w:val="007F67A1"/>
    <w:rsid w:val="008044D1"/>
    <w:rsid w:val="00811C05"/>
    <w:rsid w:val="0081780D"/>
    <w:rsid w:val="008206C8"/>
    <w:rsid w:val="008237FF"/>
    <w:rsid w:val="00823D08"/>
    <w:rsid w:val="008455E9"/>
    <w:rsid w:val="008464E2"/>
    <w:rsid w:val="00854187"/>
    <w:rsid w:val="0085702C"/>
    <w:rsid w:val="0086387C"/>
    <w:rsid w:val="00864C68"/>
    <w:rsid w:val="00874A6C"/>
    <w:rsid w:val="00876C65"/>
    <w:rsid w:val="00885302"/>
    <w:rsid w:val="00896170"/>
    <w:rsid w:val="008A4B4C"/>
    <w:rsid w:val="008C202D"/>
    <w:rsid w:val="008C239F"/>
    <w:rsid w:val="008D0C1A"/>
    <w:rsid w:val="008E480C"/>
    <w:rsid w:val="008E4C73"/>
    <w:rsid w:val="00907757"/>
    <w:rsid w:val="009174FE"/>
    <w:rsid w:val="009212B0"/>
    <w:rsid w:val="00921FA1"/>
    <w:rsid w:val="009234A5"/>
    <w:rsid w:val="00933453"/>
    <w:rsid w:val="009336F7"/>
    <w:rsid w:val="00933E33"/>
    <w:rsid w:val="0093636C"/>
    <w:rsid w:val="00936E6C"/>
    <w:rsid w:val="009374A7"/>
    <w:rsid w:val="00945F49"/>
    <w:rsid w:val="00952257"/>
    <w:rsid w:val="00955111"/>
    <w:rsid w:val="00955F6D"/>
    <w:rsid w:val="00960668"/>
    <w:rsid w:val="0097437E"/>
    <w:rsid w:val="009743C7"/>
    <w:rsid w:val="00977C16"/>
    <w:rsid w:val="0098551D"/>
    <w:rsid w:val="0099518F"/>
    <w:rsid w:val="009A523D"/>
    <w:rsid w:val="009B02A1"/>
    <w:rsid w:val="009D6536"/>
    <w:rsid w:val="009D7CE6"/>
    <w:rsid w:val="009E23BE"/>
    <w:rsid w:val="009F496B"/>
    <w:rsid w:val="00A01439"/>
    <w:rsid w:val="00A02E61"/>
    <w:rsid w:val="00A05CFF"/>
    <w:rsid w:val="00A13048"/>
    <w:rsid w:val="00A13685"/>
    <w:rsid w:val="00A46843"/>
    <w:rsid w:val="00A56B97"/>
    <w:rsid w:val="00A6093D"/>
    <w:rsid w:val="00A67F6B"/>
    <w:rsid w:val="00A767DC"/>
    <w:rsid w:val="00A76A6D"/>
    <w:rsid w:val="00A83253"/>
    <w:rsid w:val="00A91939"/>
    <w:rsid w:val="00A95C21"/>
    <w:rsid w:val="00A967D2"/>
    <w:rsid w:val="00AA280E"/>
    <w:rsid w:val="00AA2D19"/>
    <w:rsid w:val="00AA5DBA"/>
    <w:rsid w:val="00AA6A43"/>
    <w:rsid w:val="00AA6E84"/>
    <w:rsid w:val="00AB08EB"/>
    <w:rsid w:val="00AB1A1C"/>
    <w:rsid w:val="00AB7F4E"/>
    <w:rsid w:val="00AC6E66"/>
    <w:rsid w:val="00AD05A8"/>
    <w:rsid w:val="00AD346E"/>
    <w:rsid w:val="00AE341B"/>
    <w:rsid w:val="00B00662"/>
    <w:rsid w:val="00B01905"/>
    <w:rsid w:val="00B07CA7"/>
    <w:rsid w:val="00B1279A"/>
    <w:rsid w:val="00B23901"/>
    <w:rsid w:val="00B4194A"/>
    <w:rsid w:val="00B437E8"/>
    <w:rsid w:val="00B5222E"/>
    <w:rsid w:val="00B53179"/>
    <w:rsid w:val="00B551E2"/>
    <w:rsid w:val="00B57A23"/>
    <w:rsid w:val="00B600CD"/>
    <w:rsid w:val="00B61C96"/>
    <w:rsid w:val="00B73A2A"/>
    <w:rsid w:val="00B75A51"/>
    <w:rsid w:val="00B80401"/>
    <w:rsid w:val="00B827C6"/>
    <w:rsid w:val="00B83093"/>
    <w:rsid w:val="00B94B06"/>
    <w:rsid w:val="00B94C28"/>
    <w:rsid w:val="00BA5DAB"/>
    <w:rsid w:val="00BB23A3"/>
    <w:rsid w:val="00BB533A"/>
    <w:rsid w:val="00BB6E4A"/>
    <w:rsid w:val="00BC10BA"/>
    <w:rsid w:val="00BC1156"/>
    <w:rsid w:val="00BC5AFD"/>
    <w:rsid w:val="00BC69C5"/>
    <w:rsid w:val="00BD70E9"/>
    <w:rsid w:val="00BD79B2"/>
    <w:rsid w:val="00BF1325"/>
    <w:rsid w:val="00C00BB8"/>
    <w:rsid w:val="00C00DDE"/>
    <w:rsid w:val="00C04F43"/>
    <w:rsid w:val="00C0609D"/>
    <w:rsid w:val="00C115AB"/>
    <w:rsid w:val="00C17D4C"/>
    <w:rsid w:val="00C26C6F"/>
    <w:rsid w:val="00C26CCB"/>
    <w:rsid w:val="00C30249"/>
    <w:rsid w:val="00C3723B"/>
    <w:rsid w:val="00C42466"/>
    <w:rsid w:val="00C467B5"/>
    <w:rsid w:val="00C554AE"/>
    <w:rsid w:val="00C564DC"/>
    <w:rsid w:val="00C606C9"/>
    <w:rsid w:val="00C80288"/>
    <w:rsid w:val="00C84003"/>
    <w:rsid w:val="00C85AEE"/>
    <w:rsid w:val="00C87EBE"/>
    <w:rsid w:val="00C90033"/>
    <w:rsid w:val="00C90650"/>
    <w:rsid w:val="00C95EF5"/>
    <w:rsid w:val="00C97D78"/>
    <w:rsid w:val="00CA641C"/>
    <w:rsid w:val="00CB25B5"/>
    <w:rsid w:val="00CC2AAE"/>
    <w:rsid w:val="00CC3356"/>
    <w:rsid w:val="00CC46CE"/>
    <w:rsid w:val="00CC5A42"/>
    <w:rsid w:val="00CD0EAB"/>
    <w:rsid w:val="00CD3BDE"/>
    <w:rsid w:val="00CE5E02"/>
    <w:rsid w:val="00CF34DB"/>
    <w:rsid w:val="00CF558F"/>
    <w:rsid w:val="00CF703D"/>
    <w:rsid w:val="00D010C0"/>
    <w:rsid w:val="00D073E2"/>
    <w:rsid w:val="00D22BD4"/>
    <w:rsid w:val="00D446EC"/>
    <w:rsid w:val="00D51BF0"/>
    <w:rsid w:val="00D531DB"/>
    <w:rsid w:val="00D55942"/>
    <w:rsid w:val="00D6746E"/>
    <w:rsid w:val="00D807BF"/>
    <w:rsid w:val="00D82FCC"/>
    <w:rsid w:val="00D90A4E"/>
    <w:rsid w:val="00DA17FC"/>
    <w:rsid w:val="00DA4E1F"/>
    <w:rsid w:val="00DA7887"/>
    <w:rsid w:val="00DB2C26"/>
    <w:rsid w:val="00DD02F4"/>
    <w:rsid w:val="00DD3AC2"/>
    <w:rsid w:val="00DD6622"/>
    <w:rsid w:val="00DE1C7C"/>
    <w:rsid w:val="00DE6883"/>
    <w:rsid w:val="00DE6B43"/>
    <w:rsid w:val="00DF1308"/>
    <w:rsid w:val="00DF7933"/>
    <w:rsid w:val="00E0683E"/>
    <w:rsid w:val="00E11923"/>
    <w:rsid w:val="00E13E99"/>
    <w:rsid w:val="00E16D97"/>
    <w:rsid w:val="00E2475A"/>
    <w:rsid w:val="00E262D4"/>
    <w:rsid w:val="00E36250"/>
    <w:rsid w:val="00E43783"/>
    <w:rsid w:val="00E47F2D"/>
    <w:rsid w:val="00E51CC0"/>
    <w:rsid w:val="00E54511"/>
    <w:rsid w:val="00E61DAC"/>
    <w:rsid w:val="00E72B80"/>
    <w:rsid w:val="00E73D33"/>
    <w:rsid w:val="00E75FE3"/>
    <w:rsid w:val="00E86C4C"/>
    <w:rsid w:val="00E907A3"/>
    <w:rsid w:val="00EA5AE0"/>
    <w:rsid w:val="00EB2505"/>
    <w:rsid w:val="00EB56E1"/>
    <w:rsid w:val="00EB7AB1"/>
    <w:rsid w:val="00EC21D8"/>
    <w:rsid w:val="00EC6FB0"/>
    <w:rsid w:val="00ED37B2"/>
    <w:rsid w:val="00EE463C"/>
    <w:rsid w:val="00EE7CD8"/>
    <w:rsid w:val="00EF37F6"/>
    <w:rsid w:val="00EF48CC"/>
    <w:rsid w:val="00F00801"/>
    <w:rsid w:val="00F050AE"/>
    <w:rsid w:val="00F07E06"/>
    <w:rsid w:val="00F141AA"/>
    <w:rsid w:val="00F2488D"/>
    <w:rsid w:val="00F261DD"/>
    <w:rsid w:val="00F31855"/>
    <w:rsid w:val="00F54763"/>
    <w:rsid w:val="00F601A0"/>
    <w:rsid w:val="00F712E9"/>
    <w:rsid w:val="00F73032"/>
    <w:rsid w:val="00F7340E"/>
    <w:rsid w:val="00F75EA6"/>
    <w:rsid w:val="00F808B6"/>
    <w:rsid w:val="00F848FC"/>
    <w:rsid w:val="00F906F6"/>
    <w:rsid w:val="00F9282A"/>
    <w:rsid w:val="00F96BAD"/>
    <w:rsid w:val="00FA139D"/>
    <w:rsid w:val="00FB0E84"/>
    <w:rsid w:val="00FB58F5"/>
    <w:rsid w:val="00FC0523"/>
    <w:rsid w:val="00FC2405"/>
    <w:rsid w:val="00FD01C2"/>
    <w:rsid w:val="00FE068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C1156"/>
    <w:rPr>
      <w:color w:val="605E5C"/>
      <w:shd w:val="clear" w:color="auto" w:fill="E1DFDD"/>
    </w:rPr>
  </w:style>
  <w:style w:type="paragraph" w:styleId="ListParagraph">
    <w:name w:val="List Paragraph"/>
    <w:basedOn w:val="Normal"/>
    <w:uiPriority w:val="34"/>
    <w:qFormat/>
    <w:rsid w:val="003105EC"/>
    <w:pPr>
      <w:ind w:left="720"/>
      <w:contextualSpacing/>
    </w:pPr>
  </w:style>
  <w:style w:type="paragraph" w:styleId="NormalWeb">
    <w:name w:val="Normal (Web)"/>
    <w:basedOn w:val="Normal"/>
    <w:uiPriority w:val="99"/>
    <w:unhideWhenUsed/>
    <w:rsid w:val="008C20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table" w:styleId="TableGrid">
    <w:name w:val="Table Grid"/>
    <w:basedOn w:val="TableNormal"/>
    <w:rsid w:val="00B804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AA2D19"/>
    <w:rPr>
      <w:sz w:val="16"/>
      <w:szCs w:val="16"/>
    </w:rPr>
  </w:style>
  <w:style w:type="paragraph" w:styleId="CommentText">
    <w:name w:val="annotation text"/>
    <w:basedOn w:val="Normal"/>
    <w:link w:val="CommentTextChar"/>
    <w:rsid w:val="00AA2D19"/>
    <w:rPr>
      <w:sz w:val="20"/>
    </w:rPr>
  </w:style>
  <w:style w:type="character" w:customStyle="1" w:styleId="CommentTextChar">
    <w:name w:val="Comment Text Char"/>
    <w:basedOn w:val="DefaultParagraphFont"/>
    <w:link w:val="CommentText"/>
    <w:rsid w:val="00AA2D19"/>
  </w:style>
  <w:style w:type="paragraph" w:styleId="CommentSubject">
    <w:name w:val="annotation subject"/>
    <w:basedOn w:val="CommentText"/>
    <w:next w:val="CommentText"/>
    <w:link w:val="CommentSubjectChar"/>
    <w:rsid w:val="00AA2D19"/>
    <w:rPr>
      <w:b/>
      <w:bCs/>
    </w:rPr>
  </w:style>
  <w:style w:type="character" w:customStyle="1" w:styleId="CommentSubjectChar">
    <w:name w:val="Comment Subject Char"/>
    <w:basedOn w:val="CommentTextChar"/>
    <w:link w:val="CommentSubject"/>
    <w:rsid w:val="00AA2D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827484">
      <w:bodyDiv w:val="1"/>
      <w:marLeft w:val="0"/>
      <w:marRight w:val="0"/>
      <w:marTop w:val="0"/>
      <w:marBottom w:val="0"/>
      <w:divBdr>
        <w:top w:val="none" w:sz="0" w:space="0" w:color="auto"/>
        <w:left w:val="none" w:sz="0" w:space="0" w:color="auto"/>
        <w:bottom w:val="none" w:sz="0" w:space="0" w:color="auto"/>
        <w:right w:val="none" w:sz="0" w:space="0" w:color="auto"/>
      </w:divBdr>
    </w:div>
    <w:div w:id="198278539">
      <w:bodyDiv w:val="1"/>
      <w:marLeft w:val="0"/>
      <w:marRight w:val="0"/>
      <w:marTop w:val="0"/>
      <w:marBottom w:val="0"/>
      <w:divBdr>
        <w:top w:val="none" w:sz="0" w:space="0" w:color="auto"/>
        <w:left w:val="none" w:sz="0" w:space="0" w:color="auto"/>
        <w:bottom w:val="none" w:sz="0" w:space="0" w:color="auto"/>
        <w:right w:val="none" w:sz="0" w:space="0" w:color="auto"/>
      </w:divBdr>
    </w:div>
    <w:div w:id="217129985">
      <w:bodyDiv w:val="1"/>
      <w:marLeft w:val="0"/>
      <w:marRight w:val="0"/>
      <w:marTop w:val="0"/>
      <w:marBottom w:val="0"/>
      <w:divBdr>
        <w:top w:val="none" w:sz="0" w:space="0" w:color="auto"/>
        <w:left w:val="none" w:sz="0" w:space="0" w:color="auto"/>
        <w:bottom w:val="none" w:sz="0" w:space="0" w:color="auto"/>
        <w:right w:val="none" w:sz="0" w:space="0" w:color="auto"/>
      </w:divBdr>
    </w:div>
    <w:div w:id="336347873">
      <w:bodyDiv w:val="1"/>
      <w:marLeft w:val="0"/>
      <w:marRight w:val="0"/>
      <w:marTop w:val="0"/>
      <w:marBottom w:val="0"/>
      <w:divBdr>
        <w:top w:val="none" w:sz="0" w:space="0" w:color="auto"/>
        <w:left w:val="none" w:sz="0" w:space="0" w:color="auto"/>
        <w:bottom w:val="none" w:sz="0" w:space="0" w:color="auto"/>
        <w:right w:val="none" w:sz="0" w:space="0" w:color="auto"/>
      </w:divBdr>
    </w:div>
    <w:div w:id="524564838">
      <w:bodyDiv w:val="1"/>
      <w:marLeft w:val="0"/>
      <w:marRight w:val="0"/>
      <w:marTop w:val="0"/>
      <w:marBottom w:val="0"/>
      <w:divBdr>
        <w:top w:val="none" w:sz="0" w:space="0" w:color="auto"/>
        <w:left w:val="none" w:sz="0" w:space="0" w:color="auto"/>
        <w:bottom w:val="none" w:sz="0" w:space="0" w:color="auto"/>
        <w:right w:val="none" w:sz="0" w:space="0" w:color="auto"/>
      </w:divBdr>
    </w:div>
    <w:div w:id="623779956">
      <w:bodyDiv w:val="1"/>
      <w:marLeft w:val="0"/>
      <w:marRight w:val="0"/>
      <w:marTop w:val="0"/>
      <w:marBottom w:val="0"/>
      <w:divBdr>
        <w:top w:val="none" w:sz="0" w:space="0" w:color="auto"/>
        <w:left w:val="none" w:sz="0" w:space="0" w:color="auto"/>
        <w:bottom w:val="none" w:sz="0" w:space="0" w:color="auto"/>
        <w:right w:val="none" w:sz="0" w:space="0" w:color="auto"/>
      </w:divBdr>
    </w:div>
    <w:div w:id="783228883">
      <w:bodyDiv w:val="1"/>
      <w:marLeft w:val="0"/>
      <w:marRight w:val="0"/>
      <w:marTop w:val="0"/>
      <w:marBottom w:val="0"/>
      <w:divBdr>
        <w:top w:val="none" w:sz="0" w:space="0" w:color="auto"/>
        <w:left w:val="none" w:sz="0" w:space="0" w:color="auto"/>
        <w:bottom w:val="none" w:sz="0" w:space="0" w:color="auto"/>
        <w:right w:val="none" w:sz="0" w:space="0" w:color="auto"/>
      </w:divBdr>
    </w:div>
    <w:div w:id="1580018206">
      <w:bodyDiv w:val="1"/>
      <w:marLeft w:val="0"/>
      <w:marRight w:val="0"/>
      <w:marTop w:val="0"/>
      <w:marBottom w:val="0"/>
      <w:divBdr>
        <w:top w:val="none" w:sz="0" w:space="0" w:color="auto"/>
        <w:left w:val="none" w:sz="0" w:space="0" w:color="auto"/>
        <w:bottom w:val="none" w:sz="0" w:space="0" w:color="auto"/>
        <w:right w:val="none" w:sz="0" w:space="0" w:color="auto"/>
      </w:divBdr>
    </w:div>
    <w:div w:id="16702095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939121">
      <w:bodyDiv w:val="1"/>
      <w:marLeft w:val="0"/>
      <w:marRight w:val="0"/>
      <w:marTop w:val="0"/>
      <w:marBottom w:val="0"/>
      <w:divBdr>
        <w:top w:val="none" w:sz="0" w:space="0" w:color="auto"/>
        <w:left w:val="none" w:sz="0" w:space="0" w:color="auto"/>
        <w:bottom w:val="none" w:sz="0" w:space="0" w:color="auto"/>
        <w:right w:val="none" w:sz="0" w:space="0" w:color="auto"/>
      </w:divBdr>
    </w:div>
    <w:div w:id="2106270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hanl@tencent.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iaozhongxu@tencent.com" TargetMode="Externa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hyperlink" Target="mailto:xlxiangli@tencent.com" TargetMode="External"/><Relationship Id="rId4" Type="http://schemas.openxmlformats.org/officeDocument/2006/relationships/webSettings" Target="webSettings.xml"/><Relationship Id="rId9" Type="http://schemas.openxmlformats.org/officeDocument/2006/relationships/hyperlink" Target="mailto:jingye@tencent.co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702</Words>
  <Characters>4006</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jingye(JingYe)</cp:lastModifiedBy>
  <cp:revision>6</cp:revision>
  <cp:lastPrinted>1900-01-01T08:00:00Z</cp:lastPrinted>
  <dcterms:created xsi:type="dcterms:W3CDTF">2018-09-25T22:33:00Z</dcterms:created>
  <dcterms:modified xsi:type="dcterms:W3CDTF">2018-09-29T04:23:00Z</dcterms:modified>
</cp:coreProperties>
</file>