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08C3CB16"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890091">
              <w:rPr>
                <w:lang w:val="en-CA"/>
              </w:rPr>
              <w:t>0251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B77E9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55EE416" w:rsidR="00E61DAC" w:rsidRPr="005B217D" w:rsidRDefault="00B77E90" w:rsidP="009D7CE6">
            <w:pPr>
              <w:spacing w:before="60" w:after="60"/>
              <w:rPr>
                <w:b/>
                <w:szCs w:val="22"/>
                <w:lang w:val="en-CA"/>
              </w:rPr>
            </w:pPr>
            <w:r>
              <w:rPr>
                <w:b/>
                <w:szCs w:val="22"/>
                <w:lang w:val="en-CA"/>
              </w:rPr>
              <w:t>CE3: Extended LM modes (Tests 5.2.1, 5.2.2, 5.2.3, and 5.2.4)</w:t>
            </w:r>
          </w:p>
        </w:tc>
      </w:tr>
      <w:tr w:rsidR="00E61DAC" w:rsidRPr="005B217D" w14:paraId="3D8B01B2" w14:textId="77777777" w:rsidTr="00B77E9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FEABC6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77E9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56FD3FA" w:rsidR="00E61DAC" w:rsidRPr="005B217D" w:rsidRDefault="00E61DAC" w:rsidP="005E1AC6">
            <w:pPr>
              <w:spacing w:before="60" w:after="60"/>
              <w:rPr>
                <w:szCs w:val="22"/>
                <w:lang w:val="en-CA"/>
              </w:rPr>
            </w:pPr>
            <w:r w:rsidRPr="005B217D">
              <w:rPr>
                <w:szCs w:val="22"/>
                <w:lang w:val="en-CA"/>
              </w:rPr>
              <w:t>Proposal</w:t>
            </w:r>
          </w:p>
        </w:tc>
      </w:tr>
      <w:tr w:rsidR="00B77E90" w:rsidRPr="005B217D" w14:paraId="714CD808" w14:textId="77777777" w:rsidTr="00B77E90">
        <w:tc>
          <w:tcPr>
            <w:tcW w:w="1458" w:type="dxa"/>
          </w:tcPr>
          <w:p w14:paraId="4DB59313" w14:textId="77777777" w:rsidR="00B77E90" w:rsidRPr="005B217D" w:rsidRDefault="00B77E90" w:rsidP="00B77E90">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CD254D2" w14:textId="77777777" w:rsidR="00B77E90" w:rsidRDefault="00B77E90" w:rsidP="00B77E90">
            <w:pPr>
              <w:spacing w:before="60" w:after="60"/>
              <w:rPr>
                <w:szCs w:val="22"/>
                <w:lang w:val="en-CA"/>
              </w:rPr>
            </w:pPr>
            <w:r>
              <w:rPr>
                <w:szCs w:val="22"/>
                <w:lang w:val="en-CA"/>
              </w:rPr>
              <w:t>Adarsh K. Ramasubramonian</w:t>
            </w:r>
            <w:r>
              <w:rPr>
                <w:szCs w:val="22"/>
                <w:lang w:val="en-CA"/>
              </w:rPr>
              <w:br/>
              <w:t>Geert Van der Auwera</w:t>
            </w:r>
            <w:r>
              <w:rPr>
                <w:szCs w:val="22"/>
                <w:lang w:val="en-CA"/>
              </w:rPr>
              <w:br/>
              <w:t>Vadim Seregin</w:t>
            </w:r>
            <w:r>
              <w:rPr>
                <w:szCs w:val="22"/>
                <w:lang w:val="en-CA"/>
              </w:rPr>
              <w:br/>
              <w:t>Marta Karczewicz</w:t>
            </w:r>
          </w:p>
          <w:p w14:paraId="6B337242" w14:textId="77777777" w:rsidR="00014D34" w:rsidRDefault="00014D34" w:rsidP="00B77E90">
            <w:pPr>
              <w:spacing w:before="60" w:after="60"/>
              <w:rPr>
                <w:szCs w:val="22"/>
                <w:lang w:val="en-CA"/>
              </w:rPr>
            </w:pPr>
          </w:p>
          <w:p w14:paraId="49D81240" w14:textId="58DB2BFD" w:rsidR="00B77E90" w:rsidRPr="005B217D" w:rsidRDefault="00B77E90" w:rsidP="00B77E90">
            <w:pPr>
              <w:spacing w:before="60" w:after="60"/>
              <w:rPr>
                <w:szCs w:val="22"/>
                <w:lang w:val="en-CA"/>
              </w:rPr>
            </w:pPr>
            <w:r>
              <w:rPr>
                <w:szCs w:val="22"/>
                <w:lang w:val="en-CA"/>
              </w:rPr>
              <w:t>5775 Morehouse Dr</w:t>
            </w:r>
            <w:r>
              <w:rPr>
                <w:szCs w:val="22"/>
                <w:lang w:val="en-CA"/>
              </w:rPr>
              <w:br/>
              <w:t>San Diego, CA 92121 USA</w:t>
            </w:r>
          </w:p>
        </w:tc>
        <w:tc>
          <w:tcPr>
            <w:tcW w:w="900" w:type="dxa"/>
          </w:tcPr>
          <w:p w14:paraId="5457BCB8" w14:textId="77777777" w:rsidR="00014D34" w:rsidRDefault="00B77E90" w:rsidP="00B77E90">
            <w:pPr>
              <w:spacing w:before="60" w:after="60"/>
              <w:rPr>
                <w:szCs w:val="22"/>
                <w:lang w:val="en-CA"/>
              </w:rPr>
            </w:pPr>
            <w:r w:rsidRPr="005B217D">
              <w:rPr>
                <w:szCs w:val="22"/>
                <w:lang w:val="en-CA"/>
              </w:rPr>
              <w:br/>
              <w:t>Tel:</w:t>
            </w:r>
            <w:r w:rsidRPr="005B217D">
              <w:rPr>
                <w:szCs w:val="22"/>
                <w:lang w:val="en-CA"/>
              </w:rPr>
              <w:br/>
            </w:r>
          </w:p>
          <w:p w14:paraId="0140ECA2" w14:textId="224BE332" w:rsidR="00B77E90" w:rsidRPr="005B217D" w:rsidRDefault="00B77E90" w:rsidP="00B77E90">
            <w:pPr>
              <w:spacing w:before="60" w:after="60"/>
              <w:rPr>
                <w:szCs w:val="22"/>
                <w:lang w:val="en-CA"/>
              </w:rPr>
            </w:pPr>
            <w:r w:rsidRPr="005B217D">
              <w:rPr>
                <w:szCs w:val="22"/>
                <w:lang w:val="en-CA"/>
              </w:rPr>
              <w:t>Email:</w:t>
            </w:r>
          </w:p>
        </w:tc>
        <w:tc>
          <w:tcPr>
            <w:tcW w:w="3168" w:type="dxa"/>
          </w:tcPr>
          <w:p w14:paraId="09447512" w14:textId="77777777" w:rsidR="00014D34" w:rsidRDefault="00B77E90" w:rsidP="00B77E90">
            <w:pPr>
              <w:spacing w:before="60" w:after="60"/>
              <w:rPr>
                <w:szCs w:val="22"/>
                <w:lang w:val="en-CA"/>
              </w:rPr>
            </w:pPr>
            <w:r w:rsidRPr="005B217D">
              <w:rPr>
                <w:szCs w:val="22"/>
                <w:lang w:val="en-CA"/>
              </w:rPr>
              <w:br/>
            </w:r>
            <w:r>
              <w:rPr>
                <w:szCs w:val="22"/>
                <w:lang w:val="en-CA"/>
              </w:rPr>
              <w:t>1-858-658-5804</w:t>
            </w:r>
          </w:p>
          <w:p w14:paraId="32C2ABFD" w14:textId="2FB336A7" w:rsidR="00B77E90" w:rsidRPr="005B217D" w:rsidRDefault="00B77E90" w:rsidP="00B77E90">
            <w:pPr>
              <w:spacing w:before="60" w:after="60"/>
              <w:rPr>
                <w:szCs w:val="22"/>
                <w:lang w:val="en-CA"/>
              </w:rPr>
            </w:pPr>
            <w:r>
              <w:rPr>
                <w:szCs w:val="22"/>
                <w:lang w:val="en-CA"/>
              </w:rPr>
              <w:br/>
            </w:r>
            <w:hyperlink r:id="rId10" w:history="1">
              <w:r w:rsidRPr="00F42F08">
                <w:rPr>
                  <w:rStyle w:val="Hyperlink"/>
                  <w:szCs w:val="22"/>
                  <w:lang w:val="en-CA"/>
                </w:rPr>
                <w:t>aramasub@qti.qualcomm.com</w:t>
              </w:r>
            </w:hyperlink>
            <w:r>
              <w:rPr>
                <w:szCs w:val="22"/>
                <w:lang w:val="en-CA"/>
              </w:rPr>
              <w:br/>
            </w:r>
            <w:hyperlink r:id="rId11" w:history="1">
              <w:r w:rsidRPr="00195381">
                <w:rPr>
                  <w:rStyle w:val="Hyperlink"/>
                  <w:szCs w:val="22"/>
                  <w:lang w:val="en-CA"/>
                </w:rPr>
                <w:t>geertv@qti.qualcomm.com</w:t>
              </w:r>
            </w:hyperlink>
            <w:r>
              <w:rPr>
                <w:szCs w:val="22"/>
                <w:lang w:val="en-CA"/>
              </w:rPr>
              <w:br/>
            </w:r>
            <w:hyperlink r:id="rId12" w:history="1">
              <w:r w:rsidRPr="00195381">
                <w:rPr>
                  <w:rStyle w:val="Hyperlink"/>
                  <w:szCs w:val="22"/>
                  <w:lang w:val="en-CA"/>
                </w:rPr>
                <w:t>vseregin@qti.qualcomm.com</w:t>
              </w:r>
            </w:hyperlink>
            <w:r>
              <w:rPr>
                <w:szCs w:val="22"/>
                <w:lang w:val="en-CA"/>
              </w:rPr>
              <w:br/>
            </w:r>
            <w:hyperlink r:id="rId13" w:history="1">
              <w:r w:rsidRPr="00195381">
                <w:rPr>
                  <w:rStyle w:val="Hyperlink"/>
                  <w:szCs w:val="22"/>
                  <w:lang w:val="en-CA"/>
                </w:rPr>
                <w:t>martak@qti.qualcomm.com</w:t>
              </w:r>
            </w:hyperlink>
          </w:p>
        </w:tc>
      </w:tr>
      <w:tr w:rsidR="00B77E90" w:rsidRPr="005B217D" w14:paraId="49AFAA61" w14:textId="77777777" w:rsidTr="00B77E90">
        <w:tc>
          <w:tcPr>
            <w:tcW w:w="1458" w:type="dxa"/>
          </w:tcPr>
          <w:p w14:paraId="2C08AF6B" w14:textId="77777777" w:rsidR="00B77E90" w:rsidRPr="005B217D" w:rsidRDefault="00B77E90" w:rsidP="00B77E90">
            <w:pPr>
              <w:spacing w:before="60" w:after="60"/>
              <w:rPr>
                <w:i/>
                <w:szCs w:val="22"/>
                <w:lang w:val="en-CA"/>
              </w:rPr>
            </w:pPr>
            <w:r w:rsidRPr="005B217D">
              <w:rPr>
                <w:i/>
                <w:szCs w:val="22"/>
                <w:lang w:val="en-CA"/>
              </w:rPr>
              <w:t>Source:</w:t>
            </w:r>
          </w:p>
        </w:tc>
        <w:tc>
          <w:tcPr>
            <w:tcW w:w="8118" w:type="dxa"/>
            <w:gridSpan w:val="3"/>
          </w:tcPr>
          <w:p w14:paraId="643E6B85" w14:textId="1CC3E52E" w:rsidR="00B77E90" w:rsidRPr="005B217D" w:rsidRDefault="00B77E90" w:rsidP="00B77E90">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E3DB13B" w:rsidR="00263398" w:rsidRDefault="001D635E" w:rsidP="009234A5">
      <w:pPr>
        <w:rPr>
          <w:lang w:val="en-CA"/>
        </w:rPr>
      </w:pPr>
      <w:r>
        <w:rPr>
          <w:lang w:val="en-CA"/>
        </w:rPr>
        <w:t>This document reports the test results of four extensions to</w:t>
      </w:r>
      <w:r w:rsidR="00C02753">
        <w:rPr>
          <w:lang w:val="en-CA"/>
        </w:rPr>
        <w:t xml:space="preserve"> CCLM</w:t>
      </w:r>
      <w:r>
        <w:rPr>
          <w:lang w:val="en-CA"/>
        </w:rPr>
        <w:t>, as parts of sub-tests 5.2.1, 5.2.2, 5.2.3 and 5.2.4 of CE3 Intra Prediction and Mode Coding</w:t>
      </w:r>
      <w:r w:rsidR="00C730FB">
        <w:rPr>
          <w:lang w:val="en-CA"/>
        </w:rPr>
        <w:t>,</w:t>
      </w:r>
      <w:r>
        <w:rPr>
          <w:lang w:val="en-CA"/>
        </w:rPr>
        <w:t xml:space="preserve"> as described in JVET-K1023. </w:t>
      </w:r>
      <w:r w:rsidR="00C730FB">
        <w:rPr>
          <w:lang w:val="en-CA"/>
        </w:rPr>
        <w:t>Four methods are studied</w:t>
      </w:r>
      <w:r>
        <w:rPr>
          <w:lang w:val="en-CA"/>
        </w:rPr>
        <w:t xml:space="preserve"> (a) Cb-to-Cr residual scaling, where the Cr residual is predicted from the Cb residual, (b) MMLM or multi-mode</w:t>
      </w:r>
      <w:r w:rsidR="00C02753">
        <w:rPr>
          <w:lang w:val="en-CA"/>
        </w:rPr>
        <w:t>l</w:t>
      </w:r>
      <w:r>
        <w:rPr>
          <w:lang w:val="en-CA"/>
        </w:rPr>
        <w:t xml:space="preserve"> LM coding where two sets of parameters are used to model the mapping from luma to chroma, (c) MFLM or multi-filter LM mode where more than one filter is used to down</w:t>
      </w:r>
      <w:r w:rsidR="00C730FB">
        <w:rPr>
          <w:lang w:val="en-CA"/>
        </w:rPr>
        <w:t>-</w:t>
      </w:r>
      <w:r>
        <w:rPr>
          <w:lang w:val="en-CA"/>
        </w:rPr>
        <w:t xml:space="preserve">sample the luma </w:t>
      </w:r>
      <w:r w:rsidR="00F1038A">
        <w:rPr>
          <w:lang w:val="en-CA"/>
        </w:rPr>
        <w:t xml:space="preserve">samples </w:t>
      </w:r>
      <w:r w:rsidR="00C730FB">
        <w:rPr>
          <w:lang w:val="en-CA"/>
        </w:rPr>
        <w:t>during the</w:t>
      </w:r>
      <w:r w:rsidR="00F1038A">
        <w:rPr>
          <w:lang w:val="en-CA"/>
        </w:rPr>
        <w:t xml:space="preserve"> luma-to-chroma mapping, and (d) LM Angular (LMAP) mode where MMLM mode and</w:t>
      </w:r>
      <w:r w:rsidR="00C730FB">
        <w:rPr>
          <w:lang w:val="en-CA"/>
        </w:rPr>
        <w:t xml:space="preserve"> a</w:t>
      </w:r>
      <w:r w:rsidR="00F1038A">
        <w:rPr>
          <w:lang w:val="en-CA"/>
        </w:rPr>
        <w:t xml:space="preserve"> non-LM mode are combined by averaging the prediction samples obtained by the two modes. The performance </w:t>
      </w:r>
      <w:r w:rsidR="00C02753">
        <w:rPr>
          <w:lang w:val="en-CA"/>
        </w:rPr>
        <w:t xml:space="preserve">over the VTM-2.0.1 anchor </w:t>
      </w:r>
      <w:r w:rsidR="00F1038A">
        <w:rPr>
          <w:lang w:val="en-CA"/>
        </w:rPr>
        <w:t>reported for the various tests are as follows:</w:t>
      </w:r>
    </w:p>
    <w:p w14:paraId="11DA0190" w14:textId="6FD38F9A" w:rsidR="00F1038A" w:rsidRDefault="00F1038A" w:rsidP="00F1038A">
      <w:pPr>
        <w:numPr>
          <w:ilvl w:val="0"/>
          <w:numId w:val="12"/>
        </w:numPr>
        <w:tabs>
          <w:tab w:val="clear" w:pos="1800"/>
          <w:tab w:val="clear" w:pos="2160"/>
          <w:tab w:val="clear" w:pos="2520"/>
          <w:tab w:val="clear" w:pos="2880"/>
          <w:tab w:val="clear" w:pos="3240"/>
          <w:tab w:val="clear" w:pos="3600"/>
          <w:tab w:val="clear" w:pos="3960"/>
          <w:tab w:val="clear" w:pos="4320"/>
        </w:tabs>
      </w:pPr>
      <w:r>
        <w:t xml:space="preserve">Test 5.2.1: Cb-to-Cr </w:t>
      </w:r>
      <w:r w:rsidR="00C730FB">
        <w:t xml:space="preserve">residual </w:t>
      </w:r>
      <w:r>
        <w:t>scaling + MMLM + MFLM + LMAP: BD-rate performance of (−0.59%, −6.66%, −6.02%) for (Y, Cb, Cr) with runtimes of 111% (Enc) and 106% (Dec) for AI configuration and (−0.25%, −5.49, −5.01%) for (Y, Cb, Cr) with runtimes of 107% (Enc) and 103% (Dec) for RA configuration.</w:t>
      </w:r>
    </w:p>
    <w:p w14:paraId="10D27C9D" w14:textId="2238EAE7" w:rsidR="00F1038A" w:rsidRDefault="00F1038A" w:rsidP="00F1038A">
      <w:pPr>
        <w:numPr>
          <w:ilvl w:val="0"/>
          <w:numId w:val="12"/>
        </w:numPr>
        <w:tabs>
          <w:tab w:val="clear" w:pos="1800"/>
          <w:tab w:val="clear" w:pos="2160"/>
          <w:tab w:val="clear" w:pos="2520"/>
          <w:tab w:val="clear" w:pos="2880"/>
          <w:tab w:val="clear" w:pos="3240"/>
          <w:tab w:val="clear" w:pos="3600"/>
          <w:tab w:val="clear" w:pos="3960"/>
          <w:tab w:val="clear" w:pos="4320"/>
        </w:tabs>
      </w:pPr>
      <w:r>
        <w:t xml:space="preserve">Test 5.2.2: Cb-to-Cr </w:t>
      </w:r>
      <w:r w:rsidR="00C730FB">
        <w:t xml:space="preserve">residual </w:t>
      </w:r>
      <w:r>
        <w:t>scaling: BD-rate performance of (−0.17%, −2.26%, −1.32%) for (Y, Cb, Cr) with runtimes of 100% (Enc) and 102% (Dec) for AI configuration and (−0.04%, −1.75, −1.16%) for (Y, Cb, Cr) with runtimes of 101% (Enc) and 102% (Dec) for RA configuration.</w:t>
      </w:r>
    </w:p>
    <w:p w14:paraId="76034310" w14:textId="7C985F61" w:rsidR="00F1038A" w:rsidRDefault="00F1038A" w:rsidP="00F1038A">
      <w:pPr>
        <w:numPr>
          <w:ilvl w:val="0"/>
          <w:numId w:val="12"/>
        </w:numPr>
        <w:tabs>
          <w:tab w:val="clear" w:pos="1800"/>
          <w:tab w:val="clear" w:pos="2160"/>
          <w:tab w:val="clear" w:pos="2520"/>
          <w:tab w:val="clear" w:pos="2880"/>
          <w:tab w:val="clear" w:pos="3240"/>
          <w:tab w:val="clear" w:pos="3600"/>
          <w:tab w:val="clear" w:pos="3960"/>
          <w:tab w:val="clear" w:pos="4320"/>
        </w:tabs>
      </w:pPr>
      <w:r>
        <w:t xml:space="preserve">Test 5.2.3: Cb-to-Cr </w:t>
      </w:r>
      <w:r w:rsidR="00C730FB">
        <w:t xml:space="preserve">residual </w:t>
      </w:r>
      <w:r>
        <w:t>scaling + MMLM: BD-rate performance of (−0.49%, −4.52%, −4.29%) for (Y, Cb, Cr) with runtimes of 102% (Enc) and 102% (Dec) for AI configuration and (−0.2</w:t>
      </w:r>
      <w:r w:rsidR="009150E5">
        <w:t>2</w:t>
      </w:r>
      <w:r>
        <w:t>%, −</w:t>
      </w:r>
      <w:r w:rsidR="009150E5">
        <w:t>3.74</w:t>
      </w:r>
      <w:r>
        <w:t>, −</w:t>
      </w:r>
      <w:r w:rsidR="009150E5">
        <w:t>3.74</w:t>
      </w:r>
      <w:r>
        <w:t>%) for (Y, Cb, Cr) with runtimes of 10</w:t>
      </w:r>
      <w:r w:rsidR="009150E5">
        <w:t>3</w:t>
      </w:r>
      <w:r>
        <w:t>% (Enc) and 103% (Dec) for RA configuration.</w:t>
      </w:r>
    </w:p>
    <w:p w14:paraId="7630A735" w14:textId="7C9006AB" w:rsidR="00F1038A" w:rsidRDefault="00F1038A" w:rsidP="00F1038A">
      <w:pPr>
        <w:numPr>
          <w:ilvl w:val="0"/>
          <w:numId w:val="12"/>
        </w:numPr>
        <w:tabs>
          <w:tab w:val="clear" w:pos="1800"/>
          <w:tab w:val="clear" w:pos="2160"/>
          <w:tab w:val="clear" w:pos="2520"/>
          <w:tab w:val="clear" w:pos="2880"/>
          <w:tab w:val="clear" w:pos="3240"/>
          <w:tab w:val="clear" w:pos="3600"/>
          <w:tab w:val="clear" w:pos="3960"/>
          <w:tab w:val="clear" w:pos="4320"/>
        </w:tabs>
      </w:pPr>
      <w:r>
        <w:t>Test 5.2.</w:t>
      </w:r>
      <w:r w:rsidR="00CB2E07">
        <w:t>4</w:t>
      </w:r>
      <w:r>
        <w:t xml:space="preserve">: Cb-to-Cr </w:t>
      </w:r>
      <w:r w:rsidR="00C730FB">
        <w:t xml:space="preserve">residual </w:t>
      </w:r>
      <w:r>
        <w:t>scaling + MMLM + MFLM: BD-rate performance of (−0.5</w:t>
      </w:r>
      <w:r w:rsidR="009150E5">
        <w:t>2</w:t>
      </w:r>
      <w:r>
        <w:t>%, −</w:t>
      </w:r>
      <w:r w:rsidR="009150E5">
        <w:t>5.5</w:t>
      </w:r>
      <w:r>
        <w:t>%, −</w:t>
      </w:r>
      <w:r w:rsidR="009150E5">
        <w:t>4.98</w:t>
      </w:r>
      <w:r>
        <w:t>%) for (Y, Cb, Cr) with runtimes of 1</w:t>
      </w:r>
      <w:r w:rsidR="009150E5">
        <w:t>05</w:t>
      </w:r>
      <w:r>
        <w:t>% (Enc) and 106% (Dec) for AI configuration and (−0.2</w:t>
      </w:r>
      <w:r w:rsidR="009150E5">
        <w:t>3</w:t>
      </w:r>
      <w:r>
        <w:t>%, −</w:t>
      </w:r>
      <w:r w:rsidR="009150E5">
        <w:t>4.69</w:t>
      </w:r>
      <w:r>
        <w:t>, −</w:t>
      </w:r>
      <w:r w:rsidR="009150E5">
        <w:t>4.29</w:t>
      </w:r>
      <w:r>
        <w:t>%) for (Y, Cb, Cr) with runtimes of 10</w:t>
      </w:r>
      <w:r w:rsidR="009150E5">
        <w:t>4</w:t>
      </w:r>
      <w:r>
        <w:t>% (Enc) and 103% (Dec) for RA configuration.</w:t>
      </w:r>
    </w:p>
    <w:p w14:paraId="7271C818" w14:textId="77777777" w:rsidR="00F1038A" w:rsidRPr="005B217D" w:rsidRDefault="00F1038A" w:rsidP="009234A5">
      <w:pPr>
        <w:rPr>
          <w:szCs w:val="22"/>
          <w:lang w:val="en-CA"/>
        </w:rPr>
      </w:pPr>
    </w:p>
    <w:p w14:paraId="7D2AC1F0" w14:textId="0C309E9C" w:rsidR="00745F6B" w:rsidRPr="005B217D" w:rsidRDefault="00745F6B" w:rsidP="00E11923">
      <w:pPr>
        <w:pStyle w:val="Heading1"/>
        <w:rPr>
          <w:lang w:val="en-CA"/>
        </w:rPr>
      </w:pPr>
      <w:r w:rsidRPr="005B217D">
        <w:rPr>
          <w:lang w:val="en-CA"/>
        </w:rPr>
        <w:t>Introduction</w:t>
      </w:r>
    </w:p>
    <w:p w14:paraId="59078AB9" w14:textId="3FC4F881" w:rsidR="00601B44" w:rsidRDefault="00C02753" w:rsidP="001D635E">
      <w:pPr>
        <w:rPr>
          <w:lang w:val="en-CA"/>
        </w:rPr>
      </w:pPr>
      <w:r>
        <w:rPr>
          <w:lang w:val="en-CA"/>
        </w:rPr>
        <w:t xml:space="preserve">The </w:t>
      </w:r>
      <w:r w:rsidR="00601B44">
        <w:rPr>
          <w:lang w:val="en-CA"/>
        </w:rPr>
        <w:t>VVC Draft 2 describes the CCLM mode, which</w:t>
      </w:r>
      <w:r>
        <w:rPr>
          <w:lang w:val="en-CA"/>
        </w:rPr>
        <w:t xml:space="preserve"> constructs</w:t>
      </w:r>
      <w:r w:rsidR="00601B44">
        <w:rPr>
          <w:lang w:val="en-CA"/>
        </w:rPr>
        <w:t xml:space="preserve"> a linear prediction model between the luma and the chroma sample</w:t>
      </w:r>
      <w:r w:rsidR="003C2C79">
        <w:rPr>
          <w:lang w:val="en-CA"/>
        </w:rPr>
        <w:t>s, as fol</w:t>
      </w:r>
      <w:r>
        <w:rPr>
          <w:lang w:val="en-CA"/>
        </w:rPr>
        <w:t>l</w:t>
      </w:r>
      <w:r w:rsidR="003C2C79">
        <w:rPr>
          <w:lang w:val="en-CA"/>
        </w:rPr>
        <w:t>ows</w:t>
      </w:r>
      <w:r>
        <w:rPr>
          <w:lang w:val="en-CA"/>
        </w:rPr>
        <w:t>:</w:t>
      </w:r>
    </w:p>
    <w:p w14:paraId="29CB4A81" w14:textId="24ABBF29" w:rsidR="001D635E" w:rsidRPr="001D635E" w:rsidRDefault="0015375F" w:rsidP="001D635E">
      <w:pPr>
        <w:ind w:left="720"/>
        <w:jc w:val="center"/>
        <w:rPr>
          <w:position w:val="-5"/>
        </w:rPr>
      </w:pPr>
      <m:oMathPara>
        <m:oMath>
          <m:sSub>
            <m:sSubPr>
              <m:ctrlPr>
                <w:rPr>
                  <w:rFonts w:ascii="Cambria Math" w:hAnsi="Cambria Math"/>
                  <w:i/>
                  <w:lang w:val="en-CA"/>
                </w:rPr>
              </m:ctrlPr>
            </m:sSubPr>
            <m:e>
              <m:r>
                <w:rPr>
                  <w:rFonts w:ascii="Cambria Math" w:hAnsi="Cambria Math"/>
                  <w:lang w:val="en-CA"/>
                </w:rPr>
                <m:t>pred</m:t>
              </m:r>
            </m:e>
            <m:sub>
              <m:r>
                <w:rPr>
                  <w:rFonts w:ascii="Cambria Math" w:hAnsi="Cambria Math"/>
                  <w:lang w:val="en-CA"/>
                </w:rPr>
                <m:t>C</m:t>
              </m:r>
            </m:sub>
          </m:sSub>
          <m:d>
            <m:dPr>
              <m:ctrlPr>
                <w:rPr>
                  <w:rFonts w:ascii="Cambria Math" w:hAnsi="Cambria Math"/>
                  <w:i/>
                  <w:lang w:val="en-CA"/>
                </w:rPr>
              </m:ctrlPr>
            </m:dPr>
            <m:e>
              <m:r>
                <w:rPr>
                  <w:rFonts w:ascii="Cambria Math" w:hAnsi="Cambria Math"/>
                  <w:lang w:val="en-CA"/>
                </w:rPr>
                <m:t>i, j</m:t>
              </m:r>
            </m:e>
          </m:d>
          <m:r>
            <w:rPr>
              <w:rFonts w:ascii="Cambria Math" w:hAnsi="Cambria Math"/>
              <w:lang w:val="en-CA"/>
            </w:rPr>
            <m:t>=α·</m:t>
          </m:r>
          <m:sSub>
            <m:sSubPr>
              <m:ctrlPr>
                <w:rPr>
                  <w:rFonts w:ascii="Cambria Math" w:hAnsi="Cambria Math"/>
                  <w:i/>
                  <w:lang w:val="en-CA"/>
                </w:rPr>
              </m:ctrlPr>
            </m:sSubPr>
            <m:e>
              <m:r>
                <w:rPr>
                  <w:rFonts w:ascii="Cambria Math" w:hAnsi="Cambria Math"/>
                  <w:lang w:val="en-CA"/>
                </w:rPr>
                <m:t>rec</m:t>
              </m:r>
            </m:e>
            <m:sub>
              <m:r>
                <w:rPr>
                  <w:rFonts w:ascii="Cambria Math" w:hAnsi="Cambria Math"/>
                  <w:lang w:val="en-CA"/>
                </w:rPr>
                <m:t>L</m:t>
              </m:r>
            </m:sub>
          </m:sSub>
          <m:r>
            <w:rPr>
              <w:rFonts w:ascii="Cambria Math" w:hAnsi="Cambria Math"/>
              <w:lang w:val="en-CA"/>
            </w:rPr>
            <m:t>'</m:t>
          </m:r>
          <m:d>
            <m:dPr>
              <m:ctrlPr>
                <w:rPr>
                  <w:rFonts w:ascii="Cambria Math" w:hAnsi="Cambria Math"/>
                  <w:i/>
                  <w:lang w:val="en-CA"/>
                </w:rPr>
              </m:ctrlPr>
            </m:dPr>
            <m:e>
              <m:r>
                <w:rPr>
                  <w:rFonts w:ascii="Cambria Math" w:hAnsi="Cambria Math"/>
                  <w:lang w:val="en-CA"/>
                </w:rPr>
                <m:t>i, j</m:t>
              </m:r>
            </m:e>
          </m:d>
          <m:r>
            <w:rPr>
              <w:rFonts w:ascii="Cambria Math" w:hAnsi="Cambria Math"/>
              <w:lang w:val="en-CA"/>
            </w:rPr>
            <m:t>+ β</m:t>
          </m:r>
        </m:oMath>
      </m:oMathPara>
    </w:p>
    <w:p w14:paraId="76F602D6" w14:textId="40460641" w:rsidR="001D635E" w:rsidRDefault="001D635E" w:rsidP="003C2C79">
      <w:r>
        <w:lastRenderedPageBreak/>
        <w:t>The reconstructed luma (down-sampled) and chroma samples from the top and left neighbouring blocks are used to derive the parameters (α and β) of the model at the encoder and the decoder. The parameters are then used to derive the chroma sample prediction of the current CU from the reconstructed luma samples of the current CU.</w:t>
      </w:r>
    </w:p>
    <w:p w14:paraId="6788E24B" w14:textId="0DA69005" w:rsidR="003C2C79" w:rsidRDefault="003C2C79" w:rsidP="003C2C79">
      <w:r>
        <w:t>Four extensions to the CCLM mode are described below.</w:t>
      </w:r>
    </w:p>
    <w:p w14:paraId="1C6E7BEC" w14:textId="37434DF8" w:rsidR="007C6691" w:rsidRPr="00150254" w:rsidRDefault="007C6691" w:rsidP="001D635E">
      <w:pPr>
        <w:numPr>
          <w:ilvl w:val="0"/>
          <w:numId w:val="12"/>
        </w:numPr>
        <w:tabs>
          <w:tab w:val="clear" w:pos="1800"/>
          <w:tab w:val="clear" w:pos="2160"/>
          <w:tab w:val="clear" w:pos="2520"/>
          <w:tab w:val="clear" w:pos="2880"/>
          <w:tab w:val="clear" w:pos="3240"/>
          <w:tab w:val="clear" w:pos="3600"/>
          <w:tab w:val="clear" w:pos="3960"/>
          <w:tab w:val="clear" w:pos="4320"/>
        </w:tabs>
      </w:pPr>
      <w:r w:rsidRPr="00150254">
        <w:t xml:space="preserve">Cb-to-Cr scaling: </w:t>
      </w:r>
      <w:r w:rsidR="00150254" w:rsidRPr="00150254">
        <w:t xml:space="preserve">The Cr residual is predicted from the Cb residual using a linear model, similar to the </w:t>
      </w:r>
      <w:r w:rsidR="00C02753">
        <w:t>CC</w:t>
      </w:r>
      <w:r w:rsidR="00150254" w:rsidRPr="00150254">
        <w:t xml:space="preserve">LM mode. </w:t>
      </w:r>
    </w:p>
    <w:p w14:paraId="56D7D2FD" w14:textId="6E225E24" w:rsidR="001D635E" w:rsidRDefault="001D635E" w:rsidP="001D635E">
      <w:pPr>
        <w:numPr>
          <w:ilvl w:val="0"/>
          <w:numId w:val="12"/>
        </w:numPr>
        <w:tabs>
          <w:tab w:val="clear" w:pos="1800"/>
          <w:tab w:val="clear" w:pos="2160"/>
          <w:tab w:val="clear" w:pos="2520"/>
          <w:tab w:val="clear" w:pos="2880"/>
          <w:tab w:val="clear" w:pos="3240"/>
          <w:tab w:val="clear" w:pos="3600"/>
          <w:tab w:val="clear" w:pos="3960"/>
          <w:tab w:val="clear" w:pos="4320"/>
        </w:tabs>
      </w:pPr>
      <w:r>
        <w:t xml:space="preserve">MMLM-mode: MMLM refers to multi-model LM mode, where two linear models are used to derive the chroma sample prediction. The reconstructed luma values are partitioned into two categories: one model is applied for each category. The derivation of the α and β parameters for each model is done as in the </w:t>
      </w:r>
      <w:r w:rsidR="00C02753">
        <w:t>CC</w:t>
      </w:r>
      <w:r>
        <w:t>LM-mode; where the reconstructed luma (down-sampled) used to derive the parameters are also partitioned for each model accordingly.</w:t>
      </w:r>
    </w:p>
    <w:p w14:paraId="30C60881" w14:textId="46619FF4" w:rsidR="001D635E" w:rsidRDefault="001D635E" w:rsidP="001D635E">
      <w:pPr>
        <w:numPr>
          <w:ilvl w:val="0"/>
          <w:numId w:val="12"/>
        </w:numPr>
        <w:tabs>
          <w:tab w:val="clear" w:pos="1800"/>
          <w:tab w:val="clear" w:pos="2160"/>
          <w:tab w:val="clear" w:pos="2520"/>
          <w:tab w:val="clear" w:pos="2880"/>
          <w:tab w:val="clear" w:pos="3240"/>
          <w:tab w:val="clear" w:pos="3600"/>
          <w:tab w:val="clear" w:pos="3960"/>
          <w:tab w:val="clear" w:pos="4320"/>
        </w:tabs>
      </w:pPr>
      <w:r>
        <w:t xml:space="preserve">MFLM-mode: MFLM refers to multi-filter LM mode, where different filters are used to down-sample the reconstructed luma samples used in the prediction model. </w:t>
      </w:r>
      <w:r w:rsidR="003C2C79">
        <w:t xml:space="preserve">Four </w:t>
      </w:r>
      <w:r>
        <w:t>such filters</w:t>
      </w:r>
      <w:r w:rsidR="003C2C79">
        <w:t xml:space="preserve"> are used</w:t>
      </w:r>
      <w:r>
        <w:t>, and the particular filter used is indicated/signalled in the bitstream.</w:t>
      </w:r>
    </w:p>
    <w:p w14:paraId="2B7A988C" w14:textId="1DCF7F1D" w:rsidR="006D4EB4" w:rsidRPr="003C2C79" w:rsidRDefault="007C6691" w:rsidP="001D635E">
      <w:pPr>
        <w:numPr>
          <w:ilvl w:val="0"/>
          <w:numId w:val="12"/>
        </w:numPr>
        <w:tabs>
          <w:tab w:val="clear" w:pos="1800"/>
          <w:tab w:val="clear" w:pos="2160"/>
          <w:tab w:val="clear" w:pos="2520"/>
          <w:tab w:val="clear" w:pos="2880"/>
          <w:tab w:val="clear" w:pos="3240"/>
          <w:tab w:val="clear" w:pos="3600"/>
          <w:tab w:val="clear" w:pos="3960"/>
          <w:tab w:val="clear" w:pos="4320"/>
        </w:tabs>
      </w:pPr>
      <w:r w:rsidRPr="003C2C79">
        <w:t xml:space="preserve">LM Angular prediction: </w:t>
      </w:r>
      <w:r w:rsidR="00150254" w:rsidRPr="003C2C79">
        <w:t xml:space="preserve">In this mode, MMLM mode and a non-LM mode are combined by averaging the prediction samples obtained by the two modes. </w:t>
      </w:r>
    </w:p>
    <w:p w14:paraId="05CC681B" w14:textId="44A6090C" w:rsidR="001D635E" w:rsidRDefault="001D635E" w:rsidP="00E11923">
      <w:pPr>
        <w:pStyle w:val="Heading1"/>
        <w:rPr>
          <w:lang w:val="en-CA"/>
        </w:rPr>
      </w:pPr>
      <w:r>
        <w:rPr>
          <w:lang w:val="en-CA"/>
        </w:rPr>
        <w:t>Test description</w:t>
      </w:r>
    </w:p>
    <w:p w14:paraId="255F39DF" w14:textId="596AC35B" w:rsidR="001D635E" w:rsidRDefault="001D635E" w:rsidP="001D635E">
      <w:pPr>
        <w:rPr>
          <w:lang w:val="en-CA"/>
        </w:rPr>
      </w:pPr>
      <w:r>
        <w:rPr>
          <w:lang w:val="en-CA"/>
        </w:rPr>
        <w:t xml:space="preserve">This test studies the performance of </w:t>
      </w:r>
      <w:r w:rsidR="003C2C79">
        <w:rPr>
          <w:lang w:val="en-CA"/>
        </w:rPr>
        <w:t>the extensions to the CCLM mode</w:t>
      </w:r>
      <w:r w:rsidR="00DE0E8E">
        <w:rPr>
          <w:lang w:val="en-CA"/>
        </w:rPr>
        <w:t>:</w:t>
      </w:r>
    </w:p>
    <w:p w14:paraId="513BDB5B" w14:textId="328BB0DA" w:rsidR="001D635E" w:rsidRPr="00DE0E8E" w:rsidRDefault="001D635E" w:rsidP="00EE3AA3">
      <w:pPr>
        <w:pStyle w:val="ListParagraph"/>
        <w:numPr>
          <w:ilvl w:val="0"/>
          <w:numId w:val="13"/>
        </w:numPr>
        <w:rPr>
          <w:lang w:val="en-CA"/>
        </w:rPr>
      </w:pPr>
      <w:r w:rsidRPr="00DE0E8E">
        <w:rPr>
          <w:lang w:val="en-CA"/>
        </w:rPr>
        <w:t>Test CE3-</w:t>
      </w:r>
      <w:r w:rsidR="007C6691" w:rsidRPr="00DE0E8E">
        <w:rPr>
          <w:lang w:val="en-CA"/>
        </w:rPr>
        <w:t>5</w:t>
      </w:r>
      <w:r w:rsidRPr="00DE0E8E">
        <w:rPr>
          <w:lang w:val="en-CA"/>
        </w:rPr>
        <w:t>.</w:t>
      </w:r>
      <w:r w:rsidR="007C6691" w:rsidRPr="00DE0E8E">
        <w:rPr>
          <w:lang w:val="en-CA"/>
        </w:rPr>
        <w:t>2</w:t>
      </w:r>
      <w:r w:rsidRPr="00DE0E8E">
        <w:rPr>
          <w:lang w:val="en-CA"/>
        </w:rPr>
        <w:t>.1 studies the performance when</w:t>
      </w:r>
      <w:r w:rsidR="007C6691" w:rsidRPr="00DE0E8E">
        <w:rPr>
          <w:lang w:val="en-CA"/>
        </w:rPr>
        <w:t xml:space="preserve"> Cb-to-Cr scaling, MMLM coding, MFLM coding and LMAP are combined with CCLM coding.</w:t>
      </w:r>
      <w:r w:rsidRPr="00DE0E8E">
        <w:rPr>
          <w:lang w:val="en-CA"/>
        </w:rPr>
        <w:t xml:space="preserve"> </w:t>
      </w:r>
    </w:p>
    <w:p w14:paraId="5BC1DB4C" w14:textId="45E35A09" w:rsidR="007C6691" w:rsidRPr="00DE0E8E" w:rsidRDefault="007C6691" w:rsidP="00EE3AA3">
      <w:pPr>
        <w:pStyle w:val="ListParagraph"/>
        <w:numPr>
          <w:ilvl w:val="0"/>
          <w:numId w:val="13"/>
        </w:numPr>
        <w:rPr>
          <w:lang w:val="en-CA"/>
        </w:rPr>
      </w:pPr>
      <w:r w:rsidRPr="00DE0E8E">
        <w:rPr>
          <w:lang w:val="en-CA"/>
        </w:rPr>
        <w:t xml:space="preserve">Test CE3-5.2.2 studies the performance when Cb-to-Cr scaling is used with CCLM coding. </w:t>
      </w:r>
    </w:p>
    <w:p w14:paraId="3706C88E" w14:textId="3A2A3695" w:rsidR="007C6691" w:rsidRPr="00DE0E8E" w:rsidRDefault="007C6691" w:rsidP="00EE3AA3">
      <w:pPr>
        <w:pStyle w:val="ListParagraph"/>
        <w:numPr>
          <w:ilvl w:val="0"/>
          <w:numId w:val="13"/>
        </w:numPr>
        <w:rPr>
          <w:lang w:val="en-CA"/>
        </w:rPr>
      </w:pPr>
      <w:r w:rsidRPr="00DE0E8E">
        <w:rPr>
          <w:lang w:val="en-CA"/>
        </w:rPr>
        <w:t xml:space="preserve">Test CE3-5.2.3 studies the performance when Cb-to-Cr scaling and MMLM coding are combined with CCLM coding. </w:t>
      </w:r>
    </w:p>
    <w:p w14:paraId="1A48B02D" w14:textId="7E4EBBE5" w:rsidR="007C6691" w:rsidRPr="00DE0E8E" w:rsidRDefault="007C6691" w:rsidP="00EE3AA3">
      <w:pPr>
        <w:pStyle w:val="ListParagraph"/>
        <w:numPr>
          <w:ilvl w:val="0"/>
          <w:numId w:val="13"/>
        </w:numPr>
        <w:rPr>
          <w:lang w:val="en-CA"/>
        </w:rPr>
      </w:pPr>
      <w:r w:rsidRPr="00DE0E8E">
        <w:rPr>
          <w:lang w:val="en-CA"/>
        </w:rPr>
        <w:t xml:space="preserve">Test CE3-5.2.4 studies the performance when Cb-to-Cr scaling, MMLM coding and MFLM coding are combined with CCLM coding. </w:t>
      </w:r>
    </w:p>
    <w:p w14:paraId="53F887B4" w14:textId="0DF25979" w:rsidR="001D635E" w:rsidRDefault="001D635E" w:rsidP="00E11923">
      <w:pPr>
        <w:pStyle w:val="Heading1"/>
        <w:rPr>
          <w:lang w:val="en-CA"/>
        </w:rPr>
      </w:pPr>
      <w:bookmarkStart w:id="0" w:name="_GoBack"/>
      <w:bookmarkEnd w:id="0"/>
      <w:r>
        <w:rPr>
          <w:lang w:val="en-CA"/>
        </w:rPr>
        <w:t>Test results</w:t>
      </w:r>
    </w:p>
    <w:p w14:paraId="7211DE50" w14:textId="21A748AD" w:rsidR="00CB2E07" w:rsidRPr="005B217D" w:rsidRDefault="00CB2E07" w:rsidP="00CB2E07">
      <w:pPr>
        <w:rPr>
          <w:szCs w:val="22"/>
          <w:lang w:val="en-CA"/>
        </w:rPr>
      </w:pPr>
      <w:r>
        <w:rPr>
          <w:szCs w:val="22"/>
          <w:lang w:val="en-CA"/>
        </w:rPr>
        <w:t>The simulation results for the four tests are presented below.</w:t>
      </w:r>
    </w:p>
    <w:p w14:paraId="08957CD6" w14:textId="5C8A6EC3" w:rsidR="00CB2E07" w:rsidRDefault="00CB2E07" w:rsidP="00CB2E07">
      <w:pPr>
        <w:pStyle w:val="Heading2"/>
        <w:rPr>
          <w:lang w:val="en-CA"/>
        </w:rPr>
      </w:pPr>
      <w:r>
        <w:rPr>
          <w:lang w:val="en-CA"/>
        </w:rPr>
        <w:t>Test 5.2.1</w:t>
      </w:r>
    </w:p>
    <w:p w14:paraId="0F157A09" w14:textId="76135EC2" w:rsidR="00CB2E07" w:rsidRDefault="00CB2E07" w:rsidP="00CB2E07">
      <w:pPr>
        <w:tabs>
          <w:tab w:val="clear" w:pos="1800"/>
          <w:tab w:val="clear" w:pos="2160"/>
          <w:tab w:val="clear" w:pos="2520"/>
          <w:tab w:val="clear" w:pos="2880"/>
          <w:tab w:val="clear" w:pos="3240"/>
          <w:tab w:val="clear" w:pos="3600"/>
          <w:tab w:val="clear" w:pos="3960"/>
          <w:tab w:val="clear" w:pos="4320"/>
        </w:tabs>
      </w:pPr>
      <w:r>
        <w:t>Test 5.2.1 tests the performance of Cb-to-Cr scaling + MMLM + MFLM + LMAP. The BD-rate performance observed is (−0.59%, −6.66%, −6.02%) for (Y, Cb, Cr) with runtimes of 111% (Enc) and 106% (Dec) for AI configuration and (−0.25%, −5.49, −5.01%) for (Y, Cb, Cr) with runtimes of 107% (Enc) and 103% (Dec) for RA configuration.</w:t>
      </w:r>
    </w:p>
    <w:p w14:paraId="4721BC47" w14:textId="3AE65BC2" w:rsidR="00CB2E07" w:rsidRDefault="000D528A" w:rsidP="00F37D76">
      <w:pPr>
        <w:jc w:val="center"/>
        <w:rPr>
          <w:sz w:val="20"/>
        </w:rPr>
      </w:pPr>
      <w:r w:rsidRPr="000D528A">
        <w:rPr>
          <w:noProof/>
        </w:rPr>
        <w:lastRenderedPageBreak/>
        <w:drawing>
          <wp:inline distT="0" distB="0" distL="0" distR="0" wp14:anchorId="5AED0EBA" wp14:editId="77F8DFE9">
            <wp:extent cx="4429125" cy="373380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29125" cy="3733800"/>
                    </a:xfrm>
                    <a:prstGeom prst="rect">
                      <a:avLst/>
                    </a:prstGeom>
                    <a:noFill/>
                    <a:ln>
                      <a:noFill/>
                    </a:ln>
                  </pic:spPr>
                </pic:pic>
              </a:graphicData>
            </a:graphic>
          </wp:inline>
        </w:drawing>
      </w:r>
    </w:p>
    <w:p w14:paraId="45C80FF2" w14:textId="644B6173" w:rsidR="00CB2E07" w:rsidRPr="00CB2E07" w:rsidRDefault="00CB2E07" w:rsidP="00CB2E07">
      <w:pPr>
        <w:rPr>
          <w:lang w:val="en-CA"/>
        </w:rPr>
      </w:pPr>
    </w:p>
    <w:p w14:paraId="773090EF" w14:textId="7440D219" w:rsidR="00CB2E07" w:rsidRDefault="00CB2E07" w:rsidP="00CB2E07">
      <w:pPr>
        <w:pStyle w:val="Heading2"/>
        <w:rPr>
          <w:lang w:val="en-CA"/>
        </w:rPr>
      </w:pPr>
      <w:r>
        <w:rPr>
          <w:lang w:val="en-CA"/>
        </w:rPr>
        <w:t>Test 5.2.2</w:t>
      </w:r>
    </w:p>
    <w:p w14:paraId="4A3B3BF2" w14:textId="2309E0D5" w:rsidR="00CB2E07" w:rsidRDefault="00CB2E07" w:rsidP="00CB2E07">
      <w:pPr>
        <w:tabs>
          <w:tab w:val="clear" w:pos="1800"/>
          <w:tab w:val="clear" w:pos="2160"/>
          <w:tab w:val="clear" w:pos="2520"/>
          <w:tab w:val="clear" w:pos="2880"/>
          <w:tab w:val="clear" w:pos="3240"/>
          <w:tab w:val="clear" w:pos="3600"/>
          <w:tab w:val="clear" w:pos="3960"/>
          <w:tab w:val="clear" w:pos="4320"/>
        </w:tabs>
      </w:pPr>
      <w:r>
        <w:t>Test 5.2.2 tests the performance of Cb-to-Cr scaling. The BD-rate performance observed is (−0.17%, −2.26%, −1.32%) for (Y, Cb, Cr) with runtimes of 100% (Enc) and 102% (Dec) for AI configuration and (−0.04%, −1.75, −1.16%) for (Y, Cb, Cr) with runtimes of 101% (Enc) and 102% (Dec) for RA configuration.</w:t>
      </w:r>
    </w:p>
    <w:p w14:paraId="336EDE70" w14:textId="12DDDBF1" w:rsidR="00CB2E07" w:rsidRDefault="000D528A" w:rsidP="00F37D76">
      <w:pPr>
        <w:jc w:val="center"/>
        <w:rPr>
          <w:sz w:val="20"/>
        </w:rPr>
      </w:pPr>
      <w:r w:rsidRPr="000D528A">
        <w:rPr>
          <w:noProof/>
        </w:rPr>
        <w:drawing>
          <wp:inline distT="0" distB="0" distL="0" distR="0" wp14:anchorId="4123FCD4" wp14:editId="55A3FECD">
            <wp:extent cx="4429125" cy="37338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29125" cy="3733800"/>
                    </a:xfrm>
                    <a:prstGeom prst="rect">
                      <a:avLst/>
                    </a:prstGeom>
                    <a:noFill/>
                    <a:ln>
                      <a:noFill/>
                    </a:ln>
                  </pic:spPr>
                </pic:pic>
              </a:graphicData>
            </a:graphic>
          </wp:inline>
        </w:drawing>
      </w:r>
    </w:p>
    <w:p w14:paraId="75C8EEE8" w14:textId="21C80E6B" w:rsidR="00CB2E07" w:rsidRPr="00CB2E07" w:rsidRDefault="00CB2E07" w:rsidP="00CB2E07">
      <w:pPr>
        <w:rPr>
          <w:lang w:val="en-CA"/>
        </w:rPr>
      </w:pPr>
    </w:p>
    <w:p w14:paraId="1D352A9F" w14:textId="67BC3849" w:rsidR="00CB2E07" w:rsidRDefault="00CB2E07" w:rsidP="00CB2E07">
      <w:pPr>
        <w:pStyle w:val="Heading2"/>
        <w:rPr>
          <w:lang w:val="en-CA"/>
        </w:rPr>
      </w:pPr>
      <w:r>
        <w:rPr>
          <w:lang w:val="en-CA"/>
        </w:rPr>
        <w:t>Test 5.2.3</w:t>
      </w:r>
    </w:p>
    <w:p w14:paraId="0753E519" w14:textId="6FD55F6F" w:rsidR="00CB2E07" w:rsidRDefault="00CB2E07" w:rsidP="00CB2E07">
      <w:pPr>
        <w:tabs>
          <w:tab w:val="clear" w:pos="1800"/>
          <w:tab w:val="clear" w:pos="2160"/>
          <w:tab w:val="clear" w:pos="2520"/>
          <w:tab w:val="clear" w:pos="2880"/>
          <w:tab w:val="clear" w:pos="3240"/>
          <w:tab w:val="clear" w:pos="3600"/>
          <w:tab w:val="clear" w:pos="3960"/>
          <w:tab w:val="clear" w:pos="4320"/>
        </w:tabs>
      </w:pPr>
      <w:r>
        <w:t>Test 5.2.3 tests the performance of Cb-to-Cr scaling + MMLM. The BD-rate performance observed is (−0.49%, −4.52%, −4.29%) for (Y, Cb, Cr) with runtimes of 102% (Enc) and 102% (Dec) for AI configuration and (−0.22%, −3.74, −3.74%) for (Y, Cb, Cr) with runtimes of 103% (Enc) and 103% (Dec) for RA configuration.</w:t>
      </w:r>
    </w:p>
    <w:p w14:paraId="267A954E" w14:textId="799344EC" w:rsidR="00CB2E07" w:rsidRDefault="00EE3AA3" w:rsidP="00F37D76">
      <w:pPr>
        <w:jc w:val="center"/>
        <w:rPr>
          <w:sz w:val="20"/>
        </w:rPr>
      </w:pPr>
      <w:r w:rsidRPr="00EE3AA3">
        <w:rPr>
          <w:noProof/>
        </w:rPr>
        <w:drawing>
          <wp:inline distT="0" distB="0" distL="0" distR="0" wp14:anchorId="4992AC08" wp14:editId="15DBC3FA">
            <wp:extent cx="4429125" cy="373380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29125" cy="3733800"/>
                    </a:xfrm>
                    <a:prstGeom prst="rect">
                      <a:avLst/>
                    </a:prstGeom>
                    <a:noFill/>
                    <a:ln>
                      <a:noFill/>
                    </a:ln>
                  </pic:spPr>
                </pic:pic>
              </a:graphicData>
            </a:graphic>
          </wp:inline>
        </w:drawing>
      </w:r>
    </w:p>
    <w:p w14:paraId="3AC84653" w14:textId="4594D3EF" w:rsidR="00CB2E07" w:rsidRPr="00CB2E07" w:rsidRDefault="00CB2E07" w:rsidP="00CB2E07">
      <w:pPr>
        <w:rPr>
          <w:lang w:val="en-CA"/>
        </w:rPr>
      </w:pPr>
    </w:p>
    <w:p w14:paraId="1BB0CABD" w14:textId="47BE9A51" w:rsidR="00CB2E07" w:rsidRDefault="00CB2E07" w:rsidP="00CB2E07">
      <w:pPr>
        <w:pStyle w:val="Heading2"/>
        <w:rPr>
          <w:lang w:val="en-CA"/>
        </w:rPr>
      </w:pPr>
      <w:r>
        <w:rPr>
          <w:lang w:val="en-CA"/>
        </w:rPr>
        <w:t>Test 5.2.4</w:t>
      </w:r>
    </w:p>
    <w:p w14:paraId="001B8EE2" w14:textId="4BFEE539" w:rsidR="00CB2E07" w:rsidRDefault="00CB2E07" w:rsidP="00CB2E07">
      <w:pPr>
        <w:tabs>
          <w:tab w:val="clear" w:pos="1800"/>
          <w:tab w:val="clear" w:pos="2160"/>
          <w:tab w:val="clear" w:pos="2520"/>
          <w:tab w:val="clear" w:pos="2880"/>
          <w:tab w:val="clear" w:pos="3240"/>
          <w:tab w:val="clear" w:pos="3600"/>
          <w:tab w:val="clear" w:pos="3960"/>
          <w:tab w:val="clear" w:pos="4320"/>
        </w:tabs>
      </w:pPr>
      <w:r>
        <w:t>Test 5.2.4 tests the performance of Cb-to-Cr scaling + MMLM + MFLM. The BD-rate performance observed is (−0.52%, −5.5%, −4.98%) for (Y, Cb, Cr) with runtimes of 105% (Enc) and 106% (Dec) for AI configuration and (−0.23%, −4.69, −4.29%) for (Y, Cb, Cr) with runtimes of 104% (Enc) and 103% (Dec) for RA configuration.</w:t>
      </w:r>
    </w:p>
    <w:p w14:paraId="1A795956" w14:textId="4D22A806" w:rsidR="00CB2E07" w:rsidRDefault="00EE3AA3" w:rsidP="00F37D76">
      <w:pPr>
        <w:jc w:val="center"/>
        <w:rPr>
          <w:sz w:val="20"/>
        </w:rPr>
      </w:pPr>
      <w:r w:rsidRPr="00EE3AA3">
        <w:rPr>
          <w:noProof/>
        </w:rPr>
        <w:lastRenderedPageBreak/>
        <w:drawing>
          <wp:inline distT="0" distB="0" distL="0" distR="0" wp14:anchorId="6D0D0F38" wp14:editId="0BB48204">
            <wp:extent cx="4429125" cy="37338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29125" cy="3733800"/>
                    </a:xfrm>
                    <a:prstGeom prst="rect">
                      <a:avLst/>
                    </a:prstGeom>
                    <a:noFill/>
                    <a:ln>
                      <a:noFill/>
                    </a:ln>
                  </pic:spPr>
                </pic:pic>
              </a:graphicData>
            </a:graphic>
          </wp:inline>
        </w:drawing>
      </w:r>
    </w:p>
    <w:p w14:paraId="7632EC1D" w14:textId="0614202A" w:rsidR="00CB2E07" w:rsidRPr="00CB2E07" w:rsidRDefault="00CB2E07" w:rsidP="00CB2E07">
      <w:pPr>
        <w:rPr>
          <w:lang w:val="en-CA"/>
        </w:rPr>
      </w:pPr>
    </w:p>
    <w:p w14:paraId="524F90C7" w14:textId="76F5F303" w:rsidR="00150254" w:rsidRDefault="00150254" w:rsidP="00E11923">
      <w:pPr>
        <w:pStyle w:val="Heading1"/>
        <w:rPr>
          <w:lang w:val="en-CA"/>
        </w:rPr>
      </w:pPr>
      <w:bookmarkStart w:id="1" w:name="_Hlk525502779"/>
      <w:r>
        <w:rPr>
          <w:lang w:val="en-CA"/>
        </w:rPr>
        <w:t>Additional results</w:t>
      </w:r>
    </w:p>
    <w:p w14:paraId="5478B007" w14:textId="195DCE52" w:rsidR="00150254" w:rsidRDefault="00150254" w:rsidP="00150254">
      <w:pPr>
        <w:rPr>
          <w:lang w:val="en-CA"/>
        </w:rPr>
      </w:pPr>
      <w:r>
        <w:rPr>
          <w:lang w:val="en-CA"/>
        </w:rPr>
        <w:t xml:space="preserve">In addition to the above tests, we also tested the results for some </w:t>
      </w:r>
      <w:r w:rsidR="004C02C1">
        <w:rPr>
          <w:lang w:val="en-CA"/>
        </w:rPr>
        <w:t xml:space="preserve">variations </w:t>
      </w:r>
      <w:r>
        <w:rPr>
          <w:lang w:val="en-CA"/>
        </w:rPr>
        <w:t>of the MMLM mode.</w:t>
      </w:r>
    </w:p>
    <w:p w14:paraId="31EC571E" w14:textId="041865DE" w:rsidR="00150254" w:rsidRDefault="00150254" w:rsidP="00150254">
      <w:pPr>
        <w:rPr>
          <w:lang w:val="en-CA"/>
        </w:rPr>
      </w:pPr>
      <w:r>
        <w:rPr>
          <w:lang w:val="en-CA"/>
        </w:rPr>
        <w:t>The MMLM mode described in above tests uses four reference luma sample lines above the current block to estimate the MMLM parameters. In the first test, we reduce the number of reference luma samples lines to be 2, thereby matching the number of lines of the CCLM mode (single mode</w:t>
      </w:r>
      <w:r w:rsidR="00C75583">
        <w:rPr>
          <w:lang w:val="en-CA"/>
        </w:rPr>
        <w:t>l</w:t>
      </w:r>
      <w:r>
        <w:rPr>
          <w:lang w:val="en-CA"/>
        </w:rPr>
        <w:t xml:space="preserve"> </w:t>
      </w:r>
      <w:r w:rsidR="00C75583">
        <w:rPr>
          <w:lang w:val="en-CA"/>
        </w:rPr>
        <w:t>CC</w:t>
      </w:r>
      <w:r>
        <w:rPr>
          <w:lang w:val="en-CA"/>
        </w:rPr>
        <w:t>LM mode that is part of the anchor). We have disabled Cb-to-Cr scaling to understand the gains coming from the MMLM mode on its own.</w:t>
      </w:r>
    </w:p>
    <w:p w14:paraId="4AA14354" w14:textId="1AE95FFD" w:rsidR="00F34867" w:rsidRDefault="00F34867" w:rsidP="00150254">
      <w:pPr>
        <w:rPr>
          <w:sz w:val="20"/>
        </w:rPr>
      </w:pPr>
    </w:p>
    <w:p w14:paraId="7F1585D8" w14:textId="17643A7B" w:rsidR="00F34867" w:rsidRDefault="00F34867" w:rsidP="00F34867">
      <w:pPr>
        <w:pStyle w:val="Caption"/>
        <w:keepNext/>
        <w:jc w:val="center"/>
      </w:pPr>
      <w:r>
        <w:t xml:space="preserve">Table </w:t>
      </w:r>
      <w:r w:rsidR="00EE3AA3">
        <w:rPr>
          <w:noProof/>
        </w:rPr>
        <w:fldChar w:fldCharType="begin"/>
      </w:r>
      <w:r w:rsidR="00EE3AA3">
        <w:rPr>
          <w:noProof/>
        </w:rPr>
        <w:instrText xml:space="preserve"> SEQ Table \* ARABIC </w:instrText>
      </w:r>
      <w:r w:rsidR="00EE3AA3">
        <w:rPr>
          <w:noProof/>
        </w:rPr>
        <w:fldChar w:fldCharType="separate"/>
      </w:r>
      <w:r w:rsidR="00E32CC2">
        <w:rPr>
          <w:noProof/>
        </w:rPr>
        <w:t>1</w:t>
      </w:r>
      <w:r w:rsidR="00EE3AA3">
        <w:rPr>
          <w:noProof/>
        </w:rPr>
        <w:fldChar w:fldCharType="end"/>
      </w:r>
      <w:r>
        <w:t>: Results using MMLM mode with 2 reference lines and no Cb-to-Cr scaling</w:t>
      </w:r>
    </w:p>
    <w:p w14:paraId="1A9FA318" w14:textId="32BD155D" w:rsidR="00F8546B" w:rsidRDefault="00F8546B" w:rsidP="00F37D76">
      <w:pPr>
        <w:jc w:val="center"/>
        <w:rPr>
          <w:lang w:val="en-CA"/>
        </w:rPr>
      </w:pPr>
      <w:r w:rsidRPr="00F8546B">
        <w:rPr>
          <w:noProof/>
        </w:rPr>
        <w:drawing>
          <wp:inline distT="0" distB="0" distL="0" distR="0" wp14:anchorId="6BBCA1F9" wp14:editId="1B67B0BE">
            <wp:extent cx="4429125" cy="1790700"/>
            <wp:effectExtent l="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29125" cy="1790700"/>
                    </a:xfrm>
                    <a:prstGeom prst="rect">
                      <a:avLst/>
                    </a:prstGeom>
                    <a:noFill/>
                    <a:ln>
                      <a:noFill/>
                    </a:ln>
                  </pic:spPr>
                </pic:pic>
              </a:graphicData>
            </a:graphic>
          </wp:inline>
        </w:drawing>
      </w:r>
    </w:p>
    <w:p w14:paraId="54EC568A" w14:textId="15F76D3E" w:rsidR="00150254" w:rsidRDefault="00F34867" w:rsidP="00150254">
      <w:pPr>
        <w:rPr>
          <w:lang w:val="en-CA"/>
        </w:rPr>
      </w:pPr>
      <w:r>
        <w:rPr>
          <w:lang w:val="en-CA"/>
        </w:rPr>
        <w:t>It is also interesting to observe the effect of restricting MMLM in cases where the two</w:t>
      </w:r>
      <w:r w:rsidR="003C2C79">
        <w:rPr>
          <w:lang w:val="en-CA"/>
        </w:rPr>
        <w:t xml:space="preserve"> above</w:t>
      </w:r>
      <w:r>
        <w:rPr>
          <w:lang w:val="en-CA"/>
        </w:rPr>
        <w:t xml:space="preserve"> reference lines </w:t>
      </w:r>
      <w:r w:rsidRPr="00F8546B">
        <w:rPr>
          <w:lang w:val="en-CA"/>
        </w:rPr>
        <w:t xml:space="preserve">above cross the CTU boundary. A comparison of Tables </w:t>
      </w:r>
      <w:r w:rsidR="00F8546B" w:rsidRPr="00F37D76">
        <w:rPr>
          <w:lang w:val="en-CA"/>
        </w:rPr>
        <w:t>1</w:t>
      </w:r>
      <w:r w:rsidRPr="00F37D76">
        <w:rPr>
          <w:lang w:val="en-CA"/>
        </w:rPr>
        <w:t xml:space="preserve"> and </w:t>
      </w:r>
      <w:r w:rsidR="00F8546B" w:rsidRPr="00F37D76">
        <w:rPr>
          <w:lang w:val="en-CA"/>
        </w:rPr>
        <w:t>2</w:t>
      </w:r>
      <w:r w:rsidRPr="00F8546B">
        <w:rPr>
          <w:lang w:val="en-CA"/>
        </w:rPr>
        <w:t xml:space="preserve"> give us the difference in performance by</w:t>
      </w:r>
      <w:r>
        <w:rPr>
          <w:lang w:val="en-CA"/>
        </w:rPr>
        <w:t xml:space="preserve"> imposition of the CTU-row constraint.</w:t>
      </w:r>
    </w:p>
    <w:p w14:paraId="7E1CB07B" w14:textId="09699671" w:rsidR="00F34867" w:rsidRDefault="00F34867" w:rsidP="00150254">
      <w:pPr>
        <w:rPr>
          <w:sz w:val="20"/>
        </w:rPr>
      </w:pPr>
    </w:p>
    <w:p w14:paraId="2D66D087" w14:textId="671A8796" w:rsidR="00B75027" w:rsidRPr="00BE71A4" w:rsidRDefault="00F34867" w:rsidP="00BE71A4">
      <w:pPr>
        <w:pStyle w:val="Caption"/>
        <w:keepNext/>
        <w:jc w:val="center"/>
      </w:pPr>
      <w:r>
        <w:lastRenderedPageBreak/>
        <w:t xml:space="preserve">Table </w:t>
      </w:r>
      <w:r w:rsidR="00EE3AA3">
        <w:rPr>
          <w:noProof/>
        </w:rPr>
        <w:fldChar w:fldCharType="begin"/>
      </w:r>
      <w:r w:rsidR="00EE3AA3">
        <w:rPr>
          <w:noProof/>
        </w:rPr>
        <w:instrText xml:space="preserve"> SEQ Table \* ARABIC </w:instrText>
      </w:r>
      <w:r w:rsidR="00EE3AA3">
        <w:rPr>
          <w:noProof/>
        </w:rPr>
        <w:fldChar w:fldCharType="separate"/>
      </w:r>
      <w:r w:rsidR="00E32CC2">
        <w:rPr>
          <w:noProof/>
        </w:rPr>
        <w:t>2</w:t>
      </w:r>
      <w:r w:rsidR="00EE3AA3">
        <w:rPr>
          <w:noProof/>
        </w:rPr>
        <w:fldChar w:fldCharType="end"/>
      </w:r>
      <w:r>
        <w:t xml:space="preserve">: </w:t>
      </w:r>
      <w:r w:rsidRPr="0095400B">
        <w:t>Results using MMLM mode with 2 reference lines and no Cb-to-Cr scaling</w:t>
      </w:r>
      <w:r>
        <w:t>, and MMLM restricted to not use reference samples that cross top CTU row boundary</w:t>
      </w:r>
    </w:p>
    <w:p w14:paraId="0C065A22" w14:textId="325AF94B" w:rsidR="00B75027" w:rsidRDefault="0015375F" w:rsidP="00BE71A4">
      <w:pPr>
        <w:jc w:val="center"/>
        <w:rPr>
          <w:lang w:val="en-CA"/>
        </w:rPr>
      </w:pPr>
      <w:r>
        <w:pict w14:anchorId="354223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141pt">
            <v:imagedata r:id="rId19" o:title=""/>
          </v:shape>
        </w:pict>
      </w:r>
    </w:p>
    <w:p w14:paraId="3A7CEB1D" w14:textId="0C7BEE17" w:rsidR="00F34867" w:rsidRDefault="00F34867" w:rsidP="00150254">
      <w:pPr>
        <w:rPr>
          <w:lang w:val="en-CA"/>
        </w:rPr>
      </w:pPr>
      <w:r>
        <w:rPr>
          <w:lang w:val="en-CA"/>
        </w:rPr>
        <w:t>In the second set of tests, we check the performance of MMLM mode where only one above line is used for the MMLM parameter estimation</w:t>
      </w:r>
      <w:r w:rsidR="00625FA9">
        <w:rPr>
          <w:lang w:val="en-CA"/>
        </w:rPr>
        <w:t>, when the reference line crosses the CTU boundary; for other cases, two above reference lines are</w:t>
      </w:r>
      <w:r>
        <w:rPr>
          <w:lang w:val="en-CA"/>
        </w:rPr>
        <w:t xml:space="preserve"> </w:t>
      </w:r>
      <w:r w:rsidR="00625FA9">
        <w:rPr>
          <w:lang w:val="en-CA"/>
        </w:rPr>
        <w:t xml:space="preserve">used to derive the MMLM parameters. </w:t>
      </w:r>
      <w:r>
        <w:rPr>
          <w:lang w:val="en-CA"/>
        </w:rPr>
        <w:t>It is noted that the CCLM mode is the same as that of anchor and has not been changed (uses two reference lines above)</w:t>
      </w:r>
      <w:r w:rsidR="00625FA9">
        <w:rPr>
          <w:lang w:val="en-CA"/>
        </w:rPr>
        <w:t>; the CTU restrictions are only applied for the tested method MMLM</w:t>
      </w:r>
      <w:r>
        <w:rPr>
          <w:lang w:val="en-CA"/>
        </w:rPr>
        <w:t xml:space="preserve">. Once again, the Cb-to-Cr scaling is disabled to show the gain of MMLM only. </w:t>
      </w:r>
    </w:p>
    <w:p w14:paraId="1035BFE2" w14:textId="413795D5" w:rsidR="00F34867" w:rsidRDefault="00F34867" w:rsidP="00150254">
      <w:pPr>
        <w:rPr>
          <w:sz w:val="20"/>
        </w:rPr>
      </w:pPr>
    </w:p>
    <w:p w14:paraId="53BF319C" w14:textId="5AD63CEB" w:rsidR="002B411E" w:rsidRDefault="002B411E" w:rsidP="002B411E">
      <w:pPr>
        <w:pStyle w:val="Caption"/>
        <w:keepNext/>
        <w:jc w:val="center"/>
      </w:pPr>
      <w:r>
        <w:t xml:space="preserve">Table </w:t>
      </w:r>
      <w:r w:rsidR="00EE3AA3">
        <w:rPr>
          <w:noProof/>
        </w:rPr>
        <w:fldChar w:fldCharType="begin"/>
      </w:r>
      <w:r w:rsidR="00EE3AA3">
        <w:rPr>
          <w:noProof/>
        </w:rPr>
        <w:instrText xml:space="preserve"> SEQ Table \* ARABIC </w:instrText>
      </w:r>
      <w:r w:rsidR="00EE3AA3">
        <w:rPr>
          <w:noProof/>
        </w:rPr>
        <w:fldChar w:fldCharType="separate"/>
      </w:r>
      <w:r w:rsidR="00E32CC2">
        <w:rPr>
          <w:noProof/>
        </w:rPr>
        <w:t>3</w:t>
      </w:r>
      <w:r w:rsidR="00EE3AA3">
        <w:rPr>
          <w:noProof/>
        </w:rPr>
        <w:fldChar w:fldCharType="end"/>
      </w:r>
      <w:r>
        <w:t xml:space="preserve">: </w:t>
      </w:r>
      <w:r w:rsidRPr="005C6DE7">
        <w:t xml:space="preserve">Results using MMLM mode with </w:t>
      </w:r>
      <w:r>
        <w:t>1</w:t>
      </w:r>
      <w:r w:rsidRPr="005C6DE7">
        <w:t xml:space="preserve"> reference line</w:t>
      </w:r>
      <w:r w:rsidR="00733DA2">
        <w:t xml:space="preserve"> above</w:t>
      </w:r>
      <w:r w:rsidRPr="005C6DE7">
        <w:t xml:space="preserve"> </w:t>
      </w:r>
      <w:r w:rsidR="003C2C79">
        <w:t xml:space="preserve">when the above reference line crosses the CTU boundary, and two reference lines in other cases, </w:t>
      </w:r>
      <w:r w:rsidRPr="005C6DE7">
        <w:t>and no Cb-to-Cr scaling</w:t>
      </w:r>
    </w:p>
    <w:p w14:paraId="544B2EDD" w14:textId="647D97DB" w:rsidR="003C2C79" w:rsidRDefault="00F8546B" w:rsidP="00F37D76">
      <w:pPr>
        <w:jc w:val="center"/>
        <w:rPr>
          <w:sz w:val="20"/>
        </w:rPr>
      </w:pPr>
      <w:r w:rsidRPr="00F8546B">
        <w:rPr>
          <w:noProof/>
        </w:rPr>
        <w:drawing>
          <wp:inline distT="0" distB="0" distL="0" distR="0" wp14:anchorId="79F5AA77" wp14:editId="5404A846">
            <wp:extent cx="4429125" cy="179070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29125" cy="1790700"/>
                    </a:xfrm>
                    <a:prstGeom prst="rect">
                      <a:avLst/>
                    </a:prstGeom>
                    <a:noFill/>
                    <a:ln>
                      <a:noFill/>
                    </a:ln>
                  </pic:spPr>
                </pic:pic>
              </a:graphicData>
            </a:graphic>
          </wp:inline>
        </w:drawing>
      </w:r>
    </w:p>
    <w:p w14:paraId="6C12B62B" w14:textId="62E6105E" w:rsidR="00B77E90" w:rsidRDefault="00F8546B" w:rsidP="00E11923">
      <w:pPr>
        <w:pStyle w:val="Heading1"/>
        <w:rPr>
          <w:lang w:val="en-CA"/>
        </w:rPr>
      </w:pPr>
      <w:r w:rsidDel="00F8546B">
        <w:rPr>
          <w:lang w:val="en-CA"/>
        </w:rPr>
        <w:t xml:space="preserve"> </w:t>
      </w:r>
      <w:r w:rsidR="00B77E90">
        <w:rPr>
          <w:lang w:val="en-CA"/>
        </w:rPr>
        <w:t>Acknowledgements</w:t>
      </w:r>
    </w:p>
    <w:p w14:paraId="48F01286" w14:textId="366D2276" w:rsidR="00B77E90" w:rsidRPr="00B77E90" w:rsidRDefault="00B77E90" w:rsidP="00B77E90">
      <w:pPr>
        <w:rPr>
          <w:lang w:val="en-CA"/>
        </w:rPr>
      </w:pPr>
      <w:r>
        <w:rPr>
          <w:lang w:val="en-CA"/>
        </w:rPr>
        <w:t>We would like to thank LGE, Chips&amp;Media and Canon for cross-checking</w:t>
      </w:r>
      <w:r w:rsidR="00150254">
        <w:rPr>
          <w:lang w:val="en-CA"/>
        </w:rPr>
        <w:t xml:space="preserve"> </w:t>
      </w:r>
      <w:r w:rsidR="00C730FB">
        <w:rPr>
          <w:lang w:val="en-CA"/>
        </w:rPr>
        <w:t>the CE</w:t>
      </w:r>
      <w:r w:rsidR="00150254">
        <w:rPr>
          <w:lang w:val="en-CA"/>
        </w:rPr>
        <w:t xml:space="preserve"> tests</w:t>
      </w:r>
      <w:r>
        <w:rPr>
          <w:lang w:val="en-CA"/>
        </w:rPr>
        <w:t>.</w:t>
      </w:r>
    </w:p>
    <w:bookmarkEnd w:id="1"/>
    <w:p w14:paraId="5F0CF8E4" w14:textId="094FC888" w:rsidR="001F2594" w:rsidRPr="005B217D" w:rsidRDefault="001F2594" w:rsidP="00E11923">
      <w:pPr>
        <w:pStyle w:val="Heading1"/>
        <w:rPr>
          <w:lang w:val="en-CA"/>
        </w:rPr>
      </w:pPr>
      <w:r w:rsidRPr="005B217D">
        <w:rPr>
          <w:lang w:val="en-CA"/>
        </w:rPr>
        <w:t>Patent rights declaration</w:t>
      </w:r>
    </w:p>
    <w:p w14:paraId="7A9B4D21" w14:textId="5EAC3250" w:rsidR="00342FF4" w:rsidRPr="005B217D" w:rsidRDefault="00B77E90" w:rsidP="009234A5">
      <w:pPr>
        <w:rPr>
          <w:szCs w:val="22"/>
          <w:lang w:val="en-CA"/>
        </w:rPr>
      </w:pPr>
      <w:r w:rsidRPr="00CB2E07">
        <w:rPr>
          <w:b/>
          <w:szCs w:val="22"/>
          <w:lang w:val="en-CA"/>
        </w:rPr>
        <w:t>Qualcomm Inc.</w:t>
      </w:r>
      <w:r w:rsidR="001F2594" w:rsidRPr="00CB2E07">
        <w:rPr>
          <w:b/>
          <w:szCs w:val="22"/>
          <w:lang w:val="en-CA"/>
        </w:rPr>
        <w:t xml:space="preserve"> may have </w:t>
      </w:r>
      <w:r w:rsidR="0098551D" w:rsidRPr="00CB2E07">
        <w:rPr>
          <w:b/>
          <w:szCs w:val="22"/>
          <w:lang w:val="en-CA"/>
        </w:rPr>
        <w:t>current or pending</w:t>
      </w:r>
      <w:r w:rsidR="001F2594" w:rsidRPr="00CB2E07">
        <w:rPr>
          <w:b/>
          <w:szCs w:val="22"/>
          <w:lang w:val="en-CA"/>
        </w:rPr>
        <w:t xml:space="preserve"> </w:t>
      </w:r>
      <w:r w:rsidR="0098551D" w:rsidRPr="00CB2E07">
        <w:rPr>
          <w:b/>
          <w:szCs w:val="22"/>
          <w:lang w:val="en-CA"/>
        </w:rPr>
        <w:t xml:space="preserve">patent rights </w:t>
      </w:r>
      <w:r w:rsidR="001F2594" w:rsidRPr="00CB2E07">
        <w:rPr>
          <w:b/>
          <w:szCs w:val="22"/>
          <w:lang w:val="en-CA"/>
        </w:rPr>
        <w:t xml:space="preserve">relating to the technology described </w:t>
      </w:r>
      <w:r w:rsidR="002F164D" w:rsidRPr="00CB2E07">
        <w:rPr>
          <w:b/>
          <w:szCs w:val="22"/>
          <w:lang w:val="en-CA"/>
        </w:rPr>
        <w:t>in</w:t>
      </w:r>
      <w:r w:rsidR="002F164D" w:rsidRPr="005B217D">
        <w:rPr>
          <w:b/>
          <w:szCs w:val="22"/>
          <w:lang w:val="en-CA"/>
        </w:rPr>
        <w:t xml:space="preserve">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FD838" w14:textId="77777777" w:rsidR="0015375F" w:rsidRDefault="0015375F">
      <w:r>
        <w:separator/>
      </w:r>
    </w:p>
  </w:endnote>
  <w:endnote w:type="continuationSeparator" w:id="0">
    <w:p w14:paraId="74DC7703" w14:textId="77777777" w:rsidR="0015375F" w:rsidRDefault="00153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5FB407F" w:rsidR="00EE3AA3" w:rsidRPr="00C00DDE" w:rsidRDefault="00EE3AA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6027F">
      <w:rPr>
        <w:rStyle w:val="PageNumber"/>
        <w:noProof/>
      </w:rPr>
      <w:t>2018-09-25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91566" w14:textId="77777777" w:rsidR="0015375F" w:rsidRDefault="0015375F">
      <w:r>
        <w:separator/>
      </w:r>
    </w:p>
  </w:footnote>
  <w:footnote w:type="continuationSeparator" w:id="0">
    <w:p w14:paraId="20AAE1F5" w14:textId="77777777" w:rsidR="0015375F" w:rsidRDefault="001537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322D6"/>
    <w:multiLevelType w:val="hybridMultilevel"/>
    <w:tmpl w:val="41DAD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C956D5"/>
    <w:multiLevelType w:val="hybridMultilevel"/>
    <w:tmpl w:val="1D3E1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D727558"/>
    <w:multiLevelType w:val="hybridMultilevel"/>
    <w:tmpl w:val="98D6CBD8"/>
    <w:lvl w:ilvl="0" w:tplc="7A9C410A">
      <w:start w:val="6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12"/>
  </w:num>
  <w:num w:numId="13">
    <w:abstractNumId w:val="7"/>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00C"/>
    <w:rsid w:val="00014D34"/>
    <w:rsid w:val="000308A3"/>
    <w:rsid w:val="000458BC"/>
    <w:rsid w:val="00045C41"/>
    <w:rsid w:val="00046C03"/>
    <w:rsid w:val="00064BAE"/>
    <w:rsid w:val="00065039"/>
    <w:rsid w:val="0007614F"/>
    <w:rsid w:val="00081398"/>
    <w:rsid w:val="00094479"/>
    <w:rsid w:val="000B0C0F"/>
    <w:rsid w:val="000B1C6B"/>
    <w:rsid w:val="000B4FF9"/>
    <w:rsid w:val="000C09AC"/>
    <w:rsid w:val="000D528A"/>
    <w:rsid w:val="000E00F3"/>
    <w:rsid w:val="000F158C"/>
    <w:rsid w:val="00102F3D"/>
    <w:rsid w:val="00124E38"/>
    <w:rsid w:val="0012580B"/>
    <w:rsid w:val="00131F90"/>
    <w:rsid w:val="0013458C"/>
    <w:rsid w:val="0013526E"/>
    <w:rsid w:val="00146152"/>
    <w:rsid w:val="00150254"/>
    <w:rsid w:val="0015375F"/>
    <w:rsid w:val="00155526"/>
    <w:rsid w:val="00171371"/>
    <w:rsid w:val="00174E69"/>
    <w:rsid w:val="00175A24"/>
    <w:rsid w:val="00187E58"/>
    <w:rsid w:val="001A297E"/>
    <w:rsid w:val="001A368E"/>
    <w:rsid w:val="001A7329"/>
    <w:rsid w:val="001A792F"/>
    <w:rsid w:val="001B4E28"/>
    <w:rsid w:val="001C3525"/>
    <w:rsid w:val="001C3AFB"/>
    <w:rsid w:val="001D1BD2"/>
    <w:rsid w:val="001D4AD6"/>
    <w:rsid w:val="001D635E"/>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B411E"/>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C2C79"/>
    <w:rsid w:val="003D6342"/>
    <w:rsid w:val="003E6F90"/>
    <w:rsid w:val="003E73ED"/>
    <w:rsid w:val="003F48C0"/>
    <w:rsid w:val="003F5D0F"/>
    <w:rsid w:val="00414101"/>
    <w:rsid w:val="004219CF"/>
    <w:rsid w:val="004234F0"/>
    <w:rsid w:val="00431829"/>
    <w:rsid w:val="00433DDB"/>
    <w:rsid w:val="00435A29"/>
    <w:rsid w:val="00437619"/>
    <w:rsid w:val="00465A1E"/>
    <w:rsid w:val="0049445A"/>
    <w:rsid w:val="004A2A63"/>
    <w:rsid w:val="004B210C"/>
    <w:rsid w:val="004C02C1"/>
    <w:rsid w:val="004D405F"/>
    <w:rsid w:val="004E4F4F"/>
    <w:rsid w:val="004E6789"/>
    <w:rsid w:val="004F61E3"/>
    <w:rsid w:val="00502E10"/>
    <w:rsid w:val="0051015C"/>
    <w:rsid w:val="00516CF1"/>
    <w:rsid w:val="00531AE9"/>
    <w:rsid w:val="00550A66"/>
    <w:rsid w:val="00567EC7"/>
    <w:rsid w:val="00570013"/>
    <w:rsid w:val="005801A2"/>
    <w:rsid w:val="005952A5"/>
    <w:rsid w:val="005A33A1"/>
    <w:rsid w:val="005B217D"/>
    <w:rsid w:val="005C385F"/>
    <w:rsid w:val="005E1AC6"/>
    <w:rsid w:val="005E4F8C"/>
    <w:rsid w:val="005F6F1B"/>
    <w:rsid w:val="00601B44"/>
    <w:rsid w:val="00615995"/>
    <w:rsid w:val="00616155"/>
    <w:rsid w:val="00624B33"/>
    <w:rsid w:val="00625FA9"/>
    <w:rsid w:val="0063041A"/>
    <w:rsid w:val="00630AA2"/>
    <w:rsid w:val="00646707"/>
    <w:rsid w:val="00657F7E"/>
    <w:rsid w:val="00662E58"/>
    <w:rsid w:val="006637F2"/>
    <w:rsid w:val="006642A5"/>
    <w:rsid w:val="00664DCF"/>
    <w:rsid w:val="00681027"/>
    <w:rsid w:val="006C5D39"/>
    <w:rsid w:val="006D4EB4"/>
    <w:rsid w:val="006D6D9B"/>
    <w:rsid w:val="006E2810"/>
    <w:rsid w:val="006E5417"/>
    <w:rsid w:val="006F0794"/>
    <w:rsid w:val="007023DE"/>
    <w:rsid w:val="00712F60"/>
    <w:rsid w:val="00720E3B"/>
    <w:rsid w:val="00733DA2"/>
    <w:rsid w:val="0074393F"/>
    <w:rsid w:val="00745F6B"/>
    <w:rsid w:val="00746F35"/>
    <w:rsid w:val="0075585E"/>
    <w:rsid w:val="00770571"/>
    <w:rsid w:val="007768FF"/>
    <w:rsid w:val="007824D3"/>
    <w:rsid w:val="00796EE3"/>
    <w:rsid w:val="007A7D29"/>
    <w:rsid w:val="007B4AB8"/>
    <w:rsid w:val="007C6691"/>
    <w:rsid w:val="007D1181"/>
    <w:rsid w:val="007E01A3"/>
    <w:rsid w:val="007F1F8B"/>
    <w:rsid w:val="007F67A1"/>
    <w:rsid w:val="0080401E"/>
    <w:rsid w:val="00811C05"/>
    <w:rsid w:val="008206C8"/>
    <w:rsid w:val="0086387C"/>
    <w:rsid w:val="00874A6C"/>
    <w:rsid w:val="00876C65"/>
    <w:rsid w:val="00890091"/>
    <w:rsid w:val="008A4B4C"/>
    <w:rsid w:val="008C239F"/>
    <w:rsid w:val="008E480C"/>
    <w:rsid w:val="00907757"/>
    <w:rsid w:val="009150E5"/>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46843"/>
    <w:rsid w:val="00A52E42"/>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027"/>
    <w:rsid w:val="00B75A51"/>
    <w:rsid w:val="00B77E90"/>
    <w:rsid w:val="00B827C6"/>
    <w:rsid w:val="00B94B06"/>
    <w:rsid w:val="00B94C28"/>
    <w:rsid w:val="00BC10BA"/>
    <w:rsid w:val="00BC5AFD"/>
    <w:rsid w:val="00BE71A4"/>
    <w:rsid w:val="00C00DDE"/>
    <w:rsid w:val="00C02753"/>
    <w:rsid w:val="00C04F43"/>
    <w:rsid w:val="00C0609D"/>
    <w:rsid w:val="00C115AB"/>
    <w:rsid w:val="00C26CCB"/>
    <w:rsid w:val="00C30249"/>
    <w:rsid w:val="00C3723B"/>
    <w:rsid w:val="00C42466"/>
    <w:rsid w:val="00C606C9"/>
    <w:rsid w:val="00C730FB"/>
    <w:rsid w:val="00C75583"/>
    <w:rsid w:val="00C80288"/>
    <w:rsid w:val="00C84003"/>
    <w:rsid w:val="00C90650"/>
    <w:rsid w:val="00C97D78"/>
    <w:rsid w:val="00CB2E07"/>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0E8E"/>
    <w:rsid w:val="00DE1C7C"/>
    <w:rsid w:val="00DE6B43"/>
    <w:rsid w:val="00E11923"/>
    <w:rsid w:val="00E262D4"/>
    <w:rsid w:val="00E32CC2"/>
    <w:rsid w:val="00E36250"/>
    <w:rsid w:val="00E47F2D"/>
    <w:rsid w:val="00E54511"/>
    <w:rsid w:val="00E6027F"/>
    <w:rsid w:val="00E61DAC"/>
    <w:rsid w:val="00E72B80"/>
    <w:rsid w:val="00E75FE3"/>
    <w:rsid w:val="00E86C4C"/>
    <w:rsid w:val="00E907A3"/>
    <w:rsid w:val="00EA5AE0"/>
    <w:rsid w:val="00EB56E1"/>
    <w:rsid w:val="00EB7AB1"/>
    <w:rsid w:val="00EE3AA3"/>
    <w:rsid w:val="00EE7CD8"/>
    <w:rsid w:val="00EF37F6"/>
    <w:rsid w:val="00EF48CC"/>
    <w:rsid w:val="00F00801"/>
    <w:rsid w:val="00F1038A"/>
    <w:rsid w:val="00F2488D"/>
    <w:rsid w:val="00F27DCB"/>
    <w:rsid w:val="00F34867"/>
    <w:rsid w:val="00F37D76"/>
    <w:rsid w:val="00F601A0"/>
    <w:rsid w:val="00F712E9"/>
    <w:rsid w:val="00F72E96"/>
    <w:rsid w:val="00F73032"/>
    <w:rsid w:val="00F848FC"/>
    <w:rsid w:val="00F8546B"/>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F34867"/>
    <w:pPr>
      <w:spacing w:before="0" w:after="200"/>
    </w:pPr>
    <w:rPr>
      <w:i/>
      <w:iCs/>
      <w:color w:val="44546A" w:themeColor="text2"/>
      <w:sz w:val="18"/>
      <w:szCs w:val="18"/>
    </w:rPr>
  </w:style>
  <w:style w:type="character" w:styleId="CommentReference">
    <w:name w:val="annotation reference"/>
    <w:basedOn w:val="DefaultParagraphFont"/>
    <w:rsid w:val="00014D34"/>
    <w:rPr>
      <w:sz w:val="16"/>
      <w:szCs w:val="16"/>
    </w:rPr>
  </w:style>
  <w:style w:type="paragraph" w:styleId="CommentText">
    <w:name w:val="annotation text"/>
    <w:basedOn w:val="Normal"/>
    <w:link w:val="CommentTextChar"/>
    <w:rsid w:val="00014D34"/>
    <w:rPr>
      <w:sz w:val="20"/>
    </w:rPr>
  </w:style>
  <w:style w:type="character" w:customStyle="1" w:styleId="CommentTextChar">
    <w:name w:val="Comment Text Char"/>
    <w:basedOn w:val="DefaultParagraphFont"/>
    <w:link w:val="CommentText"/>
    <w:rsid w:val="00014D34"/>
  </w:style>
  <w:style w:type="paragraph" w:styleId="CommentSubject">
    <w:name w:val="annotation subject"/>
    <w:basedOn w:val="CommentText"/>
    <w:next w:val="CommentText"/>
    <w:link w:val="CommentSubjectChar"/>
    <w:rsid w:val="00014D34"/>
    <w:rPr>
      <w:b/>
      <w:bCs/>
    </w:rPr>
  </w:style>
  <w:style w:type="character" w:customStyle="1" w:styleId="CommentSubjectChar">
    <w:name w:val="Comment Subject Char"/>
    <w:basedOn w:val="CommentTextChar"/>
    <w:link w:val="CommentSubject"/>
    <w:rsid w:val="00014D34"/>
    <w:rPr>
      <w:b/>
      <w:bCs/>
    </w:rPr>
  </w:style>
  <w:style w:type="paragraph" w:styleId="Revision">
    <w:name w:val="Revision"/>
    <w:hidden/>
    <w:uiPriority w:val="99"/>
    <w:semiHidden/>
    <w:rsid w:val="00F27DCB"/>
    <w:rPr>
      <w:sz w:val="22"/>
    </w:rPr>
  </w:style>
  <w:style w:type="paragraph" w:styleId="ListParagraph">
    <w:name w:val="List Paragraph"/>
    <w:basedOn w:val="Normal"/>
    <w:uiPriority w:val="34"/>
    <w:qFormat/>
    <w:rsid w:val="00DE0E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4360">
      <w:bodyDiv w:val="1"/>
      <w:marLeft w:val="0"/>
      <w:marRight w:val="0"/>
      <w:marTop w:val="0"/>
      <w:marBottom w:val="0"/>
      <w:divBdr>
        <w:top w:val="none" w:sz="0" w:space="0" w:color="auto"/>
        <w:left w:val="none" w:sz="0" w:space="0" w:color="auto"/>
        <w:bottom w:val="none" w:sz="0" w:space="0" w:color="auto"/>
        <w:right w:val="none" w:sz="0" w:space="0" w:color="auto"/>
      </w:divBdr>
    </w:div>
    <w:div w:id="20786671">
      <w:bodyDiv w:val="1"/>
      <w:marLeft w:val="0"/>
      <w:marRight w:val="0"/>
      <w:marTop w:val="0"/>
      <w:marBottom w:val="0"/>
      <w:divBdr>
        <w:top w:val="none" w:sz="0" w:space="0" w:color="auto"/>
        <w:left w:val="none" w:sz="0" w:space="0" w:color="auto"/>
        <w:bottom w:val="none" w:sz="0" w:space="0" w:color="auto"/>
        <w:right w:val="none" w:sz="0" w:space="0" w:color="auto"/>
      </w:divBdr>
    </w:div>
    <w:div w:id="213079969">
      <w:bodyDiv w:val="1"/>
      <w:marLeft w:val="0"/>
      <w:marRight w:val="0"/>
      <w:marTop w:val="0"/>
      <w:marBottom w:val="0"/>
      <w:divBdr>
        <w:top w:val="none" w:sz="0" w:space="0" w:color="auto"/>
        <w:left w:val="none" w:sz="0" w:space="0" w:color="auto"/>
        <w:bottom w:val="none" w:sz="0" w:space="0" w:color="auto"/>
        <w:right w:val="none" w:sz="0" w:space="0" w:color="auto"/>
      </w:divBdr>
    </w:div>
    <w:div w:id="248122852">
      <w:bodyDiv w:val="1"/>
      <w:marLeft w:val="0"/>
      <w:marRight w:val="0"/>
      <w:marTop w:val="0"/>
      <w:marBottom w:val="0"/>
      <w:divBdr>
        <w:top w:val="none" w:sz="0" w:space="0" w:color="auto"/>
        <w:left w:val="none" w:sz="0" w:space="0" w:color="auto"/>
        <w:bottom w:val="none" w:sz="0" w:space="0" w:color="auto"/>
        <w:right w:val="none" w:sz="0" w:space="0" w:color="auto"/>
      </w:divBdr>
    </w:div>
    <w:div w:id="251865535">
      <w:bodyDiv w:val="1"/>
      <w:marLeft w:val="0"/>
      <w:marRight w:val="0"/>
      <w:marTop w:val="0"/>
      <w:marBottom w:val="0"/>
      <w:divBdr>
        <w:top w:val="none" w:sz="0" w:space="0" w:color="auto"/>
        <w:left w:val="none" w:sz="0" w:space="0" w:color="auto"/>
        <w:bottom w:val="none" w:sz="0" w:space="0" w:color="auto"/>
        <w:right w:val="none" w:sz="0" w:space="0" w:color="auto"/>
      </w:divBdr>
    </w:div>
    <w:div w:id="331494783">
      <w:bodyDiv w:val="1"/>
      <w:marLeft w:val="0"/>
      <w:marRight w:val="0"/>
      <w:marTop w:val="0"/>
      <w:marBottom w:val="0"/>
      <w:divBdr>
        <w:top w:val="none" w:sz="0" w:space="0" w:color="auto"/>
        <w:left w:val="none" w:sz="0" w:space="0" w:color="auto"/>
        <w:bottom w:val="none" w:sz="0" w:space="0" w:color="auto"/>
        <w:right w:val="none" w:sz="0" w:space="0" w:color="auto"/>
      </w:divBdr>
    </w:div>
    <w:div w:id="342518200">
      <w:bodyDiv w:val="1"/>
      <w:marLeft w:val="0"/>
      <w:marRight w:val="0"/>
      <w:marTop w:val="0"/>
      <w:marBottom w:val="0"/>
      <w:divBdr>
        <w:top w:val="none" w:sz="0" w:space="0" w:color="auto"/>
        <w:left w:val="none" w:sz="0" w:space="0" w:color="auto"/>
        <w:bottom w:val="none" w:sz="0" w:space="0" w:color="auto"/>
        <w:right w:val="none" w:sz="0" w:space="0" w:color="auto"/>
      </w:divBdr>
    </w:div>
    <w:div w:id="358822363">
      <w:bodyDiv w:val="1"/>
      <w:marLeft w:val="0"/>
      <w:marRight w:val="0"/>
      <w:marTop w:val="0"/>
      <w:marBottom w:val="0"/>
      <w:divBdr>
        <w:top w:val="none" w:sz="0" w:space="0" w:color="auto"/>
        <w:left w:val="none" w:sz="0" w:space="0" w:color="auto"/>
        <w:bottom w:val="none" w:sz="0" w:space="0" w:color="auto"/>
        <w:right w:val="none" w:sz="0" w:space="0" w:color="auto"/>
      </w:divBdr>
    </w:div>
    <w:div w:id="468981822">
      <w:bodyDiv w:val="1"/>
      <w:marLeft w:val="0"/>
      <w:marRight w:val="0"/>
      <w:marTop w:val="0"/>
      <w:marBottom w:val="0"/>
      <w:divBdr>
        <w:top w:val="none" w:sz="0" w:space="0" w:color="auto"/>
        <w:left w:val="none" w:sz="0" w:space="0" w:color="auto"/>
        <w:bottom w:val="none" w:sz="0" w:space="0" w:color="auto"/>
        <w:right w:val="none" w:sz="0" w:space="0" w:color="auto"/>
      </w:divBdr>
    </w:div>
    <w:div w:id="554508179">
      <w:bodyDiv w:val="1"/>
      <w:marLeft w:val="0"/>
      <w:marRight w:val="0"/>
      <w:marTop w:val="0"/>
      <w:marBottom w:val="0"/>
      <w:divBdr>
        <w:top w:val="none" w:sz="0" w:space="0" w:color="auto"/>
        <w:left w:val="none" w:sz="0" w:space="0" w:color="auto"/>
        <w:bottom w:val="none" w:sz="0" w:space="0" w:color="auto"/>
        <w:right w:val="none" w:sz="0" w:space="0" w:color="auto"/>
      </w:divBdr>
    </w:div>
    <w:div w:id="606888442">
      <w:bodyDiv w:val="1"/>
      <w:marLeft w:val="0"/>
      <w:marRight w:val="0"/>
      <w:marTop w:val="0"/>
      <w:marBottom w:val="0"/>
      <w:divBdr>
        <w:top w:val="none" w:sz="0" w:space="0" w:color="auto"/>
        <w:left w:val="none" w:sz="0" w:space="0" w:color="auto"/>
        <w:bottom w:val="none" w:sz="0" w:space="0" w:color="auto"/>
        <w:right w:val="none" w:sz="0" w:space="0" w:color="auto"/>
      </w:divBdr>
    </w:div>
    <w:div w:id="638607242">
      <w:bodyDiv w:val="1"/>
      <w:marLeft w:val="0"/>
      <w:marRight w:val="0"/>
      <w:marTop w:val="0"/>
      <w:marBottom w:val="0"/>
      <w:divBdr>
        <w:top w:val="none" w:sz="0" w:space="0" w:color="auto"/>
        <w:left w:val="none" w:sz="0" w:space="0" w:color="auto"/>
        <w:bottom w:val="none" w:sz="0" w:space="0" w:color="auto"/>
        <w:right w:val="none" w:sz="0" w:space="0" w:color="auto"/>
      </w:divBdr>
    </w:div>
    <w:div w:id="638724247">
      <w:bodyDiv w:val="1"/>
      <w:marLeft w:val="0"/>
      <w:marRight w:val="0"/>
      <w:marTop w:val="0"/>
      <w:marBottom w:val="0"/>
      <w:divBdr>
        <w:top w:val="none" w:sz="0" w:space="0" w:color="auto"/>
        <w:left w:val="none" w:sz="0" w:space="0" w:color="auto"/>
        <w:bottom w:val="none" w:sz="0" w:space="0" w:color="auto"/>
        <w:right w:val="none" w:sz="0" w:space="0" w:color="auto"/>
      </w:divBdr>
    </w:div>
    <w:div w:id="827014818">
      <w:bodyDiv w:val="1"/>
      <w:marLeft w:val="0"/>
      <w:marRight w:val="0"/>
      <w:marTop w:val="0"/>
      <w:marBottom w:val="0"/>
      <w:divBdr>
        <w:top w:val="none" w:sz="0" w:space="0" w:color="auto"/>
        <w:left w:val="none" w:sz="0" w:space="0" w:color="auto"/>
        <w:bottom w:val="none" w:sz="0" w:space="0" w:color="auto"/>
        <w:right w:val="none" w:sz="0" w:space="0" w:color="auto"/>
      </w:divBdr>
    </w:div>
    <w:div w:id="952249279">
      <w:bodyDiv w:val="1"/>
      <w:marLeft w:val="0"/>
      <w:marRight w:val="0"/>
      <w:marTop w:val="0"/>
      <w:marBottom w:val="0"/>
      <w:divBdr>
        <w:top w:val="none" w:sz="0" w:space="0" w:color="auto"/>
        <w:left w:val="none" w:sz="0" w:space="0" w:color="auto"/>
        <w:bottom w:val="none" w:sz="0" w:space="0" w:color="auto"/>
        <w:right w:val="none" w:sz="0" w:space="0" w:color="auto"/>
      </w:divBdr>
    </w:div>
    <w:div w:id="1263148001">
      <w:bodyDiv w:val="1"/>
      <w:marLeft w:val="0"/>
      <w:marRight w:val="0"/>
      <w:marTop w:val="0"/>
      <w:marBottom w:val="0"/>
      <w:divBdr>
        <w:top w:val="none" w:sz="0" w:space="0" w:color="auto"/>
        <w:left w:val="none" w:sz="0" w:space="0" w:color="auto"/>
        <w:bottom w:val="none" w:sz="0" w:space="0" w:color="auto"/>
        <w:right w:val="none" w:sz="0" w:space="0" w:color="auto"/>
      </w:divBdr>
    </w:div>
    <w:div w:id="1295866281">
      <w:bodyDiv w:val="1"/>
      <w:marLeft w:val="0"/>
      <w:marRight w:val="0"/>
      <w:marTop w:val="0"/>
      <w:marBottom w:val="0"/>
      <w:divBdr>
        <w:top w:val="none" w:sz="0" w:space="0" w:color="auto"/>
        <w:left w:val="none" w:sz="0" w:space="0" w:color="auto"/>
        <w:bottom w:val="none" w:sz="0" w:space="0" w:color="auto"/>
        <w:right w:val="none" w:sz="0" w:space="0" w:color="auto"/>
      </w:divBdr>
    </w:div>
    <w:div w:id="1298412997">
      <w:bodyDiv w:val="1"/>
      <w:marLeft w:val="0"/>
      <w:marRight w:val="0"/>
      <w:marTop w:val="0"/>
      <w:marBottom w:val="0"/>
      <w:divBdr>
        <w:top w:val="none" w:sz="0" w:space="0" w:color="auto"/>
        <w:left w:val="none" w:sz="0" w:space="0" w:color="auto"/>
        <w:bottom w:val="none" w:sz="0" w:space="0" w:color="auto"/>
        <w:right w:val="none" w:sz="0" w:space="0" w:color="auto"/>
      </w:divBdr>
    </w:div>
    <w:div w:id="1316757054">
      <w:bodyDiv w:val="1"/>
      <w:marLeft w:val="0"/>
      <w:marRight w:val="0"/>
      <w:marTop w:val="0"/>
      <w:marBottom w:val="0"/>
      <w:divBdr>
        <w:top w:val="none" w:sz="0" w:space="0" w:color="auto"/>
        <w:left w:val="none" w:sz="0" w:space="0" w:color="auto"/>
        <w:bottom w:val="none" w:sz="0" w:space="0" w:color="auto"/>
        <w:right w:val="none" w:sz="0" w:space="0" w:color="auto"/>
      </w:divBdr>
    </w:div>
    <w:div w:id="1402022809">
      <w:bodyDiv w:val="1"/>
      <w:marLeft w:val="0"/>
      <w:marRight w:val="0"/>
      <w:marTop w:val="0"/>
      <w:marBottom w:val="0"/>
      <w:divBdr>
        <w:top w:val="none" w:sz="0" w:space="0" w:color="auto"/>
        <w:left w:val="none" w:sz="0" w:space="0" w:color="auto"/>
        <w:bottom w:val="none" w:sz="0" w:space="0" w:color="auto"/>
        <w:right w:val="none" w:sz="0" w:space="0" w:color="auto"/>
      </w:divBdr>
    </w:div>
    <w:div w:id="1403261014">
      <w:bodyDiv w:val="1"/>
      <w:marLeft w:val="0"/>
      <w:marRight w:val="0"/>
      <w:marTop w:val="0"/>
      <w:marBottom w:val="0"/>
      <w:divBdr>
        <w:top w:val="none" w:sz="0" w:space="0" w:color="auto"/>
        <w:left w:val="none" w:sz="0" w:space="0" w:color="auto"/>
        <w:bottom w:val="none" w:sz="0" w:space="0" w:color="auto"/>
        <w:right w:val="none" w:sz="0" w:space="0" w:color="auto"/>
      </w:divBdr>
    </w:div>
    <w:div w:id="1431200652">
      <w:bodyDiv w:val="1"/>
      <w:marLeft w:val="0"/>
      <w:marRight w:val="0"/>
      <w:marTop w:val="0"/>
      <w:marBottom w:val="0"/>
      <w:divBdr>
        <w:top w:val="none" w:sz="0" w:space="0" w:color="auto"/>
        <w:left w:val="none" w:sz="0" w:space="0" w:color="auto"/>
        <w:bottom w:val="none" w:sz="0" w:space="0" w:color="auto"/>
        <w:right w:val="none" w:sz="0" w:space="0" w:color="auto"/>
      </w:divBdr>
    </w:div>
    <w:div w:id="1460799049">
      <w:bodyDiv w:val="1"/>
      <w:marLeft w:val="0"/>
      <w:marRight w:val="0"/>
      <w:marTop w:val="0"/>
      <w:marBottom w:val="0"/>
      <w:divBdr>
        <w:top w:val="none" w:sz="0" w:space="0" w:color="auto"/>
        <w:left w:val="none" w:sz="0" w:space="0" w:color="auto"/>
        <w:bottom w:val="none" w:sz="0" w:space="0" w:color="auto"/>
        <w:right w:val="none" w:sz="0" w:space="0" w:color="auto"/>
      </w:divBdr>
    </w:div>
    <w:div w:id="1496215532">
      <w:bodyDiv w:val="1"/>
      <w:marLeft w:val="0"/>
      <w:marRight w:val="0"/>
      <w:marTop w:val="0"/>
      <w:marBottom w:val="0"/>
      <w:divBdr>
        <w:top w:val="none" w:sz="0" w:space="0" w:color="auto"/>
        <w:left w:val="none" w:sz="0" w:space="0" w:color="auto"/>
        <w:bottom w:val="none" w:sz="0" w:space="0" w:color="auto"/>
        <w:right w:val="none" w:sz="0" w:space="0" w:color="auto"/>
      </w:divBdr>
    </w:div>
    <w:div w:id="1505633012">
      <w:bodyDiv w:val="1"/>
      <w:marLeft w:val="0"/>
      <w:marRight w:val="0"/>
      <w:marTop w:val="0"/>
      <w:marBottom w:val="0"/>
      <w:divBdr>
        <w:top w:val="none" w:sz="0" w:space="0" w:color="auto"/>
        <w:left w:val="none" w:sz="0" w:space="0" w:color="auto"/>
        <w:bottom w:val="none" w:sz="0" w:space="0" w:color="auto"/>
        <w:right w:val="none" w:sz="0" w:space="0" w:color="auto"/>
      </w:divBdr>
    </w:div>
    <w:div w:id="1520968064">
      <w:bodyDiv w:val="1"/>
      <w:marLeft w:val="0"/>
      <w:marRight w:val="0"/>
      <w:marTop w:val="0"/>
      <w:marBottom w:val="0"/>
      <w:divBdr>
        <w:top w:val="none" w:sz="0" w:space="0" w:color="auto"/>
        <w:left w:val="none" w:sz="0" w:space="0" w:color="auto"/>
        <w:bottom w:val="none" w:sz="0" w:space="0" w:color="auto"/>
        <w:right w:val="none" w:sz="0" w:space="0" w:color="auto"/>
      </w:divBdr>
    </w:div>
    <w:div w:id="1560509898">
      <w:bodyDiv w:val="1"/>
      <w:marLeft w:val="0"/>
      <w:marRight w:val="0"/>
      <w:marTop w:val="0"/>
      <w:marBottom w:val="0"/>
      <w:divBdr>
        <w:top w:val="none" w:sz="0" w:space="0" w:color="auto"/>
        <w:left w:val="none" w:sz="0" w:space="0" w:color="auto"/>
        <w:bottom w:val="none" w:sz="0" w:space="0" w:color="auto"/>
        <w:right w:val="none" w:sz="0" w:space="0" w:color="auto"/>
      </w:divBdr>
    </w:div>
    <w:div w:id="1574199391">
      <w:bodyDiv w:val="1"/>
      <w:marLeft w:val="0"/>
      <w:marRight w:val="0"/>
      <w:marTop w:val="0"/>
      <w:marBottom w:val="0"/>
      <w:divBdr>
        <w:top w:val="none" w:sz="0" w:space="0" w:color="auto"/>
        <w:left w:val="none" w:sz="0" w:space="0" w:color="auto"/>
        <w:bottom w:val="none" w:sz="0" w:space="0" w:color="auto"/>
        <w:right w:val="none" w:sz="0" w:space="0" w:color="auto"/>
      </w:divBdr>
    </w:div>
    <w:div w:id="1687248526">
      <w:bodyDiv w:val="1"/>
      <w:marLeft w:val="0"/>
      <w:marRight w:val="0"/>
      <w:marTop w:val="0"/>
      <w:marBottom w:val="0"/>
      <w:divBdr>
        <w:top w:val="none" w:sz="0" w:space="0" w:color="auto"/>
        <w:left w:val="none" w:sz="0" w:space="0" w:color="auto"/>
        <w:bottom w:val="none" w:sz="0" w:space="0" w:color="auto"/>
        <w:right w:val="none" w:sz="0" w:space="0" w:color="auto"/>
      </w:divBdr>
    </w:div>
    <w:div w:id="17034395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884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artak@qti.qualcomm.com" TargetMode="External"/><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vseregin@qti.qualcomm.com" TargetMode="External"/><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ertv@qti.qualcomm.com" TargetMode="Externa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hyperlink" Target="mailto:aramasub@qti.qualcomm.com" TargetMode="External"/><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41B21-F59C-4A40-A58C-BE2ABD1C8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6</Pages>
  <Words>1275</Words>
  <Characters>7270</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Adarsh Krishnan Ramasubramonian</cp:lastModifiedBy>
  <cp:revision>24</cp:revision>
  <cp:lastPrinted>1900-01-01T08:00:00Z</cp:lastPrinted>
  <dcterms:created xsi:type="dcterms:W3CDTF">2018-08-09T13:44:00Z</dcterms:created>
  <dcterms:modified xsi:type="dcterms:W3CDTF">2018-09-25T07:05:00Z</dcterms:modified>
</cp:coreProperties>
</file>