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F11364" w:rsidRPr="00F11364">
        <w:trPr>
          <w:cantSplit/>
        </w:trPr>
        <w:tc>
          <w:tcPr>
            <w:tcW w:w="4857" w:type="dxa"/>
            <w:gridSpan w:val="2"/>
          </w:tcPr>
          <w:p w:rsidR="00F11364" w:rsidRPr="00F11364" w:rsidRDefault="00F11364" w:rsidP="00F11364">
            <w:pPr>
              <w:rPr>
                <w:sz w:val="20"/>
              </w:rPr>
            </w:pPr>
            <w:bookmarkStart w:id="0" w:name="dsg" w:colFirst="1" w:colLast="1"/>
            <w:bookmarkStart w:id="1" w:name="dtableau"/>
            <w:r w:rsidRPr="00F11364">
              <w:rPr>
                <w:sz w:val="20"/>
              </w:rPr>
              <w:t>INTERNATIONAL TELECOMMUNICATION UNION</w:t>
            </w:r>
          </w:p>
        </w:tc>
        <w:tc>
          <w:tcPr>
            <w:tcW w:w="5066" w:type="dxa"/>
          </w:tcPr>
          <w:p w:rsidR="00F11364" w:rsidRPr="00F11364" w:rsidRDefault="00F11364" w:rsidP="00F11364">
            <w:pPr>
              <w:jc w:val="right"/>
              <w:rPr>
                <w:b/>
                <w:bCs/>
                <w:smallCaps/>
                <w:sz w:val="32"/>
              </w:rPr>
            </w:pPr>
            <w:r>
              <w:rPr>
                <w:b/>
                <w:bCs/>
                <w:smallCaps/>
                <w:sz w:val="32"/>
              </w:rPr>
              <w:t>IPTV-GSI</w:t>
            </w:r>
          </w:p>
        </w:tc>
      </w:tr>
      <w:tr w:rsidR="00F11364" w:rsidRPr="00F11364">
        <w:trPr>
          <w:cantSplit/>
          <w:trHeight w:val="461"/>
        </w:trPr>
        <w:tc>
          <w:tcPr>
            <w:tcW w:w="4857" w:type="dxa"/>
            <w:gridSpan w:val="2"/>
            <w:vMerge w:val="restart"/>
            <w:tcBorders>
              <w:bottom w:val="nil"/>
            </w:tcBorders>
          </w:tcPr>
          <w:p w:rsidR="00F11364" w:rsidRPr="00F11364" w:rsidRDefault="00F11364" w:rsidP="00F11364">
            <w:pPr>
              <w:rPr>
                <w:b/>
                <w:bCs/>
                <w:sz w:val="26"/>
              </w:rPr>
            </w:pPr>
            <w:bookmarkStart w:id="2" w:name="dnum" w:colFirst="1" w:colLast="1"/>
            <w:bookmarkEnd w:id="0"/>
            <w:r w:rsidRPr="00F11364">
              <w:rPr>
                <w:b/>
                <w:bCs/>
                <w:sz w:val="26"/>
              </w:rPr>
              <w:t>TELECOMMUNICATION</w:t>
            </w:r>
            <w:r w:rsidRPr="00F11364">
              <w:rPr>
                <w:b/>
                <w:bCs/>
                <w:sz w:val="26"/>
              </w:rPr>
              <w:br/>
              <w:t>STANDARDIZATION SECTOR</w:t>
            </w:r>
          </w:p>
          <w:p w:rsidR="00F11364" w:rsidRPr="00F11364" w:rsidRDefault="00F11364" w:rsidP="00F11364">
            <w:pPr>
              <w:rPr>
                <w:smallCaps/>
                <w:sz w:val="20"/>
              </w:rPr>
            </w:pPr>
            <w:r w:rsidRPr="00F11364">
              <w:rPr>
                <w:sz w:val="20"/>
              </w:rPr>
              <w:t xml:space="preserve">STUDY PERIOD </w:t>
            </w:r>
            <w:r>
              <w:rPr>
                <w:sz w:val="20"/>
              </w:rPr>
              <w:t>2009-2012</w:t>
            </w:r>
          </w:p>
        </w:tc>
        <w:tc>
          <w:tcPr>
            <w:tcW w:w="5066" w:type="dxa"/>
            <w:tcBorders>
              <w:bottom w:val="nil"/>
            </w:tcBorders>
          </w:tcPr>
          <w:p w:rsidR="00F11364" w:rsidRPr="00F11364" w:rsidRDefault="00F11364" w:rsidP="00F11364">
            <w:pPr>
              <w:jc w:val="right"/>
              <w:rPr>
                <w:b/>
                <w:bCs/>
                <w:sz w:val="40"/>
              </w:rPr>
            </w:pPr>
            <w:r>
              <w:rPr>
                <w:b/>
                <w:bCs/>
                <w:sz w:val="40"/>
              </w:rPr>
              <w:t>IPTV-GSI-C-475</w:t>
            </w:r>
          </w:p>
        </w:tc>
      </w:tr>
      <w:tr w:rsidR="00F11364" w:rsidRPr="00F11364">
        <w:trPr>
          <w:cantSplit/>
          <w:trHeight w:val="355"/>
        </w:trPr>
        <w:tc>
          <w:tcPr>
            <w:tcW w:w="4857" w:type="dxa"/>
            <w:gridSpan w:val="2"/>
            <w:vMerge/>
            <w:tcBorders>
              <w:bottom w:val="single" w:sz="12" w:space="0" w:color="auto"/>
            </w:tcBorders>
          </w:tcPr>
          <w:p w:rsidR="00F11364" w:rsidRPr="00F11364" w:rsidRDefault="00F11364" w:rsidP="00F11364">
            <w:pPr>
              <w:rPr>
                <w:b/>
                <w:bCs/>
                <w:sz w:val="26"/>
              </w:rPr>
            </w:pPr>
            <w:bookmarkStart w:id="3" w:name="dorlang" w:colFirst="1" w:colLast="1"/>
            <w:bookmarkEnd w:id="2"/>
          </w:p>
        </w:tc>
        <w:tc>
          <w:tcPr>
            <w:tcW w:w="5066" w:type="dxa"/>
            <w:tcBorders>
              <w:bottom w:val="single" w:sz="12" w:space="0" w:color="auto"/>
            </w:tcBorders>
          </w:tcPr>
          <w:p w:rsidR="00F11364" w:rsidRDefault="00F11364" w:rsidP="00F11364">
            <w:pPr>
              <w:jc w:val="right"/>
              <w:rPr>
                <w:b/>
                <w:bCs/>
                <w:sz w:val="28"/>
              </w:rPr>
            </w:pPr>
            <w:r>
              <w:rPr>
                <w:b/>
                <w:bCs/>
                <w:sz w:val="28"/>
              </w:rPr>
              <w:t>English only</w:t>
            </w:r>
          </w:p>
          <w:p w:rsidR="00F11364" w:rsidRPr="00F11364" w:rsidRDefault="00F11364" w:rsidP="00F11364">
            <w:pPr>
              <w:jc w:val="right"/>
              <w:rPr>
                <w:b/>
                <w:bCs/>
                <w:sz w:val="28"/>
              </w:rPr>
            </w:pPr>
            <w:r>
              <w:rPr>
                <w:b/>
                <w:bCs/>
                <w:sz w:val="28"/>
              </w:rPr>
              <w:t>Original: English</w:t>
            </w:r>
          </w:p>
        </w:tc>
      </w:tr>
      <w:tr w:rsidR="00F11364" w:rsidRPr="00F11364">
        <w:trPr>
          <w:cantSplit/>
          <w:trHeight w:val="357"/>
        </w:trPr>
        <w:tc>
          <w:tcPr>
            <w:tcW w:w="1617" w:type="dxa"/>
          </w:tcPr>
          <w:p w:rsidR="00F11364" w:rsidRPr="00F11364" w:rsidRDefault="00F11364" w:rsidP="00F11364">
            <w:pPr>
              <w:rPr>
                <w:b/>
                <w:bCs/>
              </w:rPr>
            </w:pPr>
            <w:bookmarkStart w:id="4" w:name="dmeeting" w:colFirst="2" w:colLast="2"/>
            <w:bookmarkStart w:id="5" w:name="dbluepink" w:colFirst="1" w:colLast="1"/>
            <w:bookmarkEnd w:id="3"/>
            <w:r w:rsidRPr="00F11364">
              <w:rPr>
                <w:b/>
                <w:bCs/>
              </w:rPr>
              <w:t>Question(s):</w:t>
            </w:r>
          </w:p>
        </w:tc>
        <w:tc>
          <w:tcPr>
            <w:tcW w:w="3240" w:type="dxa"/>
          </w:tcPr>
          <w:p w:rsidR="00F11364" w:rsidRPr="00F11364" w:rsidRDefault="00F11364" w:rsidP="00F11364">
            <w:r w:rsidRPr="00F11364">
              <w:t>13/16</w:t>
            </w:r>
          </w:p>
        </w:tc>
        <w:tc>
          <w:tcPr>
            <w:tcW w:w="5066" w:type="dxa"/>
          </w:tcPr>
          <w:p w:rsidR="00F11364" w:rsidRPr="00F11364" w:rsidRDefault="00F11364" w:rsidP="00F11364">
            <w:pPr>
              <w:jc w:val="right"/>
            </w:pPr>
            <w:r w:rsidRPr="00F11364">
              <w:t>Singapore, 20-27 September 2010</w:t>
            </w:r>
          </w:p>
        </w:tc>
      </w:tr>
      <w:tr w:rsidR="00F11364" w:rsidRPr="00F11364">
        <w:trPr>
          <w:cantSplit/>
          <w:trHeight w:val="357"/>
        </w:trPr>
        <w:tc>
          <w:tcPr>
            <w:tcW w:w="9923" w:type="dxa"/>
            <w:gridSpan w:val="3"/>
          </w:tcPr>
          <w:p w:rsidR="00F11364" w:rsidRPr="00F11364" w:rsidRDefault="00F11364" w:rsidP="00F11364">
            <w:pPr>
              <w:jc w:val="center"/>
              <w:rPr>
                <w:b/>
                <w:bCs/>
              </w:rPr>
            </w:pPr>
            <w:bookmarkStart w:id="6" w:name="dtitle" w:colFirst="0" w:colLast="0"/>
            <w:bookmarkEnd w:id="4"/>
            <w:bookmarkEnd w:id="5"/>
            <w:r w:rsidRPr="00F11364">
              <w:rPr>
                <w:b/>
                <w:bCs/>
              </w:rPr>
              <w:t>CONTRIBUTION</w:t>
            </w:r>
          </w:p>
        </w:tc>
      </w:tr>
      <w:tr w:rsidR="00F11364" w:rsidRPr="00F11364">
        <w:trPr>
          <w:cantSplit/>
          <w:trHeight w:val="357"/>
        </w:trPr>
        <w:tc>
          <w:tcPr>
            <w:tcW w:w="1617" w:type="dxa"/>
          </w:tcPr>
          <w:p w:rsidR="00F11364" w:rsidRPr="00F11364" w:rsidRDefault="00F11364" w:rsidP="00F11364">
            <w:pPr>
              <w:rPr>
                <w:b/>
                <w:bCs/>
              </w:rPr>
            </w:pPr>
            <w:bookmarkStart w:id="7" w:name="dsource" w:colFirst="1" w:colLast="1"/>
            <w:bookmarkEnd w:id="6"/>
            <w:r w:rsidRPr="00F11364">
              <w:rPr>
                <w:b/>
                <w:bCs/>
              </w:rPr>
              <w:t>Source:</w:t>
            </w:r>
          </w:p>
        </w:tc>
        <w:tc>
          <w:tcPr>
            <w:tcW w:w="8306" w:type="dxa"/>
            <w:gridSpan w:val="2"/>
          </w:tcPr>
          <w:p w:rsidR="00F11364" w:rsidRPr="00F11364" w:rsidRDefault="00F11364" w:rsidP="00F11364">
            <w:r w:rsidRPr="00F11364">
              <w:t>Cisco Systems</w:t>
            </w:r>
          </w:p>
        </w:tc>
      </w:tr>
      <w:tr w:rsidR="00F11364" w:rsidRPr="00F11364">
        <w:trPr>
          <w:cantSplit/>
          <w:trHeight w:val="357"/>
        </w:trPr>
        <w:tc>
          <w:tcPr>
            <w:tcW w:w="1617" w:type="dxa"/>
            <w:tcBorders>
              <w:bottom w:val="single" w:sz="12" w:space="0" w:color="auto"/>
            </w:tcBorders>
          </w:tcPr>
          <w:p w:rsidR="00F11364" w:rsidRPr="00F11364" w:rsidRDefault="00F11364" w:rsidP="00F11364">
            <w:pPr>
              <w:spacing w:after="120"/>
            </w:pPr>
            <w:bookmarkStart w:id="8" w:name="dtitle1" w:colFirst="1" w:colLast="1"/>
            <w:bookmarkEnd w:id="7"/>
            <w:r w:rsidRPr="00F11364">
              <w:rPr>
                <w:b/>
                <w:bCs/>
              </w:rPr>
              <w:t>Title:</w:t>
            </w:r>
          </w:p>
        </w:tc>
        <w:tc>
          <w:tcPr>
            <w:tcW w:w="8306" w:type="dxa"/>
            <w:gridSpan w:val="2"/>
            <w:tcBorders>
              <w:bottom w:val="single" w:sz="12" w:space="0" w:color="auto"/>
            </w:tcBorders>
          </w:tcPr>
          <w:p w:rsidR="00F11364" w:rsidRPr="00F11364" w:rsidRDefault="00F11364" w:rsidP="00F11364">
            <w:pPr>
              <w:spacing w:after="120"/>
            </w:pPr>
            <w:r w:rsidRPr="00F11364">
              <w:t>Proposals for revised text of H.IPTV-AM.0 regarding considerations for user permission method selection</w:t>
            </w:r>
          </w:p>
        </w:tc>
      </w:tr>
    </w:tbl>
    <w:bookmarkEnd w:id="1"/>
    <w:bookmarkEnd w:id="8"/>
    <w:p w:rsidR="00B91569" w:rsidRDefault="003A6D53" w:rsidP="00D30FDD">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Pr>
          <w:lang w:eastAsia="ko-KR"/>
        </w:rPr>
        <w:t>Abstract</w:t>
      </w:r>
    </w:p>
    <w:p w:rsidR="00B91569" w:rsidRPr="00B91569" w:rsidRDefault="00B91569" w:rsidP="00F646E6">
      <w:pPr>
        <w:ind w:left="238"/>
      </w:pPr>
      <w:r>
        <w:t xml:space="preserve">This contribution </w:t>
      </w:r>
      <w:r w:rsidR="00243E60">
        <w:t>proposes modified</w:t>
      </w:r>
      <w:r>
        <w:t xml:space="preserve"> content </w:t>
      </w:r>
      <w:r w:rsidR="00243E60">
        <w:t xml:space="preserve">for </w:t>
      </w:r>
      <w:r w:rsidR="00243E60">
        <w:rPr>
          <w:rFonts w:eastAsia="Malgun Gothic" w:hint="eastAsia"/>
          <w:lang w:eastAsia="ko-KR"/>
        </w:rPr>
        <w:t>H</w:t>
      </w:r>
      <w:r w:rsidR="00243E60" w:rsidRPr="0034067A">
        <w:rPr>
          <w:lang w:eastAsia="ko-KR"/>
        </w:rPr>
        <w:t>.</w:t>
      </w:r>
      <w:r w:rsidR="00243E60">
        <w:rPr>
          <w:rFonts w:eastAsia="Malgun Gothic"/>
          <w:lang w:eastAsia="ko-KR"/>
        </w:rPr>
        <w:t>IPTV</w:t>
      </w:r>
      <w:r w:rsidR="00243E60">
        <w:rPr>
          <w:rFonts w:eastAsia="Malgun Gothic" w:hint="eastAsia"/>
          <w:lang w:eastAsia="ko-KR"/>
        </w:rPr>
        <w:t>-</w:t>
      </w:r>
      <w:r w:rsidR="00822170">
        <w:rPr>
          <w:lang w:eastAsia="ko-KR"/>
        </w:rPr>
        <w:t>AM.0 “</w:t>
      </w:r>
      <w:r w:rsidR="00243E60" w:rsidRPr="00B052E8">
        <w:t>IPTV application event handling: Overall aspects of audience measurement for IPTV services”</w:t>
      </w:r>
      <w:r w:rsidR="00243E60">
        <w:t xml:space="preserve">. It </w:t>
      </w:r>
      <w:r w:rsidR="00F646E6">
        <w:t xml:space="preserve">proposes </w:t>
      </w:r>
      <w:r w:rsidR="007F4D40">
        <w:t xml:space="preserve">to </w:t>
      </w:r>
      <w:r w:rsidR="00F646E6">
        <w:t>add</w:t>
      </w:r>
      <w:r w:rsidR="00A672E6">
        <w:t xml:space="preserve"> </w:t>
      </w:r>
      <w:r w:rsidR="007F4D40">
        <w:t>a clause</w:t>
      </w:r>
      <w:r w:rsidR="00261B22">
        <w:t xml:space="preserve"> </w:t>
      </w:r>
      <w:r w:rsidR="00A630F3">
        <w:t xml:space="preserve">concerning </w:t>
      </w:r>
      <w:r w:rsidR="007F4D40" w:rsidRPr="007F4D40">
        <w:t xml:space="preserve">considerations for user permission method selection  </w:t>
      </w:r>
    </w:p>
    <w:p w:rsidR="009E0E1A" w:rsidRDefault="00ED06F0" w:rsidP="009E0E1A">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sidRPr="0034067A">
        <w:rPr>
          <w:lang w:eastAsia="ko-KR"/>
        </w:rPr>
        <w:t>Proposal</w:t>
      </w:r>
      <w:r w:rsidR="00243E60">
        <w:rPr>
          <w:lang w:eastAsia="ko-KR"/>
        </w:rPr>
        <w:t>s</w:t>
      </w:r>
    </w:p>
    <w:p w:rsidR="00F117F7" w:rsidRDefault="00F117F7" w:rsidP="007F4D40">
      <w:pPr>
        <w:pStyle w:val="ListParagraph"/>
        <w:numPr>
          <w:ilvl w:val="0"/>
          <w:numId w:val="18"/>
        </w:numPr>
      </w:pPr>
      <w:r w:rsidRPr="00F117F7">
        <w:t xml:space="preserve">Add clause in Appendix VI regarding “Considerations for user permission method selection”  </w:t>
      </w:r>
      <w:r>
        <w:t>and remove part 1 of note at end of clause 7.5</w:t>
      </w:r>
    </w:p>
    <w:p w:rsidR="00F117F7" w:rsidRDefault="00F117F7" w:rsidP="007F4D40">
      <w:pPr>
        <w:pStyle w:val="ListParagraph"/>
        <w:ind w:left="958"/>
      </w:pPr>
    </w:p>
    <w:p w:rsidR="00C724DE" w:rsidRDefault="00C724DE" w:rsidP="00C724DE"/>
    <w:p w:rsidR="00016575" w:rsidRPr="007F4D40" w:rsidRDefault="00016575" w:rsidP="007F4D40">
      <w:pPr>
        <w:spacing w:before="0"/>
      </w:pPr>
      <w:r>
        <w:br w:type="page"/>
      </w:r>
    </w:p>
    <w:p w:rsidR="00016575" w:rsidRDefault="007F4D40" w:rsidP="00016575">
      <w:r>
        <w:rPr>
          <w:b/>
        </w:rPr>
        <w:lastRenderedPageBreak/>
        <w:t>Content for proposal 1</w:t>
      </w:r>
      <w:r w:rsidR="00016575" w:rsidRPr="002A738D">
        <w:rPr>
          <w:b/>
        </w:rPr>
        <w:t xml:space="preserve"> – </w:t>
      </w:r>
      <w:r w:rsidR="00016575">
        <w:rPr>
          <w:b/>
        </w:rPr>
        <w:t xml:space="preserve">add clause in Appendix VI regarding “Considerations for </w:t>
      </w:r>
      <w:r w:rsidR="00016575" w:rsidRPr="00016575">
        <w:rPr>
          <w:b/>
        </w:rPr>
        <w:t>user permissio</w:t>
      </w:r>
      <w:r w:rsidR="00016575">
        <w:rPr>
          <w:b/>
        </w:rPr>
        <w:t>n method selection”</w:t>
      </w:r>
      <w:r w:rsidR="00016575" w:rsidRPr="00016575">
        <w:rPr>
          <w:b/>
        </w:rPr>
        <w:t xml:space="preserve">  </w:t>
      </w:r>
    </w:p>
    <w:p w:rsidR="00016575" w:rsidRDefault="00016575" w:rsidP="00016575"/>
    <w:p w:rsidR="00130D33" w:rsidRDefault="00130D33" w:rsidP="00016575">
      <w:r>
        <w:rPr>
          <w:b/>
        </w:rPr>
        <w:t xml:space="preserve">VI-2 Considerations for </w:t>
      </w:r>
      <w:r w:rsidRPr="00016575">
        <w:rPr>
          <w:b/>
        </w:rPr>
        <w:t>user permissio</w:t>
      </w:r>
      <w:r>
        <w:rPr>
          <w:b/>
        </w:rPr>
        <w:t>n method selection</w:t>
      </w:r>
    </w:p>
    <w:p w:rsidR="00016575" w:rsidRDefault="00130D33" w:rsidP="00016575">
      <w:r>
        <w:t xml:space="preserve">There are two </w:t>
      </w:r>
      <w:r w:rsidR="0038149E">
        <w:t xml:space="preserve">recommended </w:t>
      </w:r>
      <w:r>
        <w:t xml:space="preserve">methods to </w:t>
      </w:r>
      <w:r>
        <w:rPr>
          <w:lang w:eastAsia="ko-KR"/>
        </w:rPr>
        <w:t xml:space="preserve">support the requesting, receipt, storing of users response and </w:t>
      </w:r>
      <w:r>
        <w:t>to ensure that measurement happens with user permission, summarised in clauses 7.5.1 and 7.5.2. The following are considerations of the situations for which each method is best suited.</w:t>
      </w:r>
    </w:p>
    <w:p w:rsidR="00130D33" w:rsidRDefault="00130D33" w:rsidP="00016575"/>
    <w:p w:rsidR="0080233B" w:rsidRDefault="00130D33" w:rsidP="00F954BF">
      <w:pPr>
        <w:pStyle w:val="Heading3"/>
      </w:pPr>
      <w:bookmarkStart w:id="9" w:name="_Toc267897704"/>
      <w:r w:rsidRPr="00605170">
        <w:t>Configuration based user permission</w:t>
      </w:r>
      <w:bookmarkEnd w:id="9"/>
    </w:p>
    <w:p w:rsidR="0080233B" w:rsidRDefault="0080233B" w:rsidP="0080233B">
      <w:r>
        <w:t>In this method, the request and receipt of user permission occurs outside of the AM system, such as in the situation below.</w:t>
      </w:r>
    </w:p>
    <w:p w:rsidR="0080233B" w:rsidRDefault="0080233B" w:rsidP="0080233B">
      <w:r>
        <w:t>Conditions that may lead to this method being selected include:</w:t>
      </w:r>
    </w:p>
    <w:p w:rsidR="0080233B" w:rsidRDefault="0080233B" w:rsidP="0080233B">
      <w:pPr>
        <w:pStyle w:val="ListParagraph"/>
        <w:numPr>
          <w:ilvl w:val="0"/>
          <w:numId w:val="16"/>
        </w:numPr>
      </w:pPr>
      <w:r>
        <w:t xml:space="preserve">The deployment of a broad customer communications system, which lends itself to integration of user permission functions such as </w:t>
      </w:r>
      <w:r>
        <w:rPr>
          <w:lang w:eastAsia="ko-KR"/>
        </w:rPr>
        <w:t>directly asking for an</w:t>
      </w:r>
      <w:r w:rsidRPr="003F3D25">
        <w:rPr>
          <w:lang w:eastAsia="ko-KR"/>
        </w:rPr>
        <w:t xml:space="preserve"> end-user’s permission</w:t>
      </w:r>
      <w:r>
        <w:rPr>
          <w:lang w:eastAsia="ko-KR"/>
        </w:rPr>
        <w:t>, storing responses, reporting on user permission status, and aggregating users into segments based upon permission status.</w:t>
      </w:r>
    </w:p>
    <w:p w:rsidR="0080233B" w:rsidRDefault="0080233B" w:rsidP="0080233B">
      <w:pPr>
        <w:pStyle w:val="ListParagraph"/>
        <w:numPr>
          <w:ilvl w:val="0"/>
          <w:numId w:val="16"/>
        </w:numPr>
      </w:pPr>
      <w:r>
        <w:rPr>
          <w:lang w:eastAsia="ko-KR"/>
        </w:rPr>
        <w:t xml:space="preserve">A preference to communicate with users through either a customer-care channel, or </w:t>
      </w:r>
      <w:r w:rsidR="007C3261">
        <w:rPr>
          <w:lang w:eastAsia="ko-KR"/>
        </w:rPr>
        <w:t>a non-resident downloadable application</w:t>
      </w:r>
    </w:p>
    <w:p w:rsidR="0080233B" w:rsidRDefault="009D277F" w:rsidP="0080233B">
      <w:pPr>
        <w:pStyle w:val="ListParagraph"/>
        <w:numPr>
          <w:ilvl w:val="0"/>
          <w:numId w:val="16"/>
        </w:numPr>
      </w:pPr>
      <w:r>
        <w:rPr>
          <w:lang w:eastAsia="ko-KR"/>
        </w:rPr>
        <w:t>A desire to de-couple the permission system software from the audience measurement software.</w:t>
      </w:r>
      <w:r w:rsidR="0049483E">
        <w:rPr>
          <w:lang w:eastAsia="ko-KR"/>
        </w:rPr>
        <w:t xml:space="preserve"> This may be important if frequen</w:t>
      </w:r>
      <w:r w:rsidR="00561BAA">
        <w:rPr>
          <w:lang w:eastAsia="ko-KR"/>
        </w:rPr>
        <w:t>t revisions</w:t>
      </w:r>
      <w:r w:rsidR="0049483E">
        <w:rPr>
          <w:lang w:eastAsia="ko-KR"/>
        </w:rPr>
        <w:t xml:space="preserve"> or mult</w:t>
      </w:r>
      <w:r w:rsidR="00561BAA">
        <w:rPr>
          <w:lang w:eastAsia="ko-KR"/>
        </w:rPr>
        <w:t>iple versions (such as language or legislative zones</w:t>
      </w:r>
      <w:r w:rsidR="0049483E">
        <w:rPr>
          <w:lang w:eastAsia="ko-KR"/>
        </w:rPr>
        <w:t>) are expected.</w:t>
      </w:r>
    </w:p>
    <w:p w:rsidR="0080233B" w:rsidRDefault="001E0E0B" w:rsidP="0080233B">
      <w:r w:rsidRPr="001E0E0B">
        <w:rPr>
          <w:noProof/>
          <w:lang w:val="en-US" w:eastAsia="zh-CN"/>
        </w:rPr>
        <w:drawing>
          <wp:inline distT="0" distB="0" distL="0" distR="0">
            <wp:extent cx="5943600" cy="238887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0" cy="3369191"/>
                      <a:chOff x="533400" y="2209800"/>
                      <a:chExt cx="8382000" cy="3369191"/>
                    </a:xfrm>
                  </a:grpSpPr>
                  <a:grpSp>
                    <a:nvGrpSpPr>
                      <a:cNvPr id="44" name="Group 43"/>
                      <a:cNvGrpSpPr/>
                    </a:nvGrpSpPr>
                    <a:grpSpPr>
                      <a:xfrm>
                        <a:off x="533400" y="2209800"/>
                        <a:ext cx="8382000" cy="3369191"/>
                        <a:chOff x="533400" y="2209800"/>
                        <a:chExt cx="8382000" cy="3369191"/>
                      </a:xfrm>
                    </a:grpSpPr>
                    <a:sp>
                      <a:nvSpPr>
                        <a:cNvPr id="5" name="Rectangle 4"/>
                        <a:cNvSpPr/>
                      </a:nvSpPr>
                      <a:spPr bwMode="auto">
                        <a:xfrm>
                          <a:off x="533400" y="2743200"/>
                          <a:ext cx="914400" cy="6858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Stakeholder 1</a:t>
                            </a:r>
                          </a:p>
                        </a:txBody>
                        <a:useSpRect/>
                      </a:txSp>
                    </a:sp>
                    <a:sp>
                      <a:nvSpPr>
                        <a:cNvPr id="6" name="Rectangle 5"/>
                        <a:cNvSpPr/>
                      </a:nvSpPr>
                      <a:spPr bwMode="auto">
                        <a:xfrm>
                          <a:off x="7467600" y="2514600"/>
                          <a:ext cx="1295400" cy="9144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Permission level</a:t>
                            </a:r>
                            <a:r>
                              <a:rPr kumimoji="0" lang="en-US" sz="1100" b="0" i="0" u="none" strike="noStrike" cap="none" normalizeH="0" dirty="0" smtClean="0">
                                <a:ln>
                                  <a:noFill/>
                                </a:ln>
                                <a:solidFill>
                                  <a:schemeClr val="tx1"/>
                                </a:solidFill>
                                <a:effectLst/>
                                <a:latin typeface="Arial" charset="0"/>
                              </a:rPr>
                              <a:t> “A” </a:t>
                            </a:r>
                            <a:r>
                              <a:rPr lang="en-US" sz="1100" dirty="0" smtClean="0"/>
                              <a:t>a</a:t>
                            </a:r>
                            <a:r>
                              <a:rPr kumimoji="0" lang="en-US" sz="1100" b="0" i="0" u="none" strike="noStrike" cap="none" normalizeH="0" baseline="0" dirty="0" smtClean="0">
                                <a:ln>
                                  <a:noFill/>
                                </a:ln>
                                <a:solidFill>
                                  <a:schemeClr val="tx1"/>
                                </a:solidFill>
                                <a:effectLst/>
                                <a:latin typeface="Arial" charset="0"/>
                              </a:rPr>
                              <a:t>udience segment </a:t>
                            </a:r>
                          </a:p>
                          <a:p>
                            <a:pPr marL="0" marR="0" indent="0" algn="ctr" defTabSz="814388" rtl="0" eaLnBrk="0" fontAlgn="base" latinLnBrk="0" hangingPunct="0">
                              <a:lnSpc>
                                <a:spcPct val="75000"/>
                              </a:lnSpc>
                              <a:spcBef>
                                <a:spcPct val="55000"/>
                              </a:spcBef>
                              <a:spcAft>
                                <a:spcPct val="0"/>
                              </a:spcAft>
                              <a:buClrTx/>
                              <a:buSzTx/>
                              <a:buNone/>
                              <a:tabLst/>
                            </a:pPr>
                            <a:r>
                              <a:rPr lang="en-US" sz="1100" dirty="0" smtClean="0"/>
                              <a:t>E</a:t>
                            </a:r>
                            <a:r>
                              <a:rPr kumimoji="0" lang="en-US" sz="1100" b="0" i="0" u="none" strike="noStrike" cap="none" normalizeH="0" baseline="0" dirty="0" smtClean="0">
                                <a:ln>
                                  <a:noFill/>
                                </a:ln>
                                <a:solidFill>
                                  <a:schemeClr val="tx1"/>
                                </a:solidFill>
                                <a:effectLst/>
                                <a:latin typeface="Arial" charset="0"/>
                              </a:rPr>
                              <a:t>nd-u</a:t>
                            </a:r>
                            <a:r>
                              <a:rPr lang="en-US" sz="1100" dirty="0" smtClean="0"/>
                              <a:t>ser measurement function</a:t>
                            </a:r>
                            <a:endParaRPr kumimoji="0" lang="en-US" sz="1100" b="0" i="0" u="none" strike="noStrike" cap="none" normalizeH="0" baseline="0" dirty="0" smtClean="0">
                              <a:ln>
                                <a:noFill/>
                              </a:ln>
                              <a:solidFill>
                                <a:schemeClr val="tx1"/>
                              </a:solidFill>
                              <a:effectLst/>
                              <a:latin typeface="Arial" charset="0"/>
                            </a:endParaRPr>
                          </a:p>
                        </a:txBody>
                        <a:useSpRect/>
                      </a:txSp>
                    </a:sp>
                    <a:cxnSp>
                      <a:nvCxnSpPr>
                        <a:cNvPr id="7" name="Straight Arrow Connector 6"/>
                        <a:cNvCxnSpPr/>
                      </a:nvCxnSpPr>
                      <a:spPr bwMode="auto">
                        <a:xfrm rot="10800000" flipH="1" flipV="1">
                          <a:off x="1447800" y="2992525"/>
                          <a:ext cx="609600" cy="360275"/>
                        </a:xfrm>
                        <a:prstGeom prst="straightConnector1">
                          <a:avLst/>
                        </a:prstGeom>
                        <a:noFill/>
                        <a:ln w="9525" cap="flat" cmpd="sng" algn="ctr">
                          <a:solidFill>
                            <a:schemeClr val="accent1"/>
                          </a:solidFill>
                          <a:prstDash val="solid"/>
                          <a:round/>
                          <a:headEnd type="none" w="med" len="med"/>
                          <a:tailEnd type="arrow"/>
                        </a:ln>
                        <a:effectLst/>
                      </a:spPr>
                    </a:cxnSp>
                    <a:cxnSp>
                      <a:nvCxnSpPr>
                        <a:cNvPr id="8" name="Straight Arrow Connector 7"/>
                        <a:cNvCxnSpPr/>
                      </a:nvCxnSpPr>
                      <a:spPr bwMode="auto">
                        <a:xfrm rot="5400000" flipH="1" flipV="1">
                          <a:off x="1447800" y="3352800"/>
                          <a:ext cx="609600" cy="609600"/>
                        </a:xfrm>
                        <a:prstGeom prst="straightConnector1">
                          <a:avLst/>
                        </a:prstGeom>
                        <a:noFill/>
                        <a:ln w="9525" cap="flat" cmpd="sng" algn="ctr">
                          <a:solidFill>
                            <a:schemeClr val="accent1"/>
                          </a:solidFill>
                          <a:prstDash val="solid"/>
                          <a:round/>
                          <a:headEnd type="none" w="med" len="med"/>
                          <a:tailEnd type="arrow"/>
                        </a:ln>
                        <a:effectLst/>
                      </a:spPr>
                    </a:cxnSp>
                    <a:sp>
                      <a:nvSpPr>
                        <a:cNvPr id="9" name="TextBox 8"/>
                        <a:cNvSpPr txBox="1"/>
                      </a:nvSpPr>
                      <a:spPr>
                        <a:xfrm>
                          <a:off x="1447800" y="2743200"/>
                          <a:ext cx="1447800" cy="346249"/>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Orders (order details, directives)</a:t>
                            </a:r>
                            <a:endParaRPr lang="en-US" sz="1100" dirty="0"/>
                          </a:p>
                        </a:txBody>
                        <a:useSpRect/>
                      </a:txSp>
                    </a:sp>
                    <a:sp>
                      <a:nvSpPr>
                        <a:cNvPr id="10" name="TextBox 9"/>
                        <a:cNvSpPr txBox="1"/>
                      </a:nvSpPr>
                      <a:spPr>
                        <a:xfrm>
                          <a:off x="1524000" y="4038600"/>
                          <a:ext cx="685800" cy="219676"/>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Reports</a:t>
                            </a:r>
                            <a:endParaRPr lang="en-US" sz="1100" dirty="0"/>
                          </a:p>
                        </a:txBody>
                        <a:useSpRect/>
                      </a:txSp>
                    </a:sp>
                    <a:cxnSp>
                      <a:nvCxnSpPr>
                        <a:cNvPr id="11" name="Straight Arrow Connector 10"/>
                        <a:cNvCxnSpPr>
                          <a:endCxn id="6" idx="1"/>
                        </a:cNvCxnSpPr>
                      </a:nvCxnSpPr>
                      <a:spPr bwMode="auto">
                        <a:xfrm flipV="1">
                          <a:off x="6248400" y="2971800"/>
                          <a:ext cx="1219200" cy="381000"/>
                        </a:xfrm>
                        <a:prstGeom prst="straightConnector1">
                          <a:avLst/>
                        </a:prstGeom>
                        <a:noFill/>
                        <a:ln w="9525" cap="flat" cmpd="sng" algn="ctr">
                          <a:solidFill>
                            <a:srgbClr val="FFC000"/>
                          </a:solidFill>
                          <a:prstDash val="solid"/>
                          <a:round/>
                          <a:headEnd type="none" w="med" len="med"/>
                          <a:tailEnd type="arrow"/>
                        </a:ln>
                        <a:effectLst/>
                      </a:spPr>
                    </a:cxnSp>
                    <a:sp>
                      <a:nvSpPr>
                        <a:cNvPr id="12" name="TextBox 11"/>
                        <a:cNvSpPr txBox="1"/>
                      </a:nvSpPr>
                      <a:spPr>
                        <a:xfrm>
                          <a:off x="6172200" y="2743200"/>
                          <a:ext cx="1676400" cy="346633"/>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Measurement data requests</a:t>
                            </a:r>
                            <a:endParaRPr lang="en-US" sz="1100" dirty="0"/>
                          </a:p>
                        </a:txBody>
                        <a:useSpRect/>
                      </a:txSp>
                    </a:sp>
                    <a:sp>
                      <a:nvSpPr>
                        <a:cNvPr id="13" name="Rounded Rectangle 12"/>
                        <a:cNvSpPr/>
                      </a:nvSpPr>
                      <a:spPr bwMode="auto">
                        <a:xfrm>
                          <a:off x="4572000" y="3048000"/>
                          <a:ext cx="1676400" cy="1143000"/>
                        </a:xfrm>
                        <a:prstGeom prst="round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lgn="ctr" defTabSz="814388">
                              <a:buNone/>
                            </a:pPr>
                            <a:r>
                              <a:rPr lang="en-US" sz="1100" dirty="0" smtClean="0"/>
                              <a:t>AM aggregation functions</a:t>
                            </a:r>
                          </a:p>
                        </a:txBody>
                        <a:useSpRect/>
                      </a:txSp>
                    </a:sp>
                    <a:cxnSp>
                      <a:nvCxnSpPr>
                        <a:cNvPr id="14" name="Straight Arrow Connector 13"/>
                        <a:cNvCxnSpPr/>
                      </a:nvCxnSpPr>
                      <a:spPr bwMode="auto">
                        <a:xfrm>
                          <a:off x="6248400" y="3352800"/>
                          <a:ext cx="1219200" cy="609600"/>
                        </a:xfrm>
                        <a:prstGeom prst="straightConnector1">
                          <a:avLst/>
                        </a:prstGeom>
                        <a:noFill/>
                        <a:ln w="9525" cap="flat" cmpd="sng" algn="ctr">
                          <a:solidFill>
                            <a:srgbClr val="006666"/>
                          </a:solidFill>
                          <a:prstDash val="solid"/>
                          <a:round/>
                          <a:headEnd type="none" w="med" len="med"/>
                          <a:tailEnd type="arrow"/>
                        </a:ln>
                        <a:effectLst/>
                      </a:spPr>
                    </a:cxnSp>
                    <a:sp>
                      <a:nvSpPr>
                        <a:cNvPr id="15" name="TextBox 14"/>
                        <a:cNvSpPr txBox="1"/>
                      </a:nvSpPr>
                      <a:spPr>
                        <a:xfrm>
                          <a:off x="6248400" y="4114800"/>
                          <a:ext cx="1676400" cy="346633"/>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Measurement data reports</a:t>
                            </a:r>
                            <a:endParaRPr lang="en-US" sz="1100" dirty="0"/>
                          </a:p>
                        </a:txBody>
                        <a:useSpRect/>
                      </a:txSp>
                    </a:sp>
                    <a:cxnSp>
                      <a:nvCxnSpPr>
                        <a:cNvPr id="16" name="Straight Arrow Connector 15"/>
                        <a:cNvCxnSpPr/>
                      </a:nvCxnSpPr>
                      <a:spPr bwMode="auto">
                        <a:xfrm rot="10800000" flipV="1">
                          <a:off x="6248400" y="3276600"/>
                          <a:ext cx="1219200" cy="685800"/>
                        </a:xfrm>
                        <a:prstGeom prst="straightConnector1">
                          <a:avLst/>
                        </a:prstGeom>
                        <a:noFill/>
                        <a:ln w="9525" cap="flat" cmpd="sng" algn="ctr">
                          <a:solidFill>
                            <a:srgbClr val="92D050"/>
                          </a:solidFill>
                          <a:prstDash val="solid"/>
                          <a:round/>
                          <a:headEnd type="none" w="med" len="med"/>
                          <a:tailEnd type="arrow"/>
                        </a:ln>
                        <a:effectLst/>
                      </a:spPr>
                    </a:cxnSp>
                    <a:cxnSp>
                      <a:nvCxnSpPr>
                        <a:cNvPr id="17" name="Straight Arrow Connector 16"/>
                        <a:cNvCxnSpPr>
                          <a:stCxn id="41" idx="1"/>
                        </a:cNvCxnSpPr>
                      </a:nvCxnSpPr>
                      <a:spPr bwMode="auto">
                        <a:xfrm rot="10800000">
                          <a:off x="6248400" y="4038600"/>
                          <a:ext cx="1219200" cy="76200"/>
                        </a:xfrm>
                        <a:prstGeom prst="straightConnector1">
                          <a:avLst/>
                        </a:prstGeom>
                        <a:noFill/>
                        <a:ln w="9525" cap="flat" cmpd="sng" algn="ctr">
                          <a:solidFill>
                            <a:srgbClr val="3366CC"/>
                          </a:solidFill>
                          <a:prstDash val="solid"/>
                          <a:round/>
                          <a:headEnd type="none" w="med" len="med"/>
                          <a:tailEnd type="arrow"/>
                        </a:ln>
                        <a:effectLst/>
                      </a:spPr>
                    </a:cxnSp>
                    <a:cxnSp>
                      <a:nvCxnSpPr>
                        <a:cNvPr id="18" name="Straight Arrow Connector 17"/>
                        <a:cNvCxnSpPr/>
                      </a:nvCxnSpPr>
                      <a:spPr bwMode="auto">
                        <a:xfrm rot="10800000">
                          <a:off x="1447800" y="3276600"/>
                          <a:ext cx="609600" cy="381000"/>
                        </a:xfrm>
                        <a:prstGeom prst="straightConnector1">
                          <a:avLst/>
                        </a:prstGeom>
                        <a:noFill/>
                        <a:ln w="9525" cap="flat" cmpd="sng" algn="ctr">
                          <a:solidFill>
                            <a:srgbClr val="00B050"/>
                          </a:solidFill>
                          <a:prstDash val="solid"/>
                          <a:round/>
                          <a:headEnd type="none" w="med" len="med"/>
                          <a:tailEnd type="arrow"/>
                        </a:ln>
                        <a:effectLst/>
                      </a:spPr>
                    </a:cxnSp>
                    <a:cxnSp>
                      <a:nvCxnSpPr>
                        <a:cNvPr id="19" name="Straight Arrow Connector 18"/>
                        <a:cNvCxnSpPr/>
                      </a:nvCxnSpPr>
                      <a:spPr bwMode="auto">
                        <a:xfrm rot="5400000">
                          <a:off x="1447800" y="3657600"/>
                          <a:ext cx="609600" cy="609600"/>
                        </a:xfrm>
                        <a:prstGeom prst="straightConnector1">
                          <a:avLst/>
                        </a:prstGeom>
                        <a:noFill/>
                        <a:ln w="9525" cap="flat" cmpd="sng" algn="ctr">
                          <a:solidFill>
                            <a:srgbClr val="00B050"/>
                          </a:solidFill>
                          <a:prstDash val="solid"/>
                          <a:round/>
                          <a:headEnd type="none" w="med" len="med"/>
                          <a:tailEnd type="arrow"/>
                        </a:ln>
                        <a:effectLst/>
                      </a:spPr>
                    </a:cxnSp>
                    <a:sp>
                      <a:nvSpPr>
                        <a:cNvPr id="20" name="Rectangle 19"/>
                        <a:cNvSpPr/>
                      </a:nvSpPr>
                      <a:spPr bwMode="auto">
                        <a:xfrm>
                          <a:off x="2057400" y="3200400"/>
                          <a:ext cx="1143000" cy="6858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Measurements Manager</a:t>
                            </a:r>
                          </a:p>
                        </a:txBody>
                        <a:useSpRect/>
                      </a:txSp>
                    </a:sp>
                    <a:cxnSp>
                      <a:nvCxnSpPr>
                        <a:cNvPr id="21" name="Straight Arrow Connector 20"/>
                        <a:cNvCxnSpPr/>
                      </a:nvCxnSpPr>
                      <a:spPr bwMode="auto">
                        <a:xfrm>
                          <a:off x="3200400" y="3352800"/>
                          <a:ext cx="1371600" cy="1588"/>
                        </a:xfrm>
                        <a:prstGeom prst="straightConnector1">
                          <a:avLst/>
                        </a:prstGeom>
                        <a:noFill/>
                        <a:ln w="9525" cap="flat" cmpd="sng" algn="ctr">
                          <a:solidFill>
                            <a:schemeClr val="accent1"/>
                          </a:solidFill>
                          <a:prstDash val="solid"/>
                          <a:round/>
                          <a:headEnd type="none" w="med" len="med"/>
                          <a:tailEnd type="arrow"/>
                        </a:ln>
                        <a:effectLst/>
                      </a:spPr>
                    </a:cxnSp>
                    <a:cxnSp>
                      <a:nvCxnSpPr>
                        <a:cNvPr id="22" name="Straight Arrow Connector 21"/>
                        <a:cNvCxnSpPr/>
                      </a:nvCxnSpPr>
                      <a:spPr bwMode="auto">
                        <a:xfrm rot="10800000">
                          <a:off x="3200400" y="3733800"/>
                          <a:ext cx="1371600" cy="1588"/>
                        </a:xfrm>
                        <a:prstGeom prst="straightConnector1">
                          <a:avLst/>
                        </a:prstGeom>
                        <a:noFill/>
                        <a:ln w="9525" cap="flat" cmpd="sng" algn="ctr">
                          <a:solidFill>
                            <a:srgbClr val="00B050"/>
                          </a:solidFill>
                          <a:prstDash val="solid"/>
                          <a:round/>
                          <a:headEnd type="none" w="med" len="med"/>
                          <a:tailEnd type="arrow"/>
                        </a:ln>
                        <a:effectLst/>
                      </a:spPr>
                    </a:cxnSp>
                    <a:sp>
                      <a:nvSpPr>
                        <a:cNvPr id="23" name="TextBox 22"/>
                        <a:cNvSpPr txBox="1"/>
                      </a:nvSpPr>
                      <a:spPr>
                        <a:xfrm>
                          <a:off x="3352800" y="3733800"/>
                          <a:ext cx="685800" cy="219676"/>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Reports</a:t>
                            </a:r>
                            <a:endParaRPr lang="en-US" sz="1100" dirty="0"/>
                          </a:p>
                        </a:txBody>
                        <a:useSpRect/>
                      </a:txSp>
                    </a:sp>
                    <a:sp>
                      <a:nvSpPr>
                        <a:cNvPr id="24" name="TextBox 23"/>
                        <a:cNvSpPr txBox="1"/>
                      </a:nvSpPr>
                      <a:spPr>
                        <a:xfrm>
                          <a:off x="3200400" y="3006551"/>
                          <a:ext cx="1447800" cy="346249"/>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Orders (order details, directives)</a:t>
                            </a:r>
                            <a:endParaRPr lang="en-US" sz="1100" dirty="0"/>
                          </a:p>
                        </a:txBody>
                        <a:useSpRect/>
                      </a:txSp>
                    </a:sp>
                    <a:sp>
                      <a:nvSpPr>
                        <a:cNvPr id="25" name="Rectangle 24"/>
                        <a:cNvSpPr/>
                      </a:nvSpPr>
                      <a:spPr bwMode="auto">
                        <a:xfrm>
                          <a:off x="533400" y="3733800"/>
                          <a:ext cx="914400" cy="6858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Stakeholder 2</a:t>
                            </a:r>
                          </a:p>
                        </a:txBody>
                        <a:useSpRect/>
                      </a:txSp>
                    </a:sp>
                    <a:cxnSp>
                      <a:nvCxnSpPr>
                        <a:cNvPr id="26" name="Straight Arrow Connector 25"/>
                        <a:cNvCxnSpPr/>
                      </a:nvCxnSpPr>
                      <a:spPr bwMode="auto">
                        <a:xfrm rot="5400000" flipH="1" flipV="1">
                          <a:off x="1981994" y="4495006"/>
                          <a:ext cx="1219200" cy="1588"/>
                        </a:xfrm>
                        <a:prstGeom prst="straightConnector1">
                          <a:avLst/>
                        </a:prstGeom>
                        <a:noFill/>
                        <a:ln w="9525" cap="flat" cmpd="sng" algn="ctr">
                          <a:solidFill>
                            <a:srgbClr val="7030A0"/>
                          </a:solidFill>
                          <a:prstDash val="solid"/>
                          <a:round/>
                          <a:headEnd type="arrow" w="med" len="med"/>
                          <a:tailEnd type="arrow"/>
                        </a:ln>
                        <a:effectLst/>
                      </a:spPr>
                    </a:cxnSp>
                    <a:sp>
                      <a:nvSpPr>
                        <a:cNvPr id="27" name="TextBox 26"/>
                        <a:cNvSpPr txBox="1"/>
                      </a:nvSpPr>
                      <a:spPr>
                        <a:xfrm>
                          <a:off x="1676400" y="5105400"/>
                          <a:ext cx="2362200" cy="473591"/>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C</a:t>
                            </a:r>
                            <a:r>
                              <a:rPr lang="en-US" sz="1100" dirty="0" smtClean="0"/>
                              <a:t>ustomer communications system including care channel </a:t>
                            </a:r>
                            <a:r>
                              <a:rPr lang="en-US" sz="1100" dirty="0" smtClean="0"/>
                              <a:t>with</a:t>
                            </a:r>
                            <a:r>
                              <a:rPr lang="en-US" sz="1100" dirty="0" smtClean="0"/>
                              <a:t> user permission functions</a:t>
                            </a:r>
                            <a:endParaRPr lang="en-US" sz="1100" dirty="0"/>
                          </a:p>
                        </a:txBody>
                        <a:useSpRect/>
                      </a:txSp>
                    </a:sp>
                    <a:sp>
                      <a:nvSpPr>
                        <a:cNvPr id="28" name="TextBox 27"/>
                        <a:cNvSpPr txBox="1"/>
                      </a:nvSpPr>
                      <a:spPr>
                        <a:xfrm>
                          <a:off x="2590800" y="4114800"/>
                          <a:ext cx="1905000" cy="600164"/>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Available measurements (audience segments, measurement types, measurable media, etc.)</a:t>
                            </a:r>
                            <a:endParaRPr lang="en-US" sz="1100" dirty="0"/>
                          </a:p>
                        </a:txBody>
                        <a:useSpRect/>
                      </a:txSp>
                    </a:sp>
                    <a:sp>
                      <a:nvSpPr>
                        <a:cNvPr id="29" name="Rounded Rectangle 28"/>
                        <a:cNvSpPr/>
                      </a:nvSpPr>
                      <a:spPr bwMode="auto">
                        <a:xfrm>
                          <a:off x="4114800" y="2209800"/>
                          <a:ext cx="4800600" cy="2514600"/>
                        </a:xfrm>
                        <a:prstGeom prst="roundRect">
                          <a:avLst/>
                        </a:prstGeom>
                        <a:noFill/>
                        <a:ln w="9525" cap="flat" cmpd="sng" algn="ctr">
                          <a:solidFill>
                            <a:schemeClr val="accent1"/>
                          </a:solidFill>
                          <a:prstDash val="dashDot"/>
                          <a:round/>
                          <a:headEnd type="none" w="med" len="med"/>
                          <a:tailEnd type="none" w="med" len="med"/>
                        </a:ln>
                        <a:effectLst/>
                      </a:spPr>
                      <a:txSp>
                        <a:txBody>
                          <a:bodyPr vert="horz" wrap="square" lIns="82124" tIns="41061" rIns="82124" bIns="41061" numCol="1" rtlCol="0" anchor="t"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l" defTabSz="814388" rtl="0" eaLnBrk="0" fontAlgn="base" latinLnBrk="0" hangingPunct="0">
                              <a:lnSpc>
                                <a:spcPct val="75000"/>
                              </a:lnSpc>
                              <a:spcBef>
                                <a:spcPct val="55000"/>
                              </a:spcBef>
                              <a:spcAft>
                                <a:spcPct val="0"/>
                              </a:spcAft>
                              <a:buClrTx/>
                              <a:buSzTx/>
                              <a:buFontTx/>
                              <a:buChar char="•"/>
                              <a:tabLst/>
                            </a:pPr>
                            <a:endParaRPr kumimoji="0" lang="en-US" sz="2800" b="0" i="0" u="none" strike="noStrike" cap="none" normalizeH="0" baseline="0" smtClean="0">
                              <a:ln>
                                <a:noFill/>
                              </a:ln>
                              <a:solidFill>
                                <a:schemeClr val="tx1"/>
                              </a:solidFill>
                              <a:effectLst/>
                              <a:latin typeface="Arial" charset="0"/>
                            </a:endParaRPr>
                          </a:p>
                        </a:txBody>
                        <a:useSpRect/>
                      </a:txSp>
                    </a:sp>
                    <a:sp>
                      <a:nvSpPr>
                        <a:cNvPr id="30" name="Rectangle 29"/>
                        <a:cNvSpPr/>
                      </a:nvSpPr>
                      <a:spPr>
                        <a:xfrm>
                          <a:off x="5486400" y="2286000"/>
                          <a:ext cx="1848455" cy="277512"/>
                        </a:xfrm>
                        <a:prstGeom prst="rect">
                          <a:avLst/>
                        </a:prstGeom>
                      </a:spPr>
                      <a:txSp>
                        <a:txBody>
                          <a:bodyPr wrap="none">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GB" sz="1600" dirty="0" err="1" smtClean="0"/>
                              <a:t>H.IPTV</a:t>
                            </a:r>
                            <a:r>
                              <a:rPr lang="en-GB" sz="1600" dirty="0" smtClean="0"/>
                              <a:t>-AM Scope</a:t>
                            </a:r>
                            <a:endParaRPr lang="en-US" sz="1600" dirty="0"/>
                          </a:p>
                        </a:txBody>
                        <a:useSpRect/>
                      </a:txSp>
                    </a:sp>
                    <a:sp>
                      <a:nvSpPr>
                        <a:cNvPr id="41" name="Rectangle 40"/>
                        <a:cNvSpPr/>
                      </a:nvSpPr>
                      <a:spPr bwMode="auto">
                        <a:xfrm>
                          <a:off x="7467600" y="3657600"/>
                          <a:ext cx="1295400" cy="9144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Permission level</a:t>
                            </a:r>
                            <a:r>
                              <a:rPr kumimoji="0" lang="en-US" sz="1100" b="0" i="0" u="none" strike="noStrike" cap="none" normalizeH="0" dirty="0" smtClean="0">
                                <a:ln>
                                  <a:noFill/>
                                </a:ln>
                                <a:solidFill>
                                  <a:schemeClr val="tx1"/>
                                </a:solidFill>
                                <a:effectLst/>
                                <a:latin typeface="Arial" charset="0"/>
                              </a:rPr>
                              <a:t> “B” </a:t>
                            </a:r>
                            <a:r>
                              <a:rPr lang="en-US" sz="1100" dirty="0" smtClean="0"/>
                              <a:t>a</a:t>
                            </a:r>
                            <a:r>
                              <a:rPr kumimoji="0" lang="en-US" sz="1100" b="0" i="0" u="none" strike="noStrike" cap="none" normalizeH="0" baseline="0" dirty="0" smtClean="0">
                                <a:ln>
                                  <a:noFill/>
                                </a:ln>
                                <a:solidFill>
                                  <a:schemeClr val="tx1"/>
                                </a:solidFill>
                                <a:effectLst/>
                                <a:latin typeface="Arial" charset="0"/>
                              </a:rPr>
                              <a:t>udience segment </a:t>
                            </a:r>
                          </a:p>
                          <a:p>
                            <a:pPr marL="0" marR="0" indent="0" algn="ctr" defTabSz="814388" rtl="0" eaLnBrk="0" fontAlgn="base" latinLnBrk="0" hangingPunct="0">
                              <a:lnSpc>
                                <a:spcPct val="75000"/>
                              </a:lnSpc>
                              <a:spcBef>
                                <a:spcPct val="55000"/>
                              </a:spcBef>
                              <a:spcAft>
                                <a:spcPct val="0"/>
                              </a:spcAft>
                              <a:buClrTx/>
                              <a:buSzTx/>
                              <a:buNone/>
                              <a:tabLst/>
                            </a:pPr>
                            <a:r>
                              <a:rPr lang="en-US" sz="1100" dirty="0" smtClean="0"/>
                              <a:t>E</a:t>
                            </a:r>
                            <a:r>
                              <a:rPr kumimoji="0" lang="en-US" sz="1100" b="0" i="0" u="none" strike="noStrike" cap="none" normalizeH="0" baseline="0" dirty="0" smtClean="0">
                                <a:ln>
                                  <a:noFill/>
                                </a:ln>
                                <a:solidFill>
                                  <a:schemeClr val="tx1"/>
                                </a:solidFill>
                                <a:effectLst/>
                                <a:latin typeface="Arial" charset="0"/>
                              </a:rPr>
                              <a:t>nd-u</a:t>
                            </a:r>
                            <a:r>
                              <a:rPr lang="en-US" sz="1100" dirty="0" smtClean="0"/>
                              <a:t>ser measurement function</a:t>
                            </a:r>
                            <a:endParaRPr kumimoji="0" lang="en-US" sz="1100" b="0" i="0" u="none" strike="noStrike" cap="none" normalizeH="0" baseline="0" dirty="0" smtClean="0">
                              <a:ln>
                                <a:noFill/>
                              </a:ln>
                              <a:solidFill>
                                <a:schemeClr val="tx1"/>
                              </a:solidFill>
                              <a:effectLst/>
                              <a:latin typeface="Arial" charset="0"/>
                            </a:endParaRPr>
                          </a:p>
                        </a:txBody>
                        <a:useSpRect/>
                      </a:txSp>
                    </a:sp>
                  </a:grpSp>
                </lc:lockedCanvas>
              </a:graphicData>
            </a:graphic>
          </wp:inline>
        </w:drawing>
      </w:r>
    </w:p>
    <w:p w:rsidR="001E0E0B" w:rsidRPr="003A7DFE" w:rsidRDefault="001E0E0B" w:rsidP="001E0E0B">
      <w:pPr>
        <w:pStyle w:val="Caption"/>
        <w:jc w:val="center"/>
        <w:rPr>
          <w:lang w:eastAsia="ja-JP"/>
        </w:rPr>
      </w:pPr>
      <w:bookmarkStart w:id="10" w:name="_Ref260014158"/>
      <w:r w:rsidRPr="003A7DFE">
        <w:t>Fig</w:t>
      </w:r>
      <w:r w:rsidRPr="003A7DFE">
        <w:rPr>
          <w:rFonts w:hint="eastAsia"/>
          <w:lang w:eastAsia="ja-JP"/>
        </w:rPr>
        <w:t>ure</w:t>
      </w:r>
      <w:r w:rsidRPr="003A7DFE">
        <w:t xml:space="preserve"> </w:t>
      </w:r>
      <w:bookmarkEnd w:id="10"/>
      <w:r>
        <w:t>VI-2</w:t>
      </w:r>
      <w:r>
        <w:rPr>
          <w:rFonts w:hint="eastAsia"/>
          <w:lang w:eastAsia="ja-JP"/>
        </w:rPr>
        <w:t xml:space="preserve"> </w:t>
      </w:r>
      <w:r>
        <w:rPr>
          <w:lang w:eastAsia="ja-JP"/>
        </w:rPr>
        <w:t>–</w:t>
      </w:r>
      <w:r>
        <w:rPr>
          <w:rFonts w:hint="eastAsia"/>
          <w:lang w:eastAsia="ja-JP"/>
        </w:rPr>
        <w:t xml:space="preserve"> </w:t>
      </w:r>
      <w:r>
        <w:rPr>
          <w:lang w:eastAsia="ja-JP"/>
        </w:rPr>
        <w:t xml:space="preserve">Example of configuration based user permission </w:t>
      </w:r>
      <w:r w:rsidR="00014415">
        <w:rPr>
          <w:lang w:eastAsia="ja-JP"/>
        </w:rPr>
        <w:t>deployment</w:t>
      </w:r>
    </w:p>
    <w:p w:rsidR="001E0E0B" w:rsidRDefault="001E0E0B" w:rsidP="0080233B"/>
    <w:p w:rsidR="0080233B" w:rsidRDefault="0080233B" w:rsidP="0080233B"/>
    <w:p w:rsidR="0080233B" w:rsidRDefault="0080233B" w:rsidP="0080233B"/>
    <w:p w:rsidR="0080233B" w:rsidRDefault="0080233B" w:rsidP="0080233B"/>
    <w:p w:rsidR="0080233B" w:rsidRDefault="0080233B" w:rsidP="0080233B"/>
    <w:p w:rsidR="0080233B" w:rsidRPr="0080233B" w:rsidRDefault="0080233B" w:rsidP="0080233B"/>
    <w:p w:rsidR="00130D33" w:rsidRDefault="00130D33" w:rsidP="00130D33"/>
    <w:p w:rsidR="00130D33" w:rsidRPr="00130D33" w:rsidRDefault="00130D33" w:rsidP="00130D33"/>
    <w:p w:rsidR="00130D33" w:rsidRDefault="00130D33" w:rsidP="0049483E">
      <w:pPr>
        <w:pStyle w:val="Heading3"/>
      </w:pPr>
      <w:bookmarkStart w:id="11" w:name="_Toc267897705"/>
      <w:bookmarkStart w:id="12" w:name="OLE_LINK5"/>
      <w:r w:rsidRPr="00605170">
        <w:t>End-user measurement function based user permission</w:t>
      </w:r>
      <w:bookmarkEnd w:id="11"/>
    </w:p>
    <w:bookmarkEnd w:id="12"/>
    <w:p w:rsidR="007C3261" w:rsidRDefault="007C3261" w:rsidP="007C3261">
      <w:r>
        <w:t>In this method, the request and receipt of user permission occurs within the AM system, such as in the situation below.</w:t>
      </w:r>
    </w:p>
    <w:p w:rsidR="007C3261" w:rsidRDefault="007C3261" w:rsidP="007C3261">
      <w:r>
        <w:t>Conditions that may lead to this method being selected include:</w:t>
      </w:r>
    </w:p>
    <w:p w:rsidR="007C3261" w:rsidRDefault="007C3261" w:rsidP="007C3261">
      <w:pPr>
        <w:pStyle w:val="ListParagraph"/>
        <w:numPr>
          <w:ilvl w:val="0"/>
          <w:numId w:val="17"/>
        </w:numPr>
      </w:pPr>
      <w:r>
        <w:t xml:space="preserve">The deployment of a </w:t>
      </w:r>
      <w:r w:rsidR="009D277F">
        <w:t>permission system is desired to be closely coupled to the deployment of t</w:t>
      </w:r>
      <w:r w:rsidR="0049483E">
        <w:t>he audience measurement system.</w:t>
      </w:r>
    </w:p>
    <w:p w:rsidR="007C3261" w:rsidRDefault="007C3261" w:rsidP="007C3261">
      <w:pPr>
        <w:pStyle w:val="ListParagraph"/>
        <w:numPr>
          <w:ilvl w:val="0"/>
          <w:numId w:val="17"/>
        </w:numPr>
      </w:pPr>
      <w:r>
        <w:rPr>
          <w:lang w:eastAsia="ko-KR"/>
        </w:rPr>
        <w:t xml:space="preserve">A preference to communicate with users through </w:t>
      </w:r>
      <w:r w:rsidR="009D277F">
        <w:rPr>
          <w:lang w:eastAsia="ko-KR"/>
        </w:rPr>
        <w:t xml:space="preserve">a </w:t>
      </w:r>
      <w:r>
        <w:rPr>
          <w:lang w:eastAsia="ko-KR"/>
        </w:rPr>
        <w:t>resident application</w:t>
      </w:r>
      <w:r w:rsidR="009D277F">
        <w:rPr>
          <w:lang w:eastAsia="ko-KR"/>
        </w:rPr>
        <w:t xml:space="preserve"> which is an integral part of the audience measurement software.</w:t>
      </w:r>
    </w:p>
    <w:p w:rsidR="00D604CC" w:rsidRDefault="00D604CC" w:rsidP="007C3261">
      <w:pPr>
        <w:pStyle w:val="ListParagraph"/>
        <w:numPr>
          <w:ilvl w:val="0"/>
          <w:numId w:val="17"/>
        </w:numPr>
      </w:pPr>
      <w:r>
        <w:rPr>
          <w:lang w:eastAsia="ko-KR"/>
        </w:rPr>
        <w:t>An alternative real-time audience messaging system is not available.</w:t>
      </w:r>
    </w:p>
    <w:p w:rsidR="00231FFC" w:rsidRDefault="00730183" w:rsidP="007071F9">
      <w:pPr>
        <w:rPr>
          <w:lang w:eastAsia="zh-CN"/>
        </w:rPr>
      </w:pPr>
      <w:r w:rsidRPr="00730183">
        <w:rPr>
          <w:noProof/>
          <w:lang w:val="en-US" w:eastAsia="zh-CN"/>
        </w:rPr>
        <w:drawing>
          <wp:inline distT="0" distB="0" distL="0" distR="0">
            <wp:extent cx="5943600" cy="2131695"/>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3115276"/>
                      <a:chOff x="304800" y="2209800"/>
                      <a:chExt cx="8686800" cy="3115276"/>
                    </a:xfrm>
                  </a:grpSpPr>
                  <a:grpSp>
                    <a:nvGrpSpPr>
                      <a:cNvPr id="65" name="Group 64"/>
                      <a:cNvGrpSpPr/>
                    </a:nvGrpSpPr>
                    <a:grpSpPr>
                      <a:xfrm>
                        <a:off x="304800" y="2209800"/>
                        <a:ext cx="8686800" cy="3115276"/>
                        <a:chOff x="304800" y="2209800"/>
                        <a:chExt cx="8686800" cy="3115276"/>
                      </a:xfrm>
                    </a:grpSpPr>
                    <a:sp>
                      <a:nvSpPr>
                        <a:cNvPr id="5" name="Rectangle 4"/>
                        <a:cNvSpPr/>
                      </a:nvSpPr>
                      <a:spPr bwMode="auto">
                        <a:xfrm>
                          <a:off x="304800" y="2743200"/>
                          <a:ext cx="914400" cy="6858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Stakeholder 1</a:t>
                            </a:r>
                          </a:p>
                        </a:txBody>
                        <a:useSpRect/>
                      </a:txSp>
                    </a:sp>
                    <a:sp>
                      <a:nvSpPr>
                        <a:cNvPr id="6" name="Rectangle 5"/>
                        <a:cNvSpPr/>
                      </a:nvSpPr>
                      <a:spPr bwMode="auto">
                        <a:xfrm>
                          <a:off x="6477000" y="2514600"/>
                          <a:ext cx="1066800" cy="9144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lang="en-US" sz="1100" dirty="0" smtClean="0"/>
                              <a:t>E</a:t>
                            </a:r>
                            <a:r>
                              <a:rPr kumimoji="0" lang="en-US" sz="1100" b="0" i="0" u="none" strike="noStrike" cap="none" normalizeH="0" baseline="0" dirty="0" smtClean="0">
                                <a:ln>
                                  <a:noFill/>
                                </a:ln>
                                <a:solidFill>
                                  <a:schemeClr val="tx1"/>
                                </a:solidFill>
                                <a:effectLst/>
                                <a:latin typeface="Arial" charset="0"/>
                              </a:rPr>
                              <a:t>nd-u</a:t>
                            </a:r>
                            <a:r>
                              <a:rPr lang="en-US" sz="1100" dirty="0" smtClean="0"/>
                              <a:t>ser “A” measurement function</a:t>
                            </a:r>
                          </a:p>
                          <a:p>
                            <a:pPr marL="0" marR="0" indent="0" algn="ctr" defTabSz="814388" rtl="0" eaLnBrk="0" fontAlgn="base" latinLnBrk="0" hangingPunct="0">
                              <a:lnSpc>
                                <a:spcPct val="75000"/>
                              </a:lnSpc>
                              <a:spcBef>
                                <a:spcPct val="55000"/>
                              </a:spcBef>
                              <a:spcAft>
                                <a:spcPct val="0"/>
                              </a:spcAft>
                              <a:buClrTx/>
                              <a:buSzTx/>
                              <a:buNone/>
                              <a:tabLst/>
                            </a:pPr>
                            <a:r>
                              <a:rPr lang="en-US" sz="1100" dirty="0" smtClean="0"/>
                              <a:t>User device 1</a:t>
                            </a:r>
                            <a:endParaRPr kumimoji="0" lang="en-US" sz="1100" b="0" i="0" u="none" strike="noStrike" cap="none" normalizeH="0" baseline="0" dirty="0" smtClean="0">
                              <a:ln>
                                <a:noFill/>
                              </a:ln>
                              <a:solidFill>
                                <a:schemeClr val="tx1"/>
                              </a:solidFill>
                              <a:effectLst/>
                              <a:latin typeface="Arial" charset="0"/>
                            </a:endParaRPr>
                          </a:p>
                        </a:txBody>
                        <a:useSpRect/>
                      </a:txSp>
                    </a:sp>
                    <a:cxnSp>
                      <a:nvCxnSpPr>
                        <a:cNvPr id="7" name="Straight Arrow Connector 6"/>
                        <a:cNvCxnSpPr/>
                      </a:nvCxnSpPr>
                      <a:spPr bwMode="auto">
                        <a:xfrm rot="10800000" flipH="1" flipV="1">
                          <a:off x="1219200" y="2992525"/>
                          <a:ext cx="609600" cy="360275"/>
                        </a:xfrm>
                        <a:prstGeom prst="straightConnector1">
                          <a:avLst/>
                        </a:prstGeom>
                        <a:noFill/>
                        <a:ln w="9525" cap="flat" cmpd="sng" algn="ctr">
                          <a:solidFill>
                            <a:schemeClr val="accent1"/>
                          </a:solidFill>
                          <a:prstDash val="solid"/>
                          <a:round/>
                          <a:headEnd type="none" w="med" len="med"/>
                          <a:tailEnd type="arrow"/>
                        </a:ln>
                        <a:effectLst/>
                      </a:spPr>
                    </a:cxnSp>
                    <a:cxnSp>
                      <a:nvCxnSpPr>
                        <a:cNvPr id="8" name="Straight Arrow Connector 7"/>
                        <a:cNvCxnSpPr/>
                      </a:nvCxnSpPr>
                      <a:spPr bwMode="auto">
                        <a:xfrm rot="5400000" flipH="1" flipV="1">
                          <a:off x="1219200" y="3352800"/>
                          <a:ext cx="609600" cy="609600"/>
                        </a:xfrm>
                        <a:prstGeom prst="straightConnector1">
                          <a:avLst/>
                        </a:prstGeom>
                        <a:noFill/>
                        <a:ln w="9525" cap="flat" cmpd="sng" algn="ctr">
                          <a:solidFill>
                            <a:schemeClr val="accent1"/>
                          </a:solidFill>
                          <a:prstDash val="solid"/>
                          <a:round/>
                          <a:headEnd type="none" w="med" len="med"/>
                          <a:tailEnd type="arrow"/>
                        </a:ln>
                        <a:effectLst/>
                      </a:spPr>
                    </a:cxnSp>
                    <a:sp>
                      <a:nvSpPr>
                        <a:cNvPr id="9" name="TextBox 8"/>
                        <a:cNvSpPr txBox="1"/>
                      </a:nvSpPr>
                      <a:spPr>
                        <a:xfrm>
                          <a:off x="1219200" y="2743200"/>
                          <a:ext cx="1447800" cy="346249"/>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Orders (order details, directives)</a:t>
                            </a:r>
                            <a:endParaRPr lang="en-US" sz="1100" dirty="0"/>
                          </a:p>
                        </a:txBody>
                        <a:useSpRect/>
                      </a:txSp>
                    </a:sp>
                    <a:sp>
                      <a:nvSpPr>
                        <a:cNvPr id="10" name="TextBox 9"/>
                        <a:cNvSpPr txBox="1"/>
                      </a:nvSpPr>
                      <a:spPr>
                        <a:xfrm>
                          <a:off x="1295400" y="4038600"/>
                          <a:ext cx="685800" cy="219676"/>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Reports</a:t>
                            </a:r>
                            <a:endParaRPr lang="en-US" sz="1100" dirty="0"/>
                          </a:p>
                        </a:txBody>
                        <a:useSpRect/>
                      </a:txSp>
                    </a:sp>
                    <a:cxnSp>
                      <a:nvCxnSpPr>
                        <a:cNvPr id="11" name="Straight Arrow Connector 10"/>
                        <a:cNvCxnSpPr>
                          <a:endCxn id="6" idx="1"/>
                        </a:cNvCxnSpPr>
                      </a:nvCxnSpPr>
                      <a:spPr bwMode="auto">
                        <a:xfrm flipV="1">
                          <a:off x="5257800" y="2971800"/>
                          <a:ext cx="1219200" cy="381000"/>
                        </a:xfrm>
                        <a:prstGeom prst="straightConnector1">
                          <a:avLst/>
                        </a:prstGeom>
                        <a:noFill/>
                        <a:ln w="9525" cap="flat" cmpd="sng" algn="ctr">
                          <a:solidFill>
                            <a:srgbClr val="FFC000"/>
                          </a:solidFill>
                          <a:prstDash val="solid"/>
                          <a:round/>
                          <a:headEnd type="none" w="med" len="med"/>
                          <a:tailEnd type="arrow"/>
                        </a:ln>
                        <a:effectLst/>
                      </a:spPr>
                    </a:cxnSp>
                    <a:sp>
                      <a:nvSpPr>
                        <a:cNvPr id="12" name="TextBox 11"/>
                        <a:cNvSpPr txBox="1"/>
                      </a:nvSpPr>
                      <a:spPr>
                        <a:xfrm>
                          <a:off x="5181600" y="2743200"/>
                          <a:ext cx="1676400" cy="346633"/>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Measurement data requests</a:t>
                            </a:r>
                            <a:endParaRPr lang="en-US" sz="1100" dirty="0"/>
                          </a:p>
                        </a:txBody>
                        <a:useSpRect/>
                      </a:txSp>
                    </a:sp>
                    <a:sp>
                      <a:nvSpPr>
                        <a:cNvPr id="13" name="Rounded Rectangle 12"/>
                        <a:cNvSpPr/>
                      </a:nvSpPr>
                      <a:spPr bwMode="auto">
                        <a:xfrm>
                          <a:off x="4191000" y="3048000"/>
                          <a:ext cx="1066800" cy="1143000"/>
                        </a:xfrm>
                        <a:prstGeom prst="round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lgn="ctr" defTabSz="814388">
                              <a:buNone/>
                            </a:pPr>
                            <a:r>
                              <a:rPr lang="en-US" sz="1100" dirty="0" smtClean="0"/>
                              <a:t>AM aggregation functions</a:t>
                            </a:r>
                          </a:p>
                        </a:txBody>
                        <a:useSpRect/>
                      </a:txSp>
                    </a:sp>
                    <a:cxnSp>
                      <a:nvCxnSpPr>
                        <a:cNvPr id="14" name="Straight Arrow Connector 13"/>
                        <a:cNvCxnSpPr/>
                      </a:nvCxnSpPr>
                      <a:spPr bwMode="auto">
                        <a:xfrm>
                          <a:off x="5257800" y="3352800"/>
                          <a:ext cx="1219200" cy="609600"/>
                        </a:xfrm>
                        <a:prstGeom prst="straightConnector1">
                          <a:avLst/>
                        </a:prstGeom>
                        <a:noFill/>
                        <a:ln w="9525" cap="flat" cmpd="sng" algn="ctr">
                          <a:solidFill>
                            <a:srgbClr val="006666"/>
                          </a:solidFill>
                          <a:prstDash val="solid"/>
                          <a:round/>
                          <a:headEnd type="none" w="med" len="med"/>
                          <a:tailEnd type="arrow"/>
                        </a:ln>
                        <a:effectLst/>
                      </a:spPr>
                    </a:cxnSp>
                    <a:sp>
                      <a:nvSpPr>
                        <a:cNvPr id="15" name="TextBox 14"/>
                        <a:cNvSpPr txBox="1"/>
                      </a:nvSpPr>
                      <a:spPr>
                        <a:xfrm>
                          <a:off x="5181600" y="4114800"/>
                          <a:ext cx="1676400" cy="346633"/>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Measurement data reports</a:t>
                            </a:r>
                            <a:endParaRPr lang="en-US" sz="1100" dirty="0"/>
                          </a:p>
                        </a:txBody>
                        <a:useSpRect/>
                      </a:txSp>
                    </a:sp>
                    <a:cxnSp>
                      <a:nvCxnSpPr>
                        <a:cNvPr id="16" name="Straight Arrow Connector 15"/>
                        <a:cNvCxnSpPr/>
                      </a:nvCxnSpPr>
                      <a:spPr bwMode="auto">
                        <a:xfrm rot="10800000" flipV="1">
                          <a:off x="5257800" y="3276600"/>
                          <a:ext cx="1219200" cy="685800"/>
                        </a:xfrm>
                        <a:prstGeom prst="straightConnector1">
                          <a:avLst/>
                        </a:prstGeom>
                        <a:noFill/>
                        <a:ln w="9525" cap="flat" cmpd="sng" algn="ctr">
                          <a:solidFill>
                            <a:srgbClr val="92D050"/>
                          </a:solidFill>
                          <a:prstDash val="solid"/>
                          <a:round/>
                          <a:headEnd type="none" w="med" len="med"/>
                          <a:tailEnd type="arrow"/>
                        </a:ln>
                        <a:effectLst/>
                      </a:spPr>
                    </a:cxnSp>
                    <a:cxnSp>
                      <a:nvCxnSpPr>
                        <a:cNvPr id="17" name="Straight Arrow Connector 16"/>
                        <a:cNvCxnSpPr>
                          <a:stCxn id="31" idx="1"/>
                        </a:cNvCxnSpPr>
                      </a:nvCxnSpPr>
                      <a:spPr bwMode="auto">
                        <a:xfrm rot="10800000">
                          <a:off x="5257800" y="4038600"/>
                          <a:ext cx="1219200" cy="76200"/>
                        </a:xfrm>
                        <a:prstGeom prst="straightConnector1">
                          <a:avLst/>
                        </a:prstGeom>
                        <a:noFill/>
                        <a:ln w="9525" cap="flat" cmpd="sng" algn="ctr">
                          <a:solidFill>
                            <a:srgbClr val="3366CC"/>
                          </a:solidFill>
                          <a:prstDash val="solid"/>
                          <a:round/>
                          <a:headEnd type="none" w="med" len="med"/>
                          <a:tailEnd type="arrow"/>
                        </a:ln>
                        <a:effectLst/>
                      </a:spPr>
                    </a:cxnSp>
                    <a:cxnSp>
                      <a:nvCxnSpPr>
                        <a:cNvPr id="18" name="Straight Arrow Connector 17"/>
                        <a:cNvCxnSpPr/>
                      </a:nvCxnSpPr>
                      <a:spPr bwMode="auto">
                        <a:xfrm rot="10800000">
                          <a:off x="1219200" y="3276600"/>
                          <a:ext cx="609600" cy="381000"/>
                        </a:xfrm>
                        <a:prstGeom prst="straightConnector1">
                          <a:avLst/>
                        </a:prstGeom>
                        <a:noFill/>
                        <a:ln w="9525" cap="flat" cmpd="sng" algn="ctr">
                          <a:solidFill>
                            <a:srgbClr val="00B050"/>
                          </a:solidFill>
                          <a:prstDash val="solid"/>
                          <a:round/>
                          <a:headEnd type="none" w="med" len="med"/>
                          <a:tailEnd type="arrow"/>
                        </a:ln>
                        <a:effectLst/>
                      </a:spPr>
                    </a:cxnSp>
                    <a:cxnSp>
                      <a:nvCxnSpPr>
                        <a:cNvPr id="19" name="Straight Arrow Connector 18"/>
                        <a:cNvCxnSpPr/>
                      </a:nvCxnSpPr>
                      <a:spPr bwMode="auto">
                        <a:xfrm rot="5400000">
                          <a:off x="1219200" y="3657600"/>
                          <a:ext cx="609600" cy="609600"/>
                        </a:xfrm>
                        <a:prstGeom prst="straightConnector1">
                          <a:avLst/>
                        </a:prstGeom>
                        <a:noFill/>
                        <a:ln w="9525" cap="flat" cmpd="sng" algn="ctr">
                          <a:solidFill>
                            <a:srgbClr val="00B050"/>
                          </a:solidFill>
                          <a:prstDash val="solid"/>
                          <a:round/>
                          <a:headEnd type="none" w="med" len="med"/>
                          <a:tailEnd type="arrow"/>
                        </a:ln>
                        <a:effectLst/>
                      </a:spPr>
                    </a:cxnSp>
                    <a:sp>
                      <a:nvSpPr>
                        <a:cNvPr id="20" name="Rectangle 19"/>
                        <a:cNvSpPr/>
                      </a:nvSpPr>
                      <a:spPr bwMode="auto">
                        <a:xfrm>
                          <a:off x="1828800" y="3200400"/>
                          <a:ext cx="1143000" cy="6858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Measurements Manager</a:t>
                            </a:r>
                          </a:p>
                        </a:txBody>
                        <a:useSpRect/>
                      </a:txSp>
                    </a:sp>
                    <a:cxnSp>
                      <a:nvCxnSpPr>
                        <a:cNvPr id="21" name="Straight Arrow Connector 20"/>
                        <a:cNvCxnSpPr/>
                      </a:nvCxnSpPr>
                      <a:spPr bwMode="auto">
                        <a:xfrm>
                          <a:off x="2971800" y="3352800"/>
                          <a:ext cx="1219200" cy="1588"/>
                        </a:xfrm>
                        <a:prstGeom prst="straightConnector1">
                          <a:avLst/>
                        </a:prstGeom>
                        <a:noFill/>
                        <a:ln w="9525" cap="flat" cmpd="sng" algn="ctr">
                          <a:solidFill>
                            <a:schemeClr val="accent1"/>
                          </a:solidFill>
                          <a:prstDash val="solid"/>
                          <a:round/>
                          <a:headEnd type="none" w="med" len="med"/>
                          <a:tailEnd type="arrow"/>
                        </a:ln>
                        <a:effectLst/>
                      </a:spPr>
                    </a:cxnSp>
                    <a:cxnSp>
                      <a:nvCxnSpPr>
                        <a:cNvPr id="22" name="Straight Arrow Connector 21"/>
                        <a:cNvCxnSpPr/>
                      </a:nvCxnSpPr>
                      <a:spPr bwMode="auto">
                        <a:xfrm rot="10800000">
                          <a:off x="2971800" y="3733800"/>
                          <a:ext cx="1219200" cy="1588"/>
                        </a:xfrm>
                        <a:prstGeom prst="straightConnector1">
                          <a:avLst/>
                        </a:prstGeom>
                        <a:noFill/>
                        <a:ln w="9525" cap="flat" cmpd="sng" algn="ctr">
                          <a:solidFill>
                            <a:srgbClr val="00B050"/>
                          </a:solidFill>
                          <a:prstDash val="solid"/>
                          <a:round/>
                          <a:headEnd type="none" w="med" len="med"/>
                          <a:tailEnd type="arrow"/>
                        </a:ln>
                        <a:effectLst/>
                      </a:spPr>
                    </a:cxnSp>
                    <a:sp>
                      <a:nvSpPr>
                        <a:cNvPr id="23" name="TextBox 22"/>
                        <a:cNvSpPr txBox="1"/>
                      </a:nvSpPr>
                      <a:spPr>
                        <a:xfrm>
                          <a:off x="3124200" y="3733800"/>
                          <a:ext cx="685800" cy="219676"/>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Reports</a:t>
                            </a:r>
                            <a:endParaRPr lang="en-US" sz="1100" dirty="0"/>
                          </a:p>
                        </a:txBody>
                        <a:useSpRect/>
                      </a:txSp>
                    </a:sp>
                    <a:sp>
                      <a:nvSpPr>
                        <a:cNvPr id="24" name="TextBox 23"/>
                        <a:cNvSpPr txBox="1"/>
                      </a:nvSpPr>
                      <a:spPr>
                        <a:xfrm>
                          <a:off x="2971800" y="3006551"/>
                          <a:ext cx="1447800" cy="346249"/>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Orders (order details, directives)</a:t>
                            </a:r>
                            <a:endParaRPr lang="en-US" sz="1100" dirty="0"/>
                          </a:p>
                        </a:txBody>
                        <a:useSpRect/>
                      </a:txSp>
                    </a:sp>
                    <a:sp>
                      <a:nvSpPr>
                        <a:cNvPr id="25" name="Rectangle 24"/>
                        <a:cNvSpPr/>
                      </a:nvSpPr>
                      <a:spPr bwMode="auto">
                        <a:xfrm>
                          <a:off x="304800" y="3733800"/>
                          <a:ext cx="914400" cy="6858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kumimoji="0" lang="en-US" sz="1100" b="0" i="0" u="none" strike="noStrike" cap="none" normalizeH="0" baseline="0" dirty="0" smtClean="0">
                                <a:ln>
                                  <a:noFill/>
                                </a:ln>
                                <a:solidFill>
                                  <a:schemeClr val="tx1"/>
                                </a:solidFill>
                                <a:effectLst/>
                                <a:latin typeface="Arial" charset="0"/>
                              </a:rPr>
                              <a:t>Stakeholder 2</a:t>
                            </a:r>
                          </a:p>
                        </a:txBody>
                        <a:useSpRect/>
                      </a:txSp>
                    </a:sp>
                    <a:cxnSp>
                      <a:nvCxnSpPr>
                        <a:cNvPr id="26" name="Straight Arrow Connector 25"/>
                        <a:cNvCxnSpPr/>
                      </a:nvCxnSpPr>
                      <a:spPr bwMode="auto">
                        <a:xfrm rot="5400000" flipH="1" flipV="1">
                          <a:off x="1753394" y="4495006"/>
                          <a:ext cx="1219200" cy="1588"/>
                        </a:xfrm>
                        <a:prstGeom prst="straightConnector1">
                          <a:avLst/>
                        </a:prstGeom>
                        <a:noFill/>
                        <a:ln w="9525" cap="flat" cmpd="sng" algn="ctr">
                          <a:solidFill>
                            <a:srgbClr val="7030A0"/>
                          </a:solidFill>
                          <a:prstDash val="solid"/>
                          <a:round/>
                          <a:headEnd type="arrow" w="med" len="med"/>
                          <a:tailEnd type="arrow"/>
                        </a:ln>
                        <a:effectLst/>
                      </a:spPr>
                    </a:cxnSp>
                    <a:sp>
                      <a:nvSpPr>
                        <a:cNvPr id="27" name="TextBox 26"/>
                        <a:cNvSpPr txBox="1"/>
                      </a:nvSpPr>
                      <a:spPr>
                        <a:xfrm>
                          <a:off x="1676400" y="5105400"/>
                          <a:ext cx="1371600" cy="219676"/>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Other SP systems</a:t>
                            </a:r>
                            <a:endParaRPr lang="en-US" sz="1100" dirty="0"/>
                          </a:p>
                        </a:txBody>
                        <a:useSpRect/>
                      </a:txSp>
                    </a:sp>
                    <a:sp>
                      <a:nvSpPr>
                        <a:cNvPr id="28" name="TextBox 27"/>
                        <a:cNvSpPr txBox="1"/>
                      </a:nvSpPr>
                      <a:spPr>
                        <a:xfrm>
                          <a:off x="2362200" y="4114800"/>
                          <a:ext cx="1905000" cy="600164"/>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Available measurements (audience segments, measurement types, measurable media, etc.)</a:t>
                            </a:r>
                            <a:endParaRPr lang="en-US" sz="1100" dirty="0"/>
                          </a:p>
                        </a:txBody>
                        <a:useSpRect/>
                      </a:txSp>
                    </a:sp>
                    <a:sp>
                      <a:nvSpPr>
                        <a:cNvPr id="29" name="Rounded Rectangle 28"/>
                        <a:cNvSpPr/>
                      </a:nvSpPr>
                      <a:spPr bwMode="auto">
                        <a:xfrm>
                          <a:off x="3886200" y="2209800"/>
                          <a:ext cx="4038600" cy="2514600"/>
                        </a:xfrm>
                        <a:prstGeom prst="roundRect">
                          <a:avLst/>
                        </a:prstGeom>
                        <a:noFill/>
                        <a:ln w="9525" cap="flat" cmpd="sng" algn="ctr">
                          <a:solidFill>
                            <a:schemeClr val="accent1"/>
                          </a:solidFill>
                          <a:prstDash val="dashDot"/>
                          <a:round/>
                          <a:headEnd type="none" w="med" len="med"/>
                          <a:tailEnd type="none" w="med" len="med"/>
                        </a:ln>
                        <a:effectLst/>
                      </a:spPr>
                      <a:txSp>
                        <a:txBody>
                          <a:bodyPr vert="horz" wrap="square" lIns="82124" tIns="41061" rIns="82124" bIns="41061" numCol="1" rtlCol="0" anchor="t"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l" defTabSz="814388" rtl="0" eaLnBrk="0" fontAlgn="base" latinLnBrk="0" hangingPunct="0">
                              <a:lnSpc>
                                <a:spcPct val="75000"/>
                              </a:lnSpc>
                              <a:spcBef>
                                <a:spcPct val="55000"/>
                              </a:spcBef>
                              <a:spcAft>
                                <a:spcPct val="0"/>
                              </a:spcAft>
                              <a:buClrTx/>
                              <a:buSzTx/>
                              <a:buFontTx/>
                              <a:buChar char="•"/>
                              <a:tabLst/>
                            </a:pPr>
                            <a:endParaRPr kumimoji="0" lang="en-US" sz="2800" b="0" i="0" u="none" strike="noStrike" cap="none" normalizeH="0" baseline="0" smtClean="0">
                              <a:ln>
                                <a:noFill/>
                              </a:ln>
                              <a:solidFill>
                                <a:schemeClr val="tx1"/>
                              </a:solidFill>
                              <a:effectLst/>
                              <a:latin typeface="Arial" charset="0"/>
                            </a:endParaRPr>
                          </a:p>
                        </a:txBody>
                        <a:useSpRect/>
                      </a:txSp>
                    </a:sp>
                    <a:sp>
                      <a:nvSpPr>
                        <a:cNvPr id="30" name="Rectangle 29"/>
                        <a:cNvSpPr/>
                      </a:nvSpPr>
                      <a:spPr>
                        <a:xfrm>
                          <a:off x="5105400" y="2286000"/>
                          <a:ext cx="1848455" cy="277512"/>
                        </a:xfrm>
                        <a:prstGeom prst="rect">
                          <a:avLst/>
                        </a:prstGeom>
                      </a:spPr>
                      <a:txSp>
                        <a:txBody>
                          <a:bodyPr wrap="none">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GB" sz="1600" dirty="0" err="1" smtClean="0"/>
                              <a:t>H.IPTV</a:t>
                            </a:r>
                            <a:r>
                              <a:rPr lang="en-GB" sz="1600" dirty="0" smtClean="0"/>
                              <a:t>-AM Scope</a:t>
                            </a:r>
                            <a:endParaRPr lang="en-US" sz="1600" dirty="0"/>
                          </a:p>
                        </a:txBody>
                        <a:useSpRect/>
                      </a:txSp>
                    </a:sp>
                    <a:sp>
                      <a:nvSpPr>
                        <a:cNvPr id="31" name="Rectangle 30"/>
                        <a:cNvSpPr/>
                      </a:nvSpPr>
                      <a:spPr bwMode="auto">
                        <a:xfrm>
                          <a:off x="6477000" y="3657600"/>
                          <a:ext cx="1066800" cy="9144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lgn="ctr" defTabSz="814388">
                              <a:buNone/>
                            </a:pPr>
                            <a:r>
                              <a:rPr lang="en-US" sz="1100" dirty="0" smtClean="0"/>
                              <a:t>End-user “A” measurement function</a:t>
                            </a:r>
                          </a:p>
                          <a:p>
                            <a:pPr algn="ctr" defTabSz="814388">
                              <a:buNone/>
                            </a:pPr>
                            <a:r>
                              <a:rPr lang="en-US" sz="1100" dirty="0" smtClean="0"/>
                              <a:t>User device </a:t>
                            </a:r>
                            <a:r>
                              <a:rPr lang="en-US" sz="1100" dirty="0" smtClean="0"/>
                              <a:t>2</a:t>
                            </a:r>
                            <a:endParaRPr lang="en-US" sz="1100" dirty="0" smtClean="0"/>
                          </a:p>
                        </a:txBody>
                        <a:useSpRect/>
                      </a:txSp>
                    </a:sp>
                    <a:sp>
                      <a:nvSpPr>
                        <a:cNvPr id="32" name="Rectangle 31"/>
                        <a:cNvSpPr/>
                      </a:nvSpPr>
                      <a:spPr bwMode="auto">
                        <a:xfrm>
                          <a:off x="8229600" y="2667000"/>
                          <a:ext cx="762000" cy="609600"/>
                        </a:xfrm>
                        <a:prstGeom prst="rect">
                          <a:avLst/>
                        </a:prstGeom>
                        <a:noFill/>
                        <a:ln w="9525" cap="flat" cmpd="sng" algn="ctr">
                          <a:solidFill>
                            <a:schemeClr val="accent1"/>
                          </a:solidFill>
                          <a:prstDash val="solid"/>
                          <a:round/>
                          <a:headEnd type="none" w="med" len="med"/>
                          <a:tailEnd type="none" w="med" len="med"/>
                        </a:ln>
                        <a:effectLst/>
                      </a:spPr>
                      <a:txSp>
                        <a:txBody>
                          <a:bodyPr vert="horz" wrap="square" lIns="82124" tIns="41061" rIns="82124" bIns="41061" numCol="1" rtlCol="0" anchor="ctr" anchorCtr="0" compatLnSpc="1">
                            <a:prstTxWarp prst="textNoShape">
                              <a:avLst/>
                            </a:prstTxWarp>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marL="0" marR="0" indent="0" algn="ctr" defTabSz="814388" rtl="0" eaLnBrk="0" fontAlgn="base" latinLnBrk="0" hangingPunct="0">
                              <a:lnSpc>
                                <a:spcPct val="75000"/>
                              </a:lnSpc>
                              <a:spcBef>
                                <a:spcPct val="55000"/>
                              </a:spcBef>
                              <a:spcAft>
                                <a:spcPct val="0"/>
                              </a:spcAft>
                              <a:buClrTx/>
                              <a:buSzTx/>
                              <a:buNone/>
                              <a:tabLst/>
                            </a:pPr>
                            <a:r>
                              <a:rPr lang="en-US" sz="1100" dirty="0" smtClean="0"/>
                              <a:t>IPTV device user interface</a:t>
                            </a:r>
                            <a:endParaRPr kumimoji="0" lang="en-US" sz="1100" b="0" i="0" u="none" strike="noStrike" cap="none" normalizeH="0" baseline="0" dirty="0" smtClean="0">
                              <a:ln>
                                <a:noFill/>
                              </a:ln>
                              <a:solidFill>
                                <a:schemeClr val="tx1"/>
                              </a:solidFill>
                              <a:effectLst/>
                              <a:latin typeface="Arial" charset="0"/>
                            </a:endParaRPr>
                          </a:p>
                        </a:txBody>
                        <a:useSpRect/>
                      </a:txSp>
                    </a:sp>
                    <a:cxnSp>
                      <a:nvCxnSpPr>
                        <a:cNvPr id="35" name="Straight Arrow Connector 34"/>
                        <a:cNvCxnSpPr>
                          <a:stCxn id="32" idx="1"/>
                          <a:endCxn id="6" idx="3"/>
                        </a:cNvCxnSpPr>
                      </a:nvCxnSpPr>
                      <a:spPr bwMode="auto">
                        <a:xfrm rot="10800000">
                          <a:off x="7543800" y="2971800"/>
                          <a:ext cx="685800" cy="1588"/>
                        </a:xfrm>
                        <a:prstGeom prst="straightConnector1">
                          <a:avLst/>
                        </a:prstGeom>
                        <a:noFill/>
                        <a:ln w="9525" cap="flat" cmpd="sng" algn="ctr">
                          <a:solidFill>
                            <a:schemeClr val="accent2"/>
                          </a:solidFill>
                          <a:prstDash val="solid"/>
                          <a:round/>
                          <a:headEnd type="arrow" w="med" len="med"/>
                          <a:tailEnd type="arrow"/>
                        </a:ln>
                        <a:effectLst/>
                      </a:spPr>
                    </a:cxnSp>
                    <a:cxnSp>
                      <a:nvCxnSpPr>
                        <a:cNvPr id="46" name="Straight Arrow Connector 45"/>
                        <a:cNvCxnSpPr>
                          <a:endCxn id="13" idx="3"/>
                        </a:cNvCxnSpPr>
                      </a:nvCxnSpPr>
                      <a:spPr bwMode="auto">
                        <a:xfrm rot="10800000" flipV="1">
                          <a:off x="5257800" y="3124200"/>
                          <a:ext cx="1219200" cy="495300"/>
                        </a:xfrm>
                        <a:prstGeom prst="straightConnector1">
                          <a:avLst/>
                        </a:prstGeom>
                        <a:noFill/>
                        <a:ln w="9525" cap="flat" cmpd="sng" algn="ctr">
                          <a:solidFill>
                            <a:schemeClr val="accent2"/>
                          </a:solidFill>
                          <a:prstDash val="solid"/>
                          <a:round/>
                          <a:headEnd type="none" w="med" len="med"/>
                          <a:tailEnd type="arrow"/>
                        </a:ln>
                        <a:effectLst/>
                      </a:spPr>
                    </a:cxnSp>
                    <a:cxnSp>
                      <a:nvCxnSpPr>
                        <a:cNvPr id="49" name="Straight Arrow Connector 48"/>
                        <a:cNvCxnSpPr>
                          <a:stCxn id="13" idx="3"/>
                          <a:endCxn id="31" idx="1"/>
                        </a:cNvCxnSpPr>
                      </a:nvCxnSpPr>
                      <a:spPr bwMode="auto">
                        <a:xfrm>
                          <a:off x="5257800" y="3619500"/>
                          <a:ext cx="1219200" cy="495300"/>
                        </a:xfrm>
                        <a:prstGeom prst="straightConnector1">
                          <a:avLst/>
                        </a:prstGeom>
                        <a:noFill/>
                        <a:ln w="9525" cap="flat" cmpd="sng" algn="ctr">
                          <a:solidFill>
                            <a:schemeClr val="accent2"/>
                          </a:solidFill>
                          <a:prstDash val="solid"/>
                          <a:round/>
                          <a:headEnd type="none" w="med" len="med"/>
                          <a:tailEnd type="arrow"/>
                        </a:ln>
                        <a:effectLst/>
                      </a:spPr>
                    </a:cxnSp>
                    <a:sp>
                      <a:nvSpPr>
                        <a:cNvPr id="52" name="TextBox 51"/>
                        <a:cNvSpPr txBox="1"/>
                      </a:nvSpPr>
                      <a:spPr>
                        <a:xfrm>
                          <a:off x="5562600" y="3463751"/>
                          <a:ext cx="990600" cy="346249"/>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Federated permission</a:t>
                            </a:r>
                            <a:endParaRPr lang="en-US" sz="1100" dirty="0"/>
                          </a:p>
                        </a:txBody>
                        <a:useSpRect/>
                      </a:txSp>
                    </a:sp>
                    <a:sp>
                      <a:nvSpPr>
                        <a:cNvPr id="64" name="TextBox 63"/>
                        <a:cNvSpPr txBox="1"/>
                      </a:nvSpPr>
                      <a:spPr>
                        <a:xfrm>
                          <a:off x="7543800" y="3124200"/>
                          <a:ext cx="990600" cy="346249"/>
                        </a:xfrm>
                        <a:prstGeom prst="rect">
                          <a:avLst/>
                        </a:prstGeom>
                        <a:noFill/>
                      </a:spPr>
                      <a:txSp>
                        <a:txBody>
                          <a:bodyPr wrap="square" rtlCol="0">
                            <a:spAutoFit/>
                          </a:bodyPr>
                          <a:lstStyle>
                            <a:defPPr>
                              <a:defRPr lang="en-US"/>
                            </a:defPPr>
                            <a:lvl1pPr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1pPr>
                            <a:lvl2pPr marL="4572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2pPr>
                            <a:lvl3pPr marL="9144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3pPr>
                            <a:lvl4pPr marL="13716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4pPr>
                            <a:lvl5pPr marL="1828800" algn="l" rtl="0" eaLnBrk="0" fontAlgn="base" hangingPunct="0">
                              <a:lnSpc>
                                <a:spcPct val="75000"/>
                              </a:lnSpc>
                              <a:spcBef>
                                <a:spcPct val="55000"/>
                              </a:spcBef>
                              <a:spcAft>
                                <a:spcPct val="0"/>
                              </a:spcAft>
                              <a:buChar char="•"/>
                              <a:defRPr sz="2800" kern="1200">
                                <a:solidFill>
                                  <a:schemeClr val="tx1"/>
                                </a:solidFill>
                                <a:latin typeface="Arial" charset="0"/>
                                <a:ea typeface="+mn-ea"/>
                                <a:cs typeface="+mn-cs"/>
                              </a:defRPr>
                            </a:lvl5pPr>
                            <a:lvl6pPr marL="2286000" algn="l" defTabSz="914400" rtl="0" eaLnBrk="1" latinLnBrk="0" hangingPunct="1">
                              <a:defRPr sz="2800" kern="1200">
                                <a:solidFill>
                                  <a:schemeClr val="tx1"/>
                                </a:solidFill>
                                <a:latin typeface="Arial" charset="0"/>
                                <a:ea typeface="+mn-ea"/>
                                <a:cs typeface="+mn-cs"/>
                              </a:defRPr>
                            </a:lvl6pPr>
                            <a:lvl7pPr marL="2743200" algn="l" defTabSz="914400" rtl="0" eaLnBrk="1" latinLnBrk="0" hangingPunct="1">
                              <a:defRPr sz="2800" kern="1200">
                                <a:solidFill>
                                  <a:schemeClr val="tx1"/>
                                </a:solidFill>
                                <a:latin typeface="Arial" charset="0"/>
                                <a:ea typeface="+mn-ea"/>
                                <a:cs typeface="+mn-cs"/>
                              </a:defRPr>
                            </a:lvl7pPr>
                            <a:lvl8pPr marL="3200400" algn="l" defTabSz="914400" rtl="0" eaLnBrk="1" latinLnBrk="0" hangingPunct="1">
                              <a:defRPr sz="2800" kern="1200">
                                <a:solidFill>
                                  <a:schemeClr val="tx1"/>
                                </a:solidFill>
                                <a:latin typeface="Arial" charset="0"/>
                                <a:ea typeface="+mn-ea"/>
                                <a:cs typeface="+mn-cs"/>
                              </a:defRPr>
                            </a:lvl8pPr>
                            <a:lvl9pPr marL="3657600" algn="l" defTabSz="914400" rtl="0" eaLnBrk="1" latinLnBrk="0" hangingPunct="1">
                              <a:defRPr sz="2800" kern="1200">
                                <a:solidFill>
                                  <a:schemeClr val="tx1"/>
                                </a:solidFill>
                                <a:latin typeface="Arial" charset="0"/>
                                <a:ea typeface="+mn-ea"/>
                                <a:cs typeface="+mn-cs"/>
                              </a:defRPr>
                            </a:lvl9pPr>
                          </a:lstStyle>
                          <a:p>
                            <a:pPr>
                              <a:buNone/>
                            </a:pPr>
                            <a:r>
                              <a:rPr lang="en-US" sz="1100" dirty="0" smtClean="0"/>
                              <a:t>User permissions</a:t>
                            </a:r>
                            <a:endParaRPr lang="en-US" sz="1100" dirty="0"/>
                          </a:p>
                        </a:txBody>
                        <a:useSpRect/>
                      </a:txSp>
                    </a:sp>
                  </a:grpSp>
                </lc:lockedCanvas>
              </a:graphicData>
            </a:graphic>
          </wp:inline>
        </w:drawing>
      </w:r>
    </w:p>
    <w:p w:rsidR="00730183" w:rsidRDefault="00730183" w:rsidP="00730183">
      <w:pPr>
        <w:pStyle w:val="Heading3"/>
      </w:pPr>
      <w:r w:rsidRPr="003A7DFE">
        <w:t>Fig</w:t>
      </w:r>
      <w:r w:rsidRPr="003A7DFE">
        <w:rPr>
          <w:rFonts w:hint="eastAsia"/>
          <w:lang w:eastAsia="ja-JP"/>
        </w:rPr>
        <w:t>ure</w:t>
      </w:r>
      <w:r w:rsidRPr="003A7DFE">
        <w:t xml:space="preserve"> </w:t>
      </w:r>
      <w:r>
        <w:t>VI-3</w:t>
      </w:r>
      <w:r>
        <w:rPr>
          <w:rFonts w:hint="eastAsia"/>
          <w:lang w:eastAsia="ja-JP"/>
        </w:rPr>
        <w:t xml:space="preserve"> </w:t>
      </w:r>
      <w:r>
        <w:rPr>
          <w:lang w:eastAsia="ja-JP"/>
        </w:rPr>
        <w:t>–</w:t>
      </w:r>
      <w:r>
        <w:rPr>
          <w:rFonts w:hint="eastAsia"/>
          <w:lang w:eastAsia="ja-JP"/>
        </w:rPr>
        <w:t xml:space="preserve"> </w:t>
      </w:r>
      <w:r>
        <w:rPr>
          <w:lang w:eastAsia="ja-JP"/>
        </w:rPr>
        <w:t xml:space="preserve">Example of </w:t>
      </w:r>
      <w:r>
        <w:t>e</w:t>
      </w:r>
      <w:r w:rsidRPr="00605170">
        <w:t>nd-user measurement function based user permission</w:t>
      </w:r>
    </w:p>
    <w:p w:rsidR="00730183" w:rsidRPr="003A7DFE" w:rsidRDefault="00730183" w:rsidP="00730183">
      <w:pPr>
        <w:pStyle w:val="Caption"/>
        <w:jc w:val="center"/>
        <w:rPr>
          <w:lang w:eastAsia="ja-JP"/>
        </w:rPr>
      </w:pPr>
      <w:r>
        <w:rPr>
          <w:lang w:eastAsia="ja-JP"/>
        </w:rPr>
        <w:t>deployment</w:t>
      </w:r>
    </w:p>
    <w:p w:rsidR="00730183" w:rsidRDefault="00730183" w:rsidP="007071F9">
      <w:pPr>
        <w:rPr>
          <w:lang w:eastAsia="zh-CN"/>
        </w:rPr>
      </w:pPr>
      <w:r>
        <w:rPr>
          <w:lang w:eastAsia="zh-CN"/>
        </w:rPr>
        <w:t>Note that using this method, visibility into</w:t>
      </w:r>
      <w:r w:rsidR="00495D19">
        <w:rPr>
          <w:lang w:eastAsia="zh-CN"/>
        </w:rPr>
        <w:t xml:space="preserve"> the</w:t>
      </w:r>
      <w:r>
        <w:rPr>
          <w:lang w:eastAsia="zh-CN"/>
        </w:rPr>
        <w:t xml:space="preserve"> </w:t>
      </w:r>
      <w:r w:rsidR="00495D19">
        <w:rPr>
          <w:lang w:eastAsia="zh-CN"/>
        </w:rPr>
        <w:t>audience segmented by permission levels</w:t>
      </w:r>
      <w:r>
        <w:rPr>
          <w:lang w:eastAsia="zh-CN"/>
        </w:rPr>
        <w:t xml:space="preserve"> can be obtained by the Measurements Manager from the AM system.</w:t>
      </w:r>
    </w:p>
    <w:p w:rsidR="00F11364" w:rsidRDefault="00F11364" w:rsidP="007071F9">
      <w:pPr>
        <w:rPr>
          <w:lang w:eastAsia="zh-CN"/>
        </w:rPr>
      </w:pPr>
    </w:p>
    <w:p w:rsidR="00F11364" w:rsidRPr="00857F72" w:rsidRDefault="00F11364" w:rsidP="00F11364">
      <w:pPr>
        <w:jc w:val="center"/>
        <w:rPr>
          <w:lang w:eastAsia="zh-CN"/>
        </w:rPr>
      </w:pPr>
      <w:r>
        <w:rPr>
          <w:lang w:eastAsia="zh-CN"/>
        </w:rPr>
        <w:t>_______________</w:t>
      </w:r>
    </w:p>
    <w:sectPr w:rsidR="00F11364" w:rsidRPr="00857F72" w:rsidSect="00F11364">
      <w:headerReference w:type="default" r:id="rId8"/>
      <w:footerReference w:type="first" r:id="rId9"/>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91C" w:rsidRDefault="002B191C">
      <w:r>
        <w:separator/>
      </w:r>
    </w:p>
  </w:endnote>
  <w:endnote w:type="continuationSeparator" w:id="0">
    <w:p w:rsidR="002B191C" w:rsidRDefault="002B191C">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lgun Gothic">
    <w:altName w:val="Dotum"/>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30" w:type="dxa"/>
      <w:jc w:val="center"/>
      <w:tblLayout w:type="fixed"/>
      <w:tblCellMar>
        <w:left w:w="57" w:type="dxa"/>
        <w:right w:w="57" w:type="dxa"/>
      </w:tblCellMar>
      <w:tblLook w:val="04A0"/>
    </w:tblPr>
    <w:tblGrid>
      <w:gridCol w:w="1618"/>
      <w:gridCol w:w="4397"/>
      <w:gridCol w:w="3915"/>
    </w:tblGrid>
    <w:tr w:rsidR="00F11364" w:rsidTr="00F11364">
      <w:trPr>
        <w:cantSplit/>
        <w:trHeight w:val="204"/>
        <w:jc w:val="center"/>
      </w:trPr>
      <w:tc>
        <w:tcPr>
          <w:tcW w:w="1618" w:type="dxa"/>
          <w:tcBorders>
            <w:top w:val="single" w:sz="12" w:space="0" w:color="auto"/>
            <w:left w:val="nil"/>
            <w:bottom w:val="nil"/>
            <w:right w:val="nil"/>
          </w:tcBorders>
          <w:hideMark/>
        </w:tcPr>
        <w:p w:rsidR="00F11364" w:rsidRDefault="00F11364">
          <w:pPr>
            <w:rPr>
              <w:b/>
              <w:bCs/>
              <w:sz w:val="22"/>
            </w:rPr>
          </w:pPr>
          <w:bookmarkStart w:id="13" w:name="dcontent" w:colFirst="1" w:colLast="1"/>
          <w:bookmarkStart w:id="14" w:name="dcontent2" w:colFirst="1" w:colLast="1"/>
          <w:r>
            <w:rPr>
              <w:b/>
              <w:bCs/>
              <w:sz w:val="22"/>
            </w:rPr>
            <w:t>Contact:</w:t>
          </w:r>
        </w:p>
      </w:tc>
      <w:tc>
        <w:tcPr>
          <w:tcW w:w="4397" w:type="dxa"/>
          <w:tcBorders>
            <w:top w:val="single" w:sz="12" w:space="0" w:color="auto"/>
            <w:left w:val="nil"/>
            <w:bottom w:val="nil"/>
            <w:right w:val="nil"/>
          </w:tcBorders>
          <w:hideMark/>
        </w:tcPr>
        <w:p w:rsidR="00F11364" w:rsidRDefault="00F11364">
          <w:pPr>
            <w:spacing w:before="0"/>
            <w:rPr>
              <w:sz w:val="22"/>
              <w:lang w:eastAsia="ko-KR"/>
            </w:rPr>
          </w:pPr>
          <w:r>
            <w:rPr>
              <w:rStyle w:val="Strong"/>
              <w:szCs w:val="22"/>
            </w:rPr>
            <w:t>Philip Jacobs</w:t>
          </w:r>
          <w:r>
            <w:rPr>
              <w:sz w:val="22"/>
              <w:lang w:eastAsia="ko-KR"/>
            </w:rPr>
            <w:t xml:space="preserve"> </w:t>
          </w:r>
        </w:p>
        <w:p w:rsidR="00F11364" w:rsidRDefault="00F11364">
          <w:pPr>
            <w:spacing w:before="0"/>
            <w:rPr>
              <w:sz w:val="22"/>
              <w:lang w:eastAsia="ko-KR"/>
            </w:rPr>
          </w:pPr>
          <w:r>
            <w:rPr>
              <w:sz w:val="22"/>
              <w:lang w:eastAsia="ko-KR"/>
            </w:rPr>
            <w:t>Cisco Systems Inc</w:t>
          </w:r>
        </w:p>
        <w:p w:rsidR="00F11364" w:rsidRDefault="00F11364">
          <w:pPr>
            <w:spacing w:before="0"/>
            <w:rPr>
              <w:sz w:val="22"/>
              <w:lang w:eastAsia="ko-KR"/>
            </w:rPr>
          </w:pPr>
          <w:r>
            <w:rPr>
              <w:sz w:val="22"/>
              <w:lang w:eastAsia="ko-KR"/>
            </w:rPr>
            <w:t>USA</w:t>
          </w:r>
        </w:p>
      </w:tc>
      <w:tc>
        <w:tcPr>
          <w:tcW w:w="3915" w:type="dxa"/>
          <w:tcBorders>
            <w:top w:val="single" w:sz="12" w:space="0" w:color="auto"/>
            <w:left w:val="nil"/>
            <w:bottom w:val="nil"/>
            <w:right w:val="nil"/>
          </w:tcBorders>
          <w:hideMark/>
        </w:tcPr>
        <w:p w:rsidR="00F11364" w:rsidRDefault="00F11364">
          <w:pPr>
            <w:rPr>
              <w:rFonts w:eastAsia="Batang"/>
              <w:sz w:val="22"/>
              <w:lang w:eastAsia="ko-KR"/>
            </w:rPr>
          </w:pPr>
          <w:r>
            <w:rPr>
              <w:sz w:val="22"/>
            </w:rPr>
            <w:t>Tel:</w:t>
          </w:r>
          <w:r>
            <w:rPr>
              <w:sz w:val="22"/>
              <w:lang w:eastAsia="ko-KR"/>
            </w:rPr>
            <w:t xml:space="preserve"> +</w:t>
          </w:r>
          <w:r>
            <w:rPr>
              <w:lang w:val="de-DE"/>
            </w:rPr>
            <w:t>1 978-936-1604</w:t>
          </w:r>
        </w:p>
        <w:p w:rsidR="00F11364" w:rsidRDefault="00F11364">
          <w:pPr>
            <w:spacing w:before="0"/>
            <w:rPr>
              <w:rFonts w:eastAsia="Batang"/>
              <w:sz w:val="22"/>
              <w:lang w:eastAsia="ko-KR"/>
            </w:rPr>
          </w:pPr>
          <w:r>
            <w:rPr>
              <w:sz w:val="22"/>
            </w:rPr>
            <w:t>Fax:</w:t>
          </w:r>
          <w:r>
            <w:rPr>
              <w:sz w:val="22"/>
              <w:lang w:eastAsia="ko-KR"/>
            </w:rPr>
            <w:t xml:space="preserve"> +1 603-425-1931</w:t>
          </w:r>
        </w:p>
        <w:p w:rsidR="00F11364" w:rsidRDefault="00F11364">
          <w:pPr>
            <w:spacing w:before="0"/>
            <w:rPr>
              <w:sz w:val="22"/>
              <w:lang w:eastAsia="ko-KR"/>
            </w:rPr>
          </w:pPr>
          <w:r>
            <w:rPr>
              <w:sz w:val="22"/>
            </w:rPr>
            <w:t>Email:</w:t>
          </w:r>
          <w:r>
            <w:rPr>
              <w:sz w:val="22"/>
              <w:lang w:eastAsia="ko-KR"/>
            </w:rPr>
            <w:t xml:space="preserve"> </w:t>
          </w:r>
          <w:r>
            <w:rPr>
              <w:rFonts w:eastAsia="Batang"/>
              <w:sz w:val="22"/>
              <w:lang w:eastAsia="ko-KR"/>
            </w:rPr>
            <w:t>phjacobs</w:t>
          </w:r>
          <w:r>
            <w:rPr>
              <w:sz w:val="22"/>
              <w:lang w:eastAsia="ko-KR"/>
            </w:rPr>
            <w:t>@</w:t>
          </w:r>
          <w:r>
            <w:rPr>
              <w:rFonts w:eastAsia="Batang"/>
              <w:sz w:val="22"/>
              <w:lang w:eastAsia="ko-KR"/>
            </w:rPr>
            <w:t>cisco.com</w:t>
          </w:r>
        </w:p>
      </w:tc>
    </w:tr>
    <w:bookmarkEnd w:id="13"/>
    <w:bookmarkEnd w:id="14"/>
    <w:tr w:rsidR="00F11364" w:rsidTr="00F11364">
      <w:trPr>
        <w:cantSplit/>
        <w:jc w:val="center"/>
      </w:trPr>
      <w:tc>
        <w:tcPr>
          <w:tcW w:w="9930" w:type="dxa"/>
          <w:gridSpan w:val="3"/>
          <w:tcBorders>
            <w:top w:val="single" w:sz="4" w:space="0" w:color="auto"/>
            <w:left w:val="single" w:sz="4" w:space="0" w:color="auto"/>
            <w:bottom w:val="single" w:sz="4" w:space="0" w:color="auto"/>
            <w:right w:val="single" w:sz="4" w:space="0" w:color="auto"/>
          </w:tcBorders>
          <w:hideMark/>
        </w:tcPr>
        <w:p w:rsidR="00F11364" w:rsidRDefault="00F11364">
          <w:pPr>
            <w:spacing w:before="0"/>
            <w:rPr>
              <w:sz w:val="18"/>
            </w:rPr>
          </w:pPr>
          <w:r>
            <w:rPr>
              <w:b/>
              <w:bCs/>
              <w:sz w:val="18"/>
            </w:rPr>
            <w:t>Attention:</w:t>
          </w:r>
          <w:r>
            <w:rPr>
              <w:sz w:val="18"/>
            </w:rPr>
            <w:t xml:space="preserve"> This is not a publication made available to the public, but </w:t>
          </w:r>
          <w:r>
            <w:rPr>
              <w:b/>
              <w:bCs/>
              <w:sz w:val="18"/>
            </w:rPr>
            <w:t>an internal ITU-T Document</w:t>
          </w:r>
          <w:r>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F11364" w:rsidRDefault="00F11364" w:rsidP="00F11364">
    <w:pPr>
      <w:spacing w:before="0"/>
      <w:rPr>
        <w:sz w:val="18"/>
      </w:rPr>
    </w:pPr>
  </w:p>
  <w:p w:rsidR="00F11364" w:rsidRPr="00F11364" w:rsidRDefault="00F11364" w:rsidP="00F11364">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91C" w:rsidRDefault="002B191C">
      <w:r>
        <w:separator/>
      </w:r>
    </w:p>
  </w:footnote>
  <w:footnote w:type="continuationSeparator" w:id="0">
    <w:p w:rsidR="002B191C" w:rsidRDefault="002B1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64" w:rsidRPr="00F11364" w:rsidRDefault="00F11364" w:rsidP="00F11364">
    <w:pPr>
      <w:pStyle w:val="Header"/>
    </w:pPr>
    <w:r w:rsidRPr="00F11364">
      <w:t xml:space="preserve">- </w:t>
    </w:r>
    <w:fldSimple w:instr=" PAGE  \* MERGEFORMAT ">
      <w:r>
        <w:rPr>
          <w:noProof/>
        </w:rPr>
        <w:t>3</w:t>
      </w:r>
    </w:fldSimple>
    <w:r w:rsidRPr="00F11364">
      <w:t xml:space="preserve"> -</w:t>
    </w:r>
  </w:p>
  <w:p w:rsidR="00020F19" w:rsidRPr="00F11364" w:rsidRDefault="00F11364" w:rsidP="00F11364">
    <w:pPr>
      <w:pStyle w:val="Header"/>
      <w:spacing w:after="240"/>
    </w:pPr>
    <w:r w:rsidRPr="00F11364">
      <w:t>IPTV-GSI-C-475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15"/>
    <w:lvl w:ilvl="0">
      <w:start w:val="1"/>
      <w:numFmt w:val="lowerLetter"/>
      <w:lvlText w:val="%1)"/>
      <w:lvlJc w:val="left"/>
      <w:pPr>
        <w:tabs>
          <w:tab w:val="num" w:pos="360"/>
        </w:tabs>
        <w:ind w:left="360" w:hanging="360"/>
      </w:pPr>
    </w:lvl>
  </w:abstractNum>
  <w:abstractNum w:abstractNumId="1">
    <w:nsid w:val="00000017"/>
    <w:multiLevelType w:val="singleLevel"/>
    <w:tmpl w:val="00000017"/>
    <w:name w:val="WW8Num17"/>
    <w:lvl w:ilvl="0">
      <w:numFmt w:val="bullet"/>
      <w:lvlText w:val="・"/>
      <w:lvlJc w:val="left"/>
      <w:pPr>
        <w:tabs>
          <w:tab w:val="num" w:pos="195"/>
        </w:tabs>
        <w:ind w:left="195" w:hanging="195"/>
      </w:pPr>
      <w:rPr>
        <w:rFonts w:ascii="MS Mincho" w:hAnsi="MS Mincho" w:cs="MS Gothic"/>
      </w:rPr>
    </w:lvl>
  </w:abstractNum>
  <w:abstractNum w:abstractNumId="2">
    <w:nsid w:val="00000018"/>
    <w:multiLevelType w:val="singleLevel"/>
    <w:tmpl w:val="00000018"/>
    <w:name w:val="WW8Num18"/>
    <w:lvl w:ilvl="0">
      <w:start w:val="1"/>
      <w:numFmt w:val="decimal"/>
      <w:lvlText w:val="%1)"/>
      <w:lvlJc w:val="left"/>
      <w:pPr>
        <w:tabs>
          <w:tab w:val="num" w:pos="720"/>
        </w:tabs>
        <w:ind w:left="720" w:hanging="360"/>
      </w:pPr>
    </w:lvl>
  </w:abstractNum>
  <w:abstractNum w:abstractNumId="3">
    <w:nsid w:val="0000001C"/>
    <w:multiLevelType w:val="singleLevel"/>
    <w:tmpl w:val="0000001C"/>
    <w:name w:val="WW8Num22"/>
    <w:lvl w:ilvl="0">
      <w:start w:val="1"/>
      <w:numFmt w:val="bullet"/>
      <w:lvlText w:val="-"/>
      <w:lvlJc w:val="left"/>
      <w:pPr>
        <w:tabs>
          <w:tab w:val="num" w:pos="840"/>
        </w:tabs>
        <w:ind w:left="840" w:hanging="420"/>
      </w:pPr>
      <w:rPr>
        <w:rFonts w:ascii="SimSun" w:hAnsi="SimSun"/>
        <w:color w:val="auto"/>
      </w:rPr>
    </w:lvl>
  </w:abstractNum>
  <w:abstractNum w:abstractNumId="4">
    <w:nsid w:val="16557FD8"/>
    <w:multiLevelType w:val="multilevel"/>
    <w:tmpl w:val="C4244C12"/>
    <w:styleLink w:val="Bulleted"/>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5F0C7A"/>
    <w:multiLevelType w:val="hybridMultilevel"/>
    <w:tmpl w:val="1240961C"/>
    <w:lvl w:ilvl="0" w:tplc="04090001">
      <w:start w:val="1"/>
      <w:numFmt w:val="decimal"/>
      <w:lvlText w:val="%1."/>
      <w:lvlJc w:val="left"/>
      <w:pPr>
        <w:ind w:left="958" w:hanging="360"/>
      </w:p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6">
    <w:nsid w:val="2E036B03"/>
    <w:multiLevelType w:val="hybridMultilevel"/>
    <w:tmpl w:val="667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9481A"/>
    <w:multiLevelType w:val="hybridMultilevel"/>
    <w:tmpl w:val="760C5080"/>
    <w:lvl w:ilvl="0" w:tplc="966E5D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536455"/>
    <w:multiLevelType w:val="hybridMultilevel"/>
    <w:tmpl w:val="DF567ED2"/>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9">
    <w:nsid w:val="30F312A8"/>
    <w:multiLevelType w:val="hybridMultilevel"/>
    <w:tmpl w:val="3BE075C8"/>
    <w:lvl w:ilvl="0" w:tplc="6EA2D4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382802EB"/>
    <w:multiLevelType w:val="hybridMultilevel"/>
    <w:tmpl w:val="44F49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E00CB5"/>
    <w:multiLevelType w:val="hybridMultilevel"/>
    <w:tmpl w:val="8038522A"/>
    <w:lvl w:ilvl="0" w:tplc="00CCF5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CB48F1"/>
    <w:multiLevelType w:val="hybridMultilevel"/>
    <w:tmpl w:val="109ECB36"/>
    <w:lvl w:ilvl="0" w:tplc="04090001">
      <w:start w:val="1"/>
      <w:numFmt w:val="bullet"/>
      <w:lvlText w:val=""/>
      <w:lvlJc w:val="left"/>
      <w:pPr>
        <w:ind w:left="958" w:hanging="360"/>
      </w:pPr>
      <w:rPr>
        <w:rFonts w:ascii="Symbol" w:hAnsi="Symbol"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3">
    <w:nsid w:val="44F5352A"/>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4">
    <w:nsid w:val="52C513C1"/>
    <w:multiLevelType w:val="hybridMultilevel"/>
    <w:tmpl w:val="18722A8E"/>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5">
    <w:nsid w:val="575F1168"/>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6">
    <w:nsid w:val="5A1E06A0"/>
    <w:multiLevelType w:val="hybridMultilevel"/>
    <w:tmpl w:val="D38C2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111A5"/>
    <w:multiLevelType w:val="hybridMultilevel"/>
    <w:tmpl w:val="44F49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42D22"/>
    <w:multiLevelType w:val="hybridMultilevel"/>
    <w:tmpl w:val="591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875DC"/>
    <w:multiLevelType w:val="hybridMultilevel"/>
    <w:tmpl w:val="F55C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E0A17"/>
    <w:multiLevelType w:val="hybridMultilevel"/>
    <w:tmpl w:val="8898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F0458B"/>
    <w:multiLevelType w:val="hybridMultilevel"/>
    <w:tmpl w:val="34C84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4"/>
  </w:num>
  <w:num w:numId="4">
    <w:abstractNumId w:val="11"/>
  </w:num>
  <w:num w:numId="5">
    <w:abstractNumId w:val="8"/>
  </w:num>
  <w:num w:numId="6">
    <w:abstractNumId w:val="21"/>
  </w:num>
  <w:num w:numId="7">
    <w:abstractNumId w:val="16"/>
  </w:num>
  <w:num w:numId="8">
    <w:abstractNumId w:val="19"/>
  </w:num>
  <w:num w:numId="9">
    <w:abstractNumId w:val="6"/>
  </w:num>
  <w:num w:numId="10">
    <w:abstractNumId w:val="20"/>
  </w:num>
  <w:num w:numId="11">
    <w:abstractNumId w:val="7"/>
  </w:num>
  <w:num w:numId="12">
    <w:abstractNumId w:val="5"/>
  </w:num>
  <w:num w:numId="13">
    <w:abstractNumId w:val="18"/>
  </w:num>
  <w:num w:numId="14">
    <w:abstractNumId w:val="13"/>
  </w:num>
  <w:num w:numId="15">
    <w:abstractNumId w:val="15"/>
  </w:num>
  <w:num w:numId="16">
    <w:abstractNumId w:val="10"/>
  </w:num>
  <w:num w:numId="17">
    <w:abstractNumId w:val="17"/>
  </w:num>
  <w:num w:numId="18">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intFractionalCharacterWidth/>
  <w:activeWritingStyle w:appName="MSWord" w:lang="de-DE" w:vendorID="9" w:dllVersion="512" w:checkStyle="0"/>
  <w:proofState w:spelling="clean"/>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01377" fill="f" fillcolor="white" stroke="f">
      <v:fill color="white" on="f"/>
      <v:stroke on="f"/>
      <v:textbox inset="5.85pt,.7pt,5.85pt,.7pt"/>
      <o:colormru v:ext="edit" colors="#ffc,#cf9,#cff,#fcc,#9f6"/>
      <o:colormenu v:ext="edit" fillcolor="white"/>
    </o:shapedefaults>
  </w:hdrShapeDefaults>
  <w:footnotePr>
    <w:footnote w:id="-1"/>
    <w:footnote w:id="0"/>
  </w:footnotePr>
  <w:endnotePr>
    <w:endnote w:id="-1"/>
    <w:endnote w:id="0"/>
  </w:endnotePr>
  <w:compat>
    <w:useFELayout/>
  </w:compat>
  <w:rsids>
    <w:rsidRoot w:val="007623BB"/>
    <w:rsid w:val="0000005B"/>
    <w:rsid w:val="000014AF"/>
    <w:rsid w:val="00001EF4"/>
    <w:rsid w:val="0000442D"/>
    <w:rsid w:val="00014415"/>
    <w:rsid w:val="00014ABD"/>
    <w:rsid w:val="00014FAC"/>
    <w:rsid w:val="000162F8"/>
    <w:rsid w:val="00016575"/>
    <w:rsid w:val="00020F19"/>
    <w:rsid w:val="0002218C"/>
    <w:rsid w:val="00022548"/>
    <w:rsid w:val="00023D80"/>
    <w:rsid w:val="0002441C"/>
    <w:rsid w:val="00024B52"/>
    <w:rsid w:val="0002576C"/>
    <w:rsid w:val="00036742"/>
    <w:rsid w:val="00036C0E"/>
    <w:rsid w:val="00042592"/>
    <w:rsid w:val="0004302B"/>
    <w:rsid w:val="0004648F"/>
    <w:rsid w:val="000501A0"/>
    <w:rsid w:val="00054D13"/>
    <w:rsid w:val="00055A58"/>
    <w:rsid w:val="00055E02"/>
    <w:rsid w:val="0006082D"/>
    <w:rsid w:val="00061994"/>
    <w:rsid w:val="000635A7"/>
    <w:rsid w:val="00063A45"/>
    <w:rsid w:val="00066BF5"/>
    <w:rsid w:val="000706F7"/>
    <w:rsid w:val="00075585"/>
    <w:rsid w:val="0008577A"/>
    <w:rsid w:val="00086E5B"/>
    <w:rsid w:val="00091841"/>
    <w:rsid w:val="00092713"/>
    <w:rsid w:val="0009515B"/>
    <w:rsid w:val="00095656"/>
    <w:rsid w:val="000A296B"/>
    <w:rsid w:val="000A6979"/>
    <w:rsid w:val="000B0146"/>
    <w:rsid w:val="000B23E6"/>
    <w:rsid w:val="000B2F40"/>
    <w:rsid w:val="000B3AAA"/>
    <w:rsid w:val="000B663B"/>
    <w:rsid w:val="000C10F9"/>
    <w:rsid w:val="000D3106"/>
    <w:rsid w:val="000D493C"/>
    <w:rsid w:val="000D5B71"/>
    <w:rsid w:val="000E0645"/>
    <w:rsid w:val="000E3D71"/>
    <w:rsid w:val="000E5349"/>
    <w:rsid w:val="000E53D7"/>
    <w:rsid w:val="000F2361"/>
    <w:rsid w:val="000F28B0"/>
    <w:rsid w:val="000F4567"/>
    <w:rsid w:val="000F633B"/>
    <w:rsid w:val="000F7D4B"/>
    <w:rsid w:val="0010125F"/>
    <w:rsid w:val="00104453"/>
    <w:rsid w:val="001054D9"/>
    <w:rsid w:val="00105FBC"/>
    <w:rsid w:val="001067C3"/>
    <w:rsid w:val="00106EDD"/>
    <w:rsid w:val="00113457"/>
    <w:rsid w:val="00114A53"/>
    <w:rsid w:val="00117FAE"/>
    <w:rsid w:val="0012027A"/>
    <w:rsid w:val="00123FC3"/>
    <w:rsid w:val="00127879"/>
    <w:rsid w:val="00127C80"/>
    <w:rsid w:val="001306CB"/>
    <w:rsid w:val="00130D33"/>
    <w:rsid w:val="00134432"/>
    <w:rsid w:val="00134AF6"/>
    <w:rsid w:val="00136897"/>
    <w:rsid w:val="001415F5"/>
    <w:rsid w:val="001418BE"/>
    <w:rsid w:val="00142BC0"/>
    <w:rsid w:val="00143DAB"/>
    <w:rsid w:val="00144115"/>
    <w:rsid w:val="001460F2"/>
    <w:rsid w:val="00146502"/>
    <w:rsid w:val="0015046E"/>
    <w:rsid w:val="00151A6A"/>
    <w:rsid w:val="00152E02"/>
    <w:rsid w:val="001539A9"/>
    <w:rsid w:val="0015535A"/>
    <w:rsid w:val="00157676"/>
    <w:rsid w:val="00157AAF"/>
    <w:rsid w:val="00157FB0"/>
    <w:rsid w:val="00165B7E"/>
    <w:rsid w:val="00166C27"/>
    <w:rsid w:val="00171ED0"/>
    <w:rsid w:val="001752EB"/>
    <w:rsid w:val="00180C48"/>
    <w:rsid w:val="00181E2F"/>
    <w:rsid w:val="0018394E"/>
    <w:rsid w:val="0018564B"/>
    <w:rsid w:val="00185B91"/>
    <w:rsid w:val="00185F47"/>
    <w:rsid w:val="00194C97"/>
    <w:rsid w:val="00195CAA"/>
    <w:rsid w:val="001A1750"/>
    <w:rsid w:val="001A1F7E"/>
    <w:rsid w:val="001B5831"/>
    <w:rsid w:val="001B6419"/>
    <w:rsid w:val="001B7A63"/>
    <w:rsid w:val="001D03E4"/>
    <w:rsid w:val="001D436E"/>
    <w:rsid w:val="001D48F4"/>
    <w:rsid w:val="001D4E92"/>
    <w:rsid w:val="001D5568"/>
    <w:rsid w:val="001D5867"/>
    <w:rsid w:val="001E0E0B"/>
    <w:rsid w:val="001E55FA"/>
    <w:rsid w:val="001E5F1D"/>
    <w:rsid w:val="001F3A26"/>
    <w:rsid w:val="001F478C"/>
    <w:rsid w:val="001F7EA8"/>
    <w:rsid w:val="00200628"/>
    <w:rsid w:val="00201CBF"/>
    <w:rsid w:val="00202C3D"/>
    <w:rsid w:val="002045CE"/>
    <w:rsid w:val="00205097"/>
    <w:rsid w:val="00210FAD"/>
    <w:rsid w:val="00211110"/>
    <w:rsid w:val="002112BE"/>
    <w:rsid w:val="002123AD"/>
    <w:rsid w:val="002132CB"/>
    <w:rsid w:val="002135F3"/>
    <w:rsid w:val="00213D1B"/>
    <w:rsid w:val="0021634E"/>
    <w:rsid w:val="00222426"/>
    <w:rsid w:val="00226FE1"/>
    <w:rsid w:val="00231FFC"/>
    <w:rsid w:val="002320B4"/>
    <w:rsid w:val="00232CF6"/>
    <w:rsid w:val="002335A5"/>
    <w:rsid w:val="002349D6"/>
    <w:rsid w:val="002379AD"/>
    <w:rsid w:val="0024187C"/>
    <w:rsid w:val="00241AAA"/>
    <w:rsid w:val="002425D1"/>
    <w:rsid w:val="002439C1"/>
    <w:rsid w:val="00243E60"/>
    <w:rsid w:val="00244C29"/>
    <w:rsid w:val="00245B47"/>
    <w:rsid w:val="00247680"/>
    <w:rsid w:val="0025059D"/>
    <w:rsid w:val="00250C1D"/>
    <w:rsid w:val="00251207"/>
    <w:rsid w:val="00252ED9"/>
    <w:rsid w:val="002536C1"/>
    <w:rsid w:val="00255623"/>
    <w:rsid w:val="0026035C"/>
    <w:rsid w:val="00260AA9"/>
    <w:rsid w:val="00260C49"/>
    <w:rsid w:val="00261B22"/>
    <w:rsid w:val="00264234"/>
    <w:rsid w:val="00266E2A"/>
    <w:rsid w:val="00267BEA"/>
    <w:rsid w:val="00271804"/>
    <w:rsid w:val="00272766"/>
    <w:rsid w:val="00274B78"/>
    <w:rsid w:val="00282F1B"/>
    <w:rsid w:val="00286796"/>
    <w:rsid w:val="00286951"/>
    <w:rsid w:val="002875A9"/>
    <w:rsid w:val="00292678"/>
    <w:rsid w:val="002947F1"/>
    <w:rsid w:val="00295B8E"/>
    <w:rsid w:val="00297C15"/>
    <w:rsid w:val="002A1891"/>
    <w:rsid w:val="002A52C1"/>
    <w:rsid w:val="002A5E8A"/>
    <w:rsid w:val="002A6CAF"/>
    <w:rsid w:val="002A738D"/>
    <w:rsid w:val="002A7D9F"/>
    <w:rsid w:val="002B0AD5"/>
    <w:rsid w:val="002B191C"/>
    <w:rsid w:val="002B1E80"/>
    <w:rsid w:val="002B2774"/>
    <w:rsid w:val="002B2992"/>
    <w:rsid w:val="002B2A31"/>
    <w:rsid w:val="002B54F4"/>
    <w:rsid w:val="002B5DF3"/>
    <w:rsid w:val="002B6B2B"/>
    <w:rsid w:val="002B752D"/>
    <w:rsid w:val="002C03DD"/>
    <w:rsid w:val="002C4FAA"/>
    <w:rsid w:val="002C50A0"/>
    <w:rsid w:val="002C6541"/>
    <w:rsid w:val="002C7097"/>
    <w:rsid w:val="002C7263"/>
    <w:rsid w:val="002C787F"/>
    <w:rsid w:val="002D28C9"/>
    <w:rsid w:val="002D388A"/>
    <w:rsid w:val="002D68BA"/>
    <w:rsid w:val="002D72AB"/>
    <w:rsid w:val="002D7E2E"/>
    <w:rsid w:val="002E2A5A"/>
    <w:rsid w:val="002E4BBC"/>
    <w:rsid w:val="002E5E78"/>
    <w:rsid w:val="002E7BB9"/>
    <w:rsid w:val="002F02DA"/>
    <w:rsid w:val="002F1C3D"/>
    <w:rsid w:val="002F4870"/>
    <w:rsid w:val="002F4BED"/>
    <w:rsid w:val="002F694A"/>
    <w:rsid w:val="00302B62"/>
    <w:rsid w:val="00302FF2"/>
    <w:rsid w:val="00303E14"/>
    <w:rsid w:val="00303F1E"/>
    <w:rsid w:val="00304E5E"/>
    <w:rsid w:val="00305FE0"/>
    <w:rsid w:val="00310265"/>
    <w:rsid w:val="0031154C"/>
    <w:rsid w:val="003123C0"/>
    <w:rsid w:val="00312E84"/>
    <w:rsid w:val="003136E4"/>
    <w:rsid w:val="00314867"/>
    <w:rsid w:val="0031718A"/>
    <w:rsid w:val="00317628"/>
    <w:rsid w:val="003230DB"/>
    <w:rsid w:val="00323B18"/>
    <w:rsid w:val="003241EE"/>
    <w:rsid w:val="003269D5"/>
    <w:rsid w:val="00326F94"/>
    <w:rsid w:val="003303F5"/>
    <w:rsid w:val="00330A07"/>
    <w:rsid w:val="00332911"/>
    <w:rsid w:val="00334432"/>
    <w:rsid w:val="0033553A"/>
    <w:rsid w:val="003356C8"/>
    <w:rsid w:val="00336233"/>
    <w:rsid w:val="0034240B"/>
    <w:rsid w:val="00343378"/>
    <w:rsid w:val="00345AF9"/>
    <w:rsid w:val="00351D22"/>
    <w:rsid w:val="003543DE"/>
    <w:rsid w:val="00354F2B"/>
    <w:rsid w:val="00354F9F"/>
    <w:rsid w:val="003561EF"/>
    <w:rsid w:val="00362FA7"/>
    <w:rsid w:val="0036310E"/>
    <w:rsid w:val="003711EC"/>
    <w:rsid w:val="00371BB7"/>
    <w:rsid w:val="0037759F"/>
    <w:rsid w:val="0038149E"/>
    <w:rsid w:val="00382F75"/>
    <w:rsid w:val="003846AC"/>
    <w:rsid w:val="00384C37"/>
    <w:rsid w:val="00385D9D"/>
    <w:rsid w:val="00386B5C"/>
    <w:rsid w:val="00387C7F"/>
    <w:rsid w:val="003915B2"/>
    <w:rsid w:val="003922DE"/>
    <w:rsid w:val="00392379"/>
    <w:rsid w:val="00392809"/>
    <w:rsid w:val="003973C0"/>
    <w:rsid w:val="003A0B64"/>
    <w:rsid w:val="003A225E"/>
    <w:rsid w:val="003A3ABE"/>
    <w:rsid w:val="003A68FC"/>
    <w:rsid w:val="003A6B99"/>
    <w:rsid w:val="003A6D53"/>
    <w:rsid w:val="003A7D43"/>
    <w:rsid w:val="003B0AD8"/>
    <w:rsid w:val="003B365E"/>
    <w:rsid w:val="003B4B65"/>
    <w:rsid w:val="003B4E9F"/>
    <w:rsid w:val="003B53E5"/>
    <w:rsid w:val="003C1DA2"/>
    <w:rsid w:val="003C2969"/>
    <w:rsid w:val="003C3ADF"/>
    <w:rsid w:val="003C44D4"/>
    <w:rsid w:val="003D2CA2"/>
    <w:rsid w:val="003D50D6"/>
    <w:rsid w:val="003E3556"/>
    <w:rsid w:val="003E4BB5"/>
    <w:rsid w:val="003E7912"/>
    <w:rsid w:val="003F4C7F"/>
    <w:rsid w:val="003F5292"/>
    <w:rsid w:val="003F6543"/>
    <w:rsid w:val="00402315"/>
    <w:rsid w:val="00404466"/>
    <w:rsid w:val="00404CAB"/>
    <w:rsid w:val="0040666A"/>
    <w:rsid w:val="00407C63"/>
    <w:rsid w:val="00410809"/>
    <w:rsid w:val="00414331"/>
    <w:rsid w:val="00414A18"/>
    <w:rsid w:val="00420C22"/>
    <w:rsid w:val="004221F9"/>
    <w:rsid w:val="00423F3F"/>
    <w:rsid w:val="004245E3"/>
    <w:rsid w:val="00426175"/>
    <w:rsid w:val="00427909"/>
    <w:rsid w:val="00432ADD"/>
    <w:rsid w:val="00432C4E"/>
    <w:rsid w:val="00433617"/>
    <w:rsid w:val="00436415"/>
    <w:rsid w:val="00437680"/>
    <w:rsid w:val="004468FD"/>
    <w:rsid w:val="00452B2D"/>
    <w:rsid w:val="004537A6"/>
    <w:rsid w:val="00457A63"/>
    <w:rsid w:val="00462E20"/>
    <w:rsid w:val="00464BC8"/>
    <w:rsid w:val="004717C9"/>
    <w:rsid w:val="00473727"/>
    <w:rsid w:val="004753F8"/>
    <w:rsid w:val="004761FE"/>
    <w:rsid w:val="0048012D"/>
    <w:rsid w:val="00480618"/>
    <w:rsid w:val="0048065F"/>
    <w:rsid w:val="00481491"/>
    <w:rsid w:val="00483E31"/>
    <w:rsid w:val="00484472"/>
    <w:rsid w:val="004868A3"/>
    <w:rsid w:val="00487347"/>
    <w:rsid w:val="00491564"/>
    <w:rsid w:val="00492DBC"/>
    <w:rsid w:val="0049483E"/>
    <w:rsid w:val="004948E5"/>
    <w:rsid w:val="00495D19"/>
    <w:rsid w:val="00495E3B"/>
    <w:rsid w:val="00496C75"/>
    <w:rsid w:val="004A351E"/>
    <w:rsid w:val="004A573C"/>
    <w:rsid w:val="004A57DE"/>
    <w:rsid w:val="004B4369"/>
    <w:rsid w:val="004B4715"/>
    <w:rsid w:val="004B4D6F"/>
    <w:rsid w:val="004B63AB"/>
    <w:rsid w:val="004B725B"/>
    <w:rsid w:val="004C5944"/>
    <w:rsid w:val="004D0698"/>
    <w:rsid w:val="004D078B"/>
    <w:rsid w:val="004D0927"/>
    <w:rsid w:val="004E5208"/>
    <w:rsid w:val="004E57A6"/>
    <w:rsid w:val="004E66C5"/>
    <w:rsid w:val="004E6F73"/>
    <w:rsid w:val="004E703D"/>
    <w:rsid w:val="004E7E2C"/>
    <w:rsid w:val="004F0334"/>
    <w:rsid w:val="004F5AFE"/>
    <w:rsid w:val="004F66CB"/>
    <w:rsid w:val="004F722A"/>
    <w:rsid w:val="005014C0"/>
    <w:rsid w:val="00501AC1"/>
    <w:rsid w:val="00502C91"/>
    <w:rsid w:val="005041DE"/>
    <w:rsid w:val="00506AFB"/>
    <w:rsid w:val="0051203A"/>
    <w:rsid w:val="00513D41"/>
    <w:rsid w:val="005160DB"/>
    <w:rsid w:val="00516148"/>
    <w:rsid w:val="00521BFC"/>
    <w:rsid w:val="00523BA0"/>
    <w:rsid w:val="00531A10"/>
    <w:rsid w:val="00531AB0"/>
    <w:rsid w:val="00531DBC"/>
    <w:rsid w:val="005320D3"/>
    <w:rsid w:val="00534C62"/>
    <w:rsid w:val="005358F1"/>
    <w:rsid w:val="0053672E"/>
    <w:rsid w:val="00536B08"/>
    <w:rsid w:val="005419F2"/>
    <w:rsid w:val="005422FD"/>
    <w:rsid w:val="0054295D"/>
    <w:rsid w:val="00542E39"/>
    <w:rsid w:val="005440E5"/>
    <w:rsid w:val="0054476A"/>
    <w:rsid w:val="005517D1"/>
    <w:rsid w:val="005567E1"/>
    <w:rsid w:val="00556F31"/>
    <w:rsid w:val="005577F7"/>
    <w:rsid w:val="00561BAA"/>
    <w:rsid w:val="00562AE9"/>
    <w:rsid w:val="00564193"/>
    <w:rsid w:val="00564A93"/>
    <w:rsid w:val="00565AA3"/>
    <w:rsid w:val="00566E55"/>
    <w:rsid w:val="005733F6"/>
    <w:rsid w:val="005852A0"/>
    <w:rsid w:val="00585A95"/>
    <w:rsid w:val="00586784"/>
    <w:rsid w:val="00592C2A"/>
    <w:rsid w:val="00592F38"/>
    <w:rsid w:val="00593C5B"/>
    <w:rsid w:val="005A0291"/>
    <w:rsid w:val="005A1FE9"/>
    <w:rsid w:val="005A5F3D"/>
    <w:rsid w:val="005B531C"/>
    <w:rsid w:val="005B537B"/>
    <w:rsid w:val="005B597C"/>
    <w:rsid w:val="005B67BE"/>
    <w:rsid w:val="005B6935"/>
    <w:rsid w:val="005B6FD6"/>
    <w:rsid w:val="005B70C1"/>
    <w:rsid w:val="005C1282"/>
    <w:rsid w:val="005C1DE9"/>
    <w:rsid w:val="005C531E"/>
    <w:rsid w:val="005C5D53"/>
    <w:rsid w:val="005C64DA"/>
    <w:rsid w:val="005D0FB4"/>
    <w:rsid w:val="005D2EE8"/>
    <w:rsid w:val="005D3D45"/>
    <w:rsid w:val="005D4750"/>
    <w:rsid w:val="005E03BC"/>
    <w:rsid w:val="005E55FA"/>
    <w:rsid w:val="005E705B"/>
    <w:rsid w:val="005F68C1"/>
    <w:rsid w:val="005F7327"/>
    <w:rsid w:val="005F788A"/>
    <w:rsid w:val="0060123F"/>
    <w:rsid w:val="00604E9D"/>
    <w:rsid w:val="00605587"/>
    <w:rsid w:val="006142A2"/>
    <w:rsid w:val="00620112"/>
    <w:rsid w:val="0062112A"/>
    <w:rsid w:val="00621145"/>
    <w:rsid w:val="00621DC6"/>
    <w:rsid w:val="00622A53"/>
    <w:rsid w:val="00623BD5"/>
    <w:rsid w:val="006252E0"/>
    <w:rsid w:val="0062597D"/>
    <w:rsid w:val="00630887"/>
    <w:rsid w:val="00632371"/>
    <w:rsid w:val="0063673C"/>
    <w:rsid w:val="006369A0"/>
    <w:rsid w:val="00640B22"/>
    <w:rsid w:val="00643694"/>
    <w:rsid w:val="0064427E"/>
    <w:rsid w:val="00645B5B"/>
    <w:rsid w:val="0064607D"/>
    <w:rsid w:val="006504B3"/>
    <w:rsid w:val="006519F1"/>
    <w:rsid w:val="00656425"/>
    <w:rsid w:val="00657292"/>
    <w:rsid w:val="00660DF0"/>
    <w:rsid w:val="00660ED8"/>
    <w:rsid w:val="0066312C"/>
    <w:rsid w:val="006633C7"/>
    <w:rsid w:val="00664AE4"/>
    <w:rsid w:val="00667CCD"/>
    <w:rsid w:val="00672A06"/>
    <w:rsid w:val="006767C5"/>
    <w:rsid w:val="0068406D"/>
    <w:rsid w:val="006850AF"/>
    <w:rsid w:val="0068741E"/>
    <w:rsid w:val="00687B95"/>
    <w:rsid w:val="00690634"/>
    <w:rsid w:val="00690F7A"/>
    <w:rsid w:val="00691AB5"/>
    <w:rsid w:val="00694211"/>
    <w:rsid w:val="006A0345"/>
    <w:rsid w:val="006A075F"/>
    <w:rsid w:val="006A2A7B"/>
    <w:rsid w:val="006A51F3"/>
    <w:rsid w:val="006A5D22"/>
    <w:rsid w:val="006A6203"/>
    <w:rsid w:val="006B28D6"/>
    <w:rsid w:val="006B3C95"/>
    <w:rsid w:val="006B56A6"/>
    <w:rsid w:val="006B731B"/>
    <w:rsid w:val="006B7A2B"/>
    <w:rsid w:val="006C062F"/>
    <w:rsid w:val="006C08A3"/>
    <w:rsid w:val="006C2EA1"/>
    <w:rsid w:val="006C4537"/>
    <w:rsid w:val="006C6923"/>
    <w:rsid w:val="006D0DC5"/>
    <w:rsid w:val="006D4AE0"/>
    <w:rsid w:val="006D62D5"/>
    <w:rsid w:val="006E1AF4"/>
    <w:rsid w:val="006E6714"/>
    <w:rsid w:val="006E6769"/>
    <w:rsid w:val="006E6F83"/>
    <w:rsid w:val="006E7629"/>
    <w:rsid w:val="006E7907"/>
    <w:rsid w:val="006E7E28"/>
    <w:rsid w:val="006F0F45"/>
    <w:rsid w:val="006F19F3"/>
    <w:rsid w:val="00701E4B"/>
    <w:rsid w:val="007023F7"/>
    <w:rsid w:val="00705A30"/>
    <w:rsid w:val="007071F9"/>
    <w:rsid w:val="00707D3C"/>
    <w:rsid w:val="007161D7"/>
    <w:rsid w:val="00717A4E"/>
    <w:rsid w:val="00717FD6"/>
    <w:rsid w:val="00720D48"/>
    <w:rsid w:val="00723DCB"/>
    <w:rsid w:val="0072723D"/>
    <w:rsid w:val="00730183"/>
    <w:rsid w:val="00730486"/>
    <w:rsid w:val="00735265"/>
    <w:rsid w:val="007447DE"/>
    <w:rsid w:val="00746864"/>
    <w:rsid w:val="007502A5"/>
    <w:rsid w:val="00756331"/>
    <w:rsid w:val="00756CE1"/>
    <w:rsid w:val="00760974"/>
    <w:rsid w:val="007623BB"/>
    <w:rsid w:val="007634B1"/>
    <w:rsid w:val="00764E0E"/>
    <w:rsid w:val="00766179"/>
    <w:rsid w:val="0077395E"/>
    <w:rsid w:val="0078493F"/>
    <w:rsid w:val="00785843"/>
    <w:rsid w:val="00786376"/>
    <w:rsid w:val="00786861"/>
    <w:rsid w:val="00790C1E"/>
    <w:rsid w:val="00790DCF"/>
    <w:rsid w:val="00791AC6"/>
    <w:rsid w:val="007A18EB"/>
    <w:rsid w:val="007A742B"/>
    <w:rsid w:val="007A792F"/>
    <w:rsid w:val="007A797B"/>
    <w:rsid w:val="007B08E2"/>
    <w:rsid w:val="007B128E"/>
    <w:rsid w:val="007C0B12"/>
    <w:rsid w:val="007C0E1E"/>
    <w:rsid w:val="007C26E0"/>
    <w:rsid w:val="007C3261"/>
    <w:rsid w:val="007C7FB3"/>
    <w:rsid w:val="007D2E8C"/>
    <w:rsid w:val="007D48BD"/>
    <w:rsid w:val="007E1BFB"/>
    <w:rsid w:val="007E497D"/>
    <w:rsid w:val="007E51CD"/>
    <w:rsid w:val="007E6308"/>
    <w:rsid w:val="007F0516"/>
    <w:rsid w:val="007F0DC4"/>
    <w:rsid w:val="007F2B53"/>
    <w:rsid w:val="007F2BAA"/>
    <w:rsid w:val="007F3764"/>
    <w:rsid w:val="007F460D"/>
    <w:rsid w:val="007F4D40"/>
    <w:rsid w:val="007F4EA1"/>
    <w:rsid w:val="007F611A"/>
    <w:rsid w:val="007F6C2D"/>
    <w:rsid w:val="007F790C"/>
    <w:rsid w:val="00800598"/>
    <w:rsid w:val="0080233B"/>
    <w:rsid w:val="00803A50"/>
    <w:rsid w:val="00805831"/>
    <w:rsid w:val="0081098A"/>
    <w:rsid w:val="00812E24"/>
    <w:rsid w:val="0081474B"/>
    <w:rsid w:val="00815C37"/>
    <w:rsid w:val="00817945"/>
    <w:rsid w:val="00822170"/>
    <w:rsid w:val="00823139"/>
    <w:rsid w:val="0082566D"/>
    <w:rsid w:val="00827DD9"/>
    <w:rsid w:val="00831048"/>
    <w:rsid w:val="00834C2D"/>
    <w:rsid w:val="008354EB"/>
    <w:rsid w:val="00840716"/>
    <w:rsid w:val="00841509"/>
    <w:rsid w:val="00841B8C"/>
    <w:rsid w:val="008440BB"/>
    <w:rsid w:val="008509D0"/>
    <w:rsid w:val="008543D4"/>
    <w:rsid w:val="00856F7B"/>
    <w:rsid w:val="00857629"/>
    <w:rsid w:val="008577E4"/>
    <w:rsid w:val="00857F72"/>
    <w:rsid w:val="008631AA"/>
    <w:rsid w:val="00865A62"/>
    <w:rsid w:val="008662BF"/>
    <w:rsid w:val="008713EE"/>
    <w:rsid w:val="008740F9"/>
    <w:rsid w:val="00875090"/>
    <w:rsid w:val="008765EF"/>
    <w:rsid w:val="008769C1"/>
    <w:rsid w:val="00882132"/>
    <w:rsid w:val="008861AA"/>
    <w:rsid w:val="00887351"/>
    <w:rsid w:val="00892BD2"/>
    <w:rsid w:val="00895759"/>
    <w:rsid w:val="008A04C0"/>
    <w:rsid w:val="008A0816"/>
    <w:rsid w:val="008A0BD2"/>
    <w:rsid w:val="008A38B9"/>
    <w:rsid w:val="008A4BEA"/>
    <w:rsid w:val="008A5FF7"/>
    <w:rsid w:val="008B7A42"/>
    <w:rsid w:val="008C0EB2"/>
    <w:rsid w:val="008C3259"/>
    <w:rsid w:val="008C3966"/>
    <w:rsid w:val="008C6295"/>
    <w:rsid w:val="008C7B50"/>
    <w:rsid w:val="008D2062"/>
    <w:rsid w:val="008D33D7"/>
    <w:rsid w:val="008D4124"/>
    <w:rsid w:val="008E1067"/>
    <w:rsid w:val="008E17F9"/>
    <w:rsid w:val="008E306A"/>
    <w:rsid w:val="008E6F8F"/>
    <w:rsid w:val="008F031D"/>
    <w:rsid w:val="008F149E"/>
    <w:rsid w:val="008F30FC"/>
    <w:rsid w:val="008F7291"/>
    <w:rsid w:val="008F7887"/>
    <w:rsid w:val="00900642"/>
    <w:rsid w:val="009031A5"/>
    <w:rsid w:val="00904F13"/>
    <w:rsid w:val="009063DA"/>
    <w:rsid w:val="0091090A"/>
    <w:rsid w:val="0091563A"/>
    <w:rsid w:val="0091623F"/>
    <w:rsid w:val="009213B7"/>
    <w:rsid w:val="00924D79"/>
    <w:rsid w:val="00925CB4"/>
    <w:rsid w:val="00927167"/>
    <w:rsid w:val="009305EC"/>
    <w:rsid w:val="00933563"/>
    <w:rsid w:val="00936D5B"/>
    <w:rsid w:val="00937769"/>
    <w:rsid w:val="0094278F"/>
    <w:rsid w:val="009429B7"/>
    <w:rsid w:val="009527DD"/>
    <w:rsid w:val="00952AA4"/>
    <w:rsid w:val="009575F8"/>
    <w:rsid w:val="009600D4"/>
    <w:rsid w:val="009626DB"/>
    <w:rsid w:val="00964287"/>
    <w:rsid w:val="00967F31"/>
    <w:rsid w:val="009704CB"/>
    <w:rsid w:val="009717BA"/>
    <w:rsid w:val="0097397C"/>
    <w:rsid w:val="00973C32"/>
    <w:rsid w:val="009752E3"/>
    <w:rsid w:val="00975637"/>
    <w:rsid w:val="00976383"/>
    <w:rsid w:val="00983C11"/>
    <w:rsid w:val="009840A9"/>
    <w:rsid w:val="0098474B"/>
    <w:rsid w:val="00990CD3"/>
    <w:rsid w:val="00990F36"/>
    <w:rsid w:val="00991330"/>
    <w:rsid w:val="00991468"/>
    <w:rsid w:val="00991E6C"/>
    <w:rsid w:val="009943C0"/>
    <w:rsid w:val="0099643A"/>
    <w:rsid w:val="009A10B3"/>
    <w:rsid w:val="009A7C7C"/>
    <w:rsid w:val="009B0D92"/>
    <w:rsid w:val="009B2213"/>
    <w:rsid w:val="009B4C52"/>
    <w:rsid w:val="009B7AA6"/>
    <w:rsid w:val="009C095F"/>
    <w:rsid w:val="009C0C0C"/>
    <w:rsid w:val="009C17CE"/>
    <w:rsid w:val="009C3EBB"/>
    <w:rsid w:val="009D0595"/>
    <w:rsid w:val="009D277F"/>
    <w:rsid w:val="009D4728"/>
    <w:rsid w:val="009D561E"/>
    <w:rsid w:val="009D6A6F"/>
    <w:rsid w:val="009D7F12"/>
    <w:rsid w:val="009E0537"/>
    <w:rsid w:val="009E0E1A"/>
    <w:rsid w:val="009E40F7"/>
    <w:rsid w:val="009F0864"/>
    <w:rsid w:val="009F16DD"/>
    <w:rsid w:val="009F309A"/>
    <w:rsid w:val="009F38D8"/>
    <w:rsid w:val="009F3E42"/>
    <w:rsid w:val="009F6C6C"/>
    <w:rsid w:val="009F7983"/>
    <w:rsid w:val="00A11D0B"/>
    <w:rsid w:val="00A14F73"/>
    <w:rsid w:val="00A15037"/>
    <w:rsid w:val="00A16B93"/>
    <w:rsid w:val="00A17305"/>
    <w:rsid w:val="00A20185"/>
    <w:rsid w:val="00A20846"/>
    <w:rsid w:val="00A20A7F"/>
    <w:rsid w:val="00A24785"/>
    <w:rsid w:val="00A2545D"/>
    <w:rsid w:val="00A2655D"/>
    <w:rsid w:val="00A328E0"/>
    <w:rsid w:val="00A331E5"/>
    <w:rsid w:val="00A33F40"/>
    <w:rsid w:val="00A35DD1"/>
    <w:rsid w:val="00A37E23"/>
    <w:rsid w:val="00A4644C"/>
    <w:rsid w:val="00A5198A"/>
    <w:rsid w:val="00A53233"/>
    <w:rsid w:val="00A55C15"/>
    <w:rsid w:val="00A5625E"/>
    <w:rsid w:val="00A579F9"/>
    <w:rsid w:val="00A57C87"/>
    <w:rsid w:val="00A61ABD"/>
    <w:rsid w:val="00A630F3"/>
    <w:rsid w:val="00A6363F"/>
    <w:rsid w:val="00A63735"/>
    <w:rsid w:val="00A65D78"/>
    <w:rsid w:val="00A66A9E"/>
    <w:rsid w:val="00A6722E"/>
    <w:rsid w:val="00A672E6"/>
    <w:rsid w:val="00A701F4"/>
    <w:rsid w:val="00A72E33"/>
    <w:rsid w:val="00A73AF1"/>
    <w:rsid w:val="00A76D96"/>
    <w:rsid w:val="00A77662"/>
    <w:rsid w:val="00A80C3F"/>
    <w:rsid w:val="00A80FAA"/>
    <w:rsid w:val="00A821C6"/>
    <w:rsid w:val="00A82F3E"/>
    <w:rsid w:val="00A84433"/>
    <w:rsid w:val="00A86E63"/>
    <w:rsid w:val="00A908DF"/>
    <w:rsid w:val="00A93DC3"/>
    <w:rsid w:val="00A9443D"/>
    <w:rsid w:val="00A950C1"/>
    <w:rsid w:val="00A9544B"/>
    <w:rsid w:val="00A95724"/>
    <w:rsid w:val="00AA1E4B"/>
    <w:rsid w:val="00AA26AB"/>
    <w:rsid w:val="00AA30FB"/>
    <w:rsid w:val="00AA4FE4"/>
    <w:rsid w:val="00AA6234"/>
    <w:rsid w:val="00AA68E1"/>
    <w:rsid w:val="00AA728E"/>
    <w:rsid w:val="00AB06E3"/>
    <w:rsid w:val="00AB1469"/>
    <w:rsid w:val="00AB7ADB"/>
    <w:rsid w:val="00AC030B"/>
    <w:rsid w:val="00AC327A"/>
    <w:rsid w:val="00AD188D"/>
    <w:rsid w:val="00AD477A"/>
    <w:rsid w:val="00AD5A5C"/>
    <w:rsid w:val="00AE1731"/>
    <w:rsid w:val="00AE198E"/>
    <w:rsid w:val="00AE313E"/>
    <w:rsid w:val="00AE4757"/>
    <w:rsid w:val="00AE59D9"/>
    <w:rsid w:val="00AE6D31"/>
    <w:rsid w:val="00AF0DDB"/>
    <w:rsid w:val="00AF25AC"/>
    <w:rsid w:val="00AF4AAF"/>
    <w:rsid w:val="00B0048C"/>
    <w:rsid w:val="00B07D6C"/>
    <w:rsid w:val="00B10C41"/>
    <w:rsid w:val="00B13FCE"/>
    <w:rsid w:val="00B15735"/>
    <w:rsid w:val="00B206DA"/>
    <w:rsid w:val="00B23F1E"/>
    <w:rsid w:val="00B2611B"/>
    <w:rsid w:val="00B2668E"/>
    <w:rsid w:val="00B2791F"/>
    <w:rsid w:val="00B30E03"/>
    <w:rsid w:val="00B32F0A"/>
    <w:rsid w:val="00B3348C"/>
    <w:rsid w:val="00B33CC8"/>
    <w:rsid w:val="00B35D3E"/>
    <w:rsid w:val="00B40649"/>
    <w:rsid w:val="00B40DBA"/>
    <w:rsid w:val="00B42399"/>
    <w:rsid w:val="00B42D55"/>
    <w:rsid w:val="00B433BF"/>
    <w:rsid w:val="00B46553"/>
    <w:rsid w:val="00B52715"/>
    <w:rsid w:val="00B54DC9"/>
    <w:rsid w:val="00B557EA"/>
    <w:rsid w:val="00B55DD2"/>
    <w:rsid w:val="00B57280"/>
    <w:rsid w:val="00B60134"/>
    <w:rsid w:val="00B602E4"/>
    <w:rsid w:val="00B65409"/>
    <w:rsid w:val="00B70F4C"/>
    <w:rsid w:val="00B751F3"/>
    <w:rsid w:val="00B772DE"/>
    <w:rsid w:val="00B77D5F"/>
    <w:rsid w:val="00B87C58"/>
    <w:rsid w:val="00B91569"/>
    <w:rsid w:val="00B935F2"/>
    <w:rsid w:val="00B93709"/>
    <w:rsid w:val="00B960DA"/>
    <w:rsid w:val="00BA1DCF"/>
    <w:rsid w:val="00BA5F03"/>
    <w:rsid w:val="00BB35E7"/>
    <w:rsid w:val="00BB481E"/>
    <w:rsid w:val="00BB596A"/>
    <w:rsid w:val="00BB61D4"/>
    <w:rsid w:val="00BB7A75"/>
    <w:rsid w:val="00BC02DD"/>
    <w:rsid w:val="00BC2D03"/>
    <w:rsid w:val="00BC37A6"/>
    <w:rsid w:val="00BC58DA"/>
    <w:rsid w:val="00BD3C1F"/>
    <w:rsid w:val="00BD577F"/>
    <w:rsid w:val="00BD7EFD"/>
    <w:rsid w:val="00BE1604"/>
    <w:rsid w:val="00BE1E47"/>
    <w:rsid w:val="00BE387B"/>
    <w:rsid w:val="00BE4258"/>
    <w:rsid w:val="00BE484F"/>
    <w:rsid w:val="00BE5941"/>
    <w:rsid w:val="00BE6992"/>
    <w:rsid w:val="00BE7B7F"/>
    <w:rsid w:val="00BE7D4B"/>
    <w:rsid w:val="00BF417F"/>
    <w:rsid w:val="00BF5863"/>
    <w:rsid w:val="00BF7030"/>
    <w:rsid w:val="00C00D5D"/>
    <w:rsid w:val="00C0551B"/>
    <w:rsid w:val="00C0648B"/>
    <w:rsid w:val="00C07200"/>
    <w:rsid w:val="00C1054D"/>
    <w:rsid w:val="00C1274A"/>
    <w:rsid w:val="00C13FEA"/>
    <w:rsid w:val="00C14CB1"/>
    <w:rsid w:val="00C1718E"/>
    <w:rsid w:val="00C20FD7"/>
    <w:rsid w:val="00C2572F"/>
    <w:rsid w:val="00C304A4"/>
    <w:rsid w:val="00C32B12"/>
    <w:rsid w:val="00C3539F"/>
    <w:rsid w:val="00C37A5B"/>
    <w:rsid w:val="00C40AAD"/>
    <w:rsid w:val="00C41427"/>
    <w:rsid w:val="00C41828"/>
    <w:rsid w:val="00C4773D"/>
    <w:rsid w:val="00C56A63"/>
    <w:rsid w:val="00C6054C"/>
    <w:rsid w:val="00C60C35"/>
    <w:rsid w:val="00C6191A"/>
    <w:rsid w:val="00C626A4"/>
    <w:rsid w:val="00C626BF"/>
    <w:rsid w:val="00C635DD"/>
    <w:rsid w:val="00C70434"/>
    <w:rsid w:val="00C71315"/>
    <w:rsid w:val="00C7174E"/>
    <w:rsid w:val="00C724DE"/>
    <w:rsid w:val="00C73B36"/>
    <w:rsid w:val="00C75C05"/>
    <w:rsid w:val="00C76345"/>
    <w:rsid w:val="00C7683C"/>
    <w:rsid w:val="00C76AE9"/>
    <w:rsid w:val="00C816A8"/>
    <w:rsid w:val="00C863FC"/>
    <w:rsid w:val="00C90447"/>
    <w:rsid w:val="00C948CA"/>
    <w:rsid w:val="00C96D7F"/>
    <w:rsid w:val="00CA15E8"/>
    <w:rsid w:val="00CA228C"/>
    <w:rsid w:val="00CA3E10"/>
    <w:rsid w:val="00CA5D84"/>
    <w:rsid w:val="00CA6374"/>
    <w:rsid w:val="00CA6B22"/>
    <w:rsid w:val="00CA6DA8"/>
    <w:rsid w:val="00CB0C67"/>
    <w:rsid w:val="00CB0DDF"/>
    <w:rsid w:val="00CB401A"/>
    <w:rsid w:val="00CC00B5"/>
    <w:rsid w:val="00CC01A6"/>
    <w:rsid w:val="00CC2374"/>
    <w:rsid w:val="00CC25D0"/>
    <w:rsid w:val="00CC2F56"/>
    <w:rsid w:val="00CC46A9"/>
    <w:rsid w:val="00CD0BB4"/>
    <w:rsid w:val="00CD21EF"/>
    <w:rsid w:val="00CD3923"/>
    <w:rsid w:val="00CD3BED"/>
    <w:rsid w:val="00CD40C0"/>
    <w:rsid w:val="00CD5DEE"/>
    <w:rsid w:val="00CD6775"/>
    <w:rsid w:val="00CD7DF7"/>
    <w:rsid w:val="00CE007B"/>
    <w:rsid w:val="00CE0F42"/>
    <w:rsid w:val="00CE4137"/>
    <w:rsid w:val="00CE4833"/>
    <w:rsid w:val="00CE5223"/>
    <w:rsid w:val="00CE694B"/>
    <w:rsid w:val="00CE7FF1"/>
    <w:rsid w:val="00CF2D47"/>
    <w:rsid w:val="00CF4DDD"/>
    <w:rsid w:val="00CF721D"/>
    <w:rsid w:val="00D01CC7"/>
    <w:rsid w:val="00D01E15"/>
    <w:rsid w:val="00D03BCB"/>
    <w:rsid w:val="00D04756"/>
    <w:rsid w:val="00D04B5F"/>
    <w:rsid w:val="00D064AA"/>
    <w:rsid w:val="00D07957"/>
    <w:rsid w:val="00D11F38"/>
    <w:rsid w:val="00D12309"/>
    <w:rsid w:val="00D1333F"/>
    <w:rsid w:val="00D140DD"/>
    <w:rsid w:val="00D15A0D"/>
    <w:rsid w:val="00D15AF3"/>
    <w:rsid w:val="00D15CC1"/>
    <w:rsid w:val="00D16061"/>
    <w:rsid w:val="00D17CCF"/>
    <w:rsid w:val="00D17D90"/>
    <w:rsid w:val="00D223BA"/>
    <w:rsid w:val="00D2358A"/>
    <w:rsid w:val="00D25284"/>
    <w:rsid w:val="00D26B41"/>
    <w:rsid w:val="00D30FDD"/>
    <w:rsid w:val="00D339E9"/>
    <w:rsid w:val="00D35490"/>
    <w:rsid w:val="00D40222"/>
    <w:rsid w:val="00D4219D"/>
    <w:rsid w:val="00D42EB6"/>
    <w:rsid w:val="00D44C79"/>
    <w:rsid w:val="00D46064"/>
    <w:rsid w:val="00D46215"/>
    <w:rsid w:val="00D57C5F"/>
    <w:rsid w:val="00D604CC"/>
    <w:rsid w:val="00D61A51"/>
    <w:rsid w:val="00D62107"/>
    <w:rsid w:val="00D623FD"/>
    <w:rsid w:val="00D73313"/>
    <w:rsid w:val="00D75FDD"/>
    <w:rsid w:val="00D76572"/>
    <w:rsid w:val="00D80893"/>
    <w:rsid w:val="00D8166C"/>
    <w:rsid w:val="00D829FE"/>
    <w:rsid w:val="00D85412"/>
    <w:rsid w:val="00D937EA"/>
    <w:rsid w:val="00D93A29"/>
    <w:rsid w:val="00D94A6A"/>
    <w:rsid w:val="00D95161"/>
    <w:rsid w:val="00DA1C55"/>
    <w:rsid w:val="00DA2197"/>
    <w:rsid w:val="00DA32CC"/>
    <w:rsid w:val="00DA4BE9"/>
    <w:rsid w:val="00DA6000"/>
    <w:rsid w:val="00DA7D32"/>
    <w:rsid w:val="00DB593F"/>
    <w:rsid w:val="00DB5EEE"/>
    <w:rsid w:val="00DC03DC"/>
    <w:rsid w:val="00DC1C71"/>
    <w:rsid w:val="00DC304A"/>
    <w:rsid w:val="00DC3406"/>
    <w:rsid w:val="00DC37ED"/>
    <w:rsid w:val="00DC6EE0"/>
    <w:rsid w:val="00DD3383"/>
    <w:rsid w:val="00DD5F48"/>
    <w:rsid w:val="00DE1A9C"/>
    <w:rsid w:val="00DE1F46"/>
    <w:rsid w:val="00DE77E2"/>
    <w:rsid w:val="00DE7947"/>
    <w:rsid w:val="00DF2BF1"/>
    <w:rsid w:val="00DF2CED"/>
    <w:rsid w:val="00DF2F04"/>
    <w:rsid w:val="00DF4344"/>
    <w:rsid w:val="00DF63AC"/>
    <w:rsid w:val="00DF6A12"/>
    <w:rsid w:val="00E021FB"/>
    <w:rsid w:val="00E04B37"/>
    <w:rsid w:val="00E0506F"/>
    <w:rsid w:val="00E10301"/>
    <w:rsid w:val="00E14395"/>
    <w:rsid w:val="00E147DF"/>
    <w:rsid w:val="00E14889"/>
    <w:rsid w:val="00E150E4"/>
    <w:rsid w:val="00E15513"/>
    <w:rsid w:val="00E17200"/>
    <w:rsid w:val="00E234C8"/>
    <w:rsid w:val="00E333AB"/>
    <w:rsid w:val="00E342E6"/>
    <w:rsid w:val="00E34409"/>
    <w:rsid w:val="00E35968"/>
    <w:rsid w:val="00E36148"/>
    <w:rsid w:val="00E40A02"/>
    <w:rsid w:val="00E40A9B"/>
    <w:rsid w:val="00E4763D"/>
    <w:rsid w:val="00E47ED8"/>
    <w:rsid w:val="00E50294"/>
    <w:rsid w:val="00E54619"/>
    <w:rsid w:val="00E55508"/>
    <w:rsid w:val="00E55C88"/>
    <w:rsid w:val="00E57253"/>
    <w:rsid w:val="00E57D0C"/>
    <w:rsid w:val="00E6010B"/>
    <w:rsid w:val="00E62B15"/>
    <w:rsid w:val="00E669EA"/>
    <w:rsid w:val="00E6742C"/>
    <w:rsid w:val="00E70D93"/>
    <w:rsid w:val="00E72745"/>
    <w:rsid w:val="00E7321F"/>
    <w:rsid w:val="00E74905"/>
    <w:rsid w:val="00E7525C"/>
    <w:rsid w:val="00E75A87"/>
    <w:rsid w:val="00E75F49"/>
    <w:rsid w:val="00E76BAC"/>
    <w:rsid w:val="00E77B88"/>
    <w:rsid w:val="00E80270"/>
    <w:rsid w:val="00E80F38"/>
    <w:rsid w:val="00E84114"/>
    <w:rsid w:val="00E8512D"/>
    <w:rsid w:val="00E878D9"/>
    <w:rsid w:val="00E87CE6"/>
    <w:rsid w:val="00E90222"/>
    <w:rsid w:val="00E935A6"/>
    <w:rsid w:val="00E95D8F"/>
    <w:rsid w:val="00E97035"/>
    <w:rsid w:val="00EA3558"/>
    <w:rsid w:val="00EA57D5"/>
    <w:rsid w:val="00EA5A2B"/>
    <w:rsid w:val="00EB06E5"/>
    <w:rsid w:val="00EB0B00"/>
    <w:rsid w:val="00EB22BE"/>
    <w:rsid w:val="00EB4B84"/>
    <w:rsid w:val="00EB5F21"/>
    <w:rsid w:val="00EC0A89"/>
    <w:rsid w:val="00EC15A0"/>
    <w:rsid w:val="00EC22A3"/>
    <w:rsid w:val="00EC51C4"/>
    <w:rsid w:val="00EC6ED6"/>
    <w:rsid w:val="00EC7E84"/>
    <w:rsid w:val="00ED06F0"/>
    <w:rsid w:val="00ED19E8"/>
    <w:rsid w:val="00ED5899"/>
    <w:rsid w:val="00ED720D"/>
    <w:rsid w:val="00EE08CE"/>
    <w:rsid w:val="00EE0CBF"/>
    <w:rsid w:val="00EE10FE"/>
    <w:rsid w:val="00EE3C34"/>
    <w:rsid w:val="00EE3E85"/>
    <w:rsid w:val="00EE7269"/>
    <w:rsid w:val="00EE75F0"/>
    <w:rsid w:val="00EF0F61"/>
    <w:rsid w:val="00EF4342"/>
    <w:rsid w:val="00EF4D76"/>
    <w:rsid w:val="00EF553D"/>
    <w:rsid w:val="00F000E6"/>
    <w:rsid w:val="00F002D8"/>
    <w:rsid w:val="00F021ED"/>
    <w:rsid w:val="00F04E3B"/>
    <w:rsid w:val="00F07ADF"/>
    <w:rsid w:val="00F10757"/>
    <w:rsid w:val="00F11158"/>
    <w:rsid w:val="00F11364"/>
    <w:rsid w:val="00F11765"/>
    <w:rsid w:val="00F117F7"/>
    <w:rsid w:val="00F12874"/>
    <w:rsid w:val="00F160E5"/>
    <w:rsid w:val="00F171C8"/>
    <w:rsid w:val="00F17C57"/>
    <w:rsid w:val="00F21B3A"/>
    <w:rsid w:val="00F22AE1"/>
    <w:rsid w:val="00F2438B"/>
    <w:rsid w:val="00F24510"/>
    <w:rsid w:val="00F254A4"/>
    <w:rsid w:val="00F25C4D"/>
    <w:rsid w:val="00F32397"/>
    <w:rsid w:val="00F32C6A"/>
    <w:rsid w:val="00F35231"/>
    <w:rsid w:val="00F36687"/>
    <w:rsid w:val="00F3691F"/>
    <w:rsid w:val="00F372E8"/>
    <w:rsid w:val="00F41087"/>
    <w:rsid w:val="00F43F5B"/>
    <w:rsid w:val="00F4460C"/>
    <w:rsid w:val="00F47F2E"/>
    <w:rsid w:val="00F5244E"/>
    <w:rsid w:val="00F54381"/>
    <w:rsid w:val="00F5467C"/>
    <w:rsid w:val="00F55FE3"/>
    <w:rsid w:val="00F60F33"/>
    <w:rsid w:val="00F61190"/>
    <w:rsid w:val="00F646E6"/>
    <w:rsid w:val="00F649AE"/>
    <w:rsid w:val="00F65601"/>
    <w:rsid w:val="00F659AB"/>
    <w:rsid w:val="00F6621A"/>
    <w:rsid w:val="00F66CE8"/>
    <w:rsid w:val="00F673F3"/>
    <w:rsid w:val="00F73706"/>
    <w:rsid w:val="00F74AA8"/>
    <w:rsid w:val="00F74E66"/>
    <w:rsid w:val="00F766ED"/>
    <w:rsid w:val="00F77054"/>
    <w:rsid w:val="00F77D25"/>
    <w:rsid w:val="00F812F8"/>
    <w:rsid w:val="00F81DBA"/>
    <w:rsid w:val="00F85ED3"/>
    <w:rsid w:val="00F85EE6"/>
    <w:rsid w:val="00F860BF"/>
    <w:rsid w:val="00F903F9"/>
    <w:rsid w:val="00F914BF"/>
    <w:rsid w:val="00F93728"/>
    <w:rsid w:val="00F95082"/>
    <w:rsid w:val="00F954BF"/>
    <w:rsid w:val="00F97D11"/>
    <w:rsid w:val="00FA124F"/>
    <w:rsid w:val="00FB0D94"/>
    <w:rsid w:val="00FB4296"/>
    <w:rsid w:val="00FB452F"/>
    <w:rsid w:val="00FB6D43"/>
    <w:rsid w:val="00FC0370"/>
    <w:rsid w:val="00FC2131"/>
    <w:rsid w:val="00FC259B"/>
    <w:rsid w:val="00FC567B"/>
    <w:rsid w:val="00FD2ADD"/>
    <w:rsid w:val="00FD35CA"/>
    <w:rsid w:val="00FD44E8"/>
    <w:rsid w:val="00FD5C65"/>
    <w:rsid w:val="00FD625F"/>
    <w:rsid w:val="00FE27F4"/>
    <w:rsid w:val="00FE2CB1"/>
    <w:rsid w:val="00FE58AF"/>
    <w:rsid w:val="00FF03F8"/>
    <w:rsid w:val="00FF1242"/>
    <w:rsid w:val="00FF502F"/>
    <w:rsid w:val="00FF6486"/>
    <w:rsid w:val="00FF794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fill="f" fillcolor="white" stroke="f">
      <v:fill color="white" on="f"/>
      <v:stroke on="f"/>
      <v:textbox inset="5.85pt,.7pt,5.85pt,.7pt"/>
      <o:colormru v:ext="edit" colors="#ffc,#cf9,#cff,#fcc,#9f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A62"/>
    <w:pPr>
      <w:spacing w:before="120"/>
    </w:pPr>
    <w:rPr>
      <w:rFonts w:eastAsia="Times New Roman"/>
      <w:sz w:val="24"/>
      <w:szCs w:val="24"/>
      <w:lang w:val="en-GB"/>
    </w:rPr>
  </w:style>
  <w:style w:type="paragraph" w:styleId="Heading1">
    <w:name w:val="heading 1"/>
    <w:basedOn w:val="Normal"/>
    <w:next w:val="Normal"/>
    <w:qFormat/>
    <w:rsid w:val="007F4EA1"/>
    <w:pPr>
      <w:keepNext/>
      <w:keepLines/>
      <w:spacing w:before="360"/>
      <w:ind w:left="794" w:hanging="794"/>
      <w:outlineLvl w:val="0"/>
    </w:pPr>
    <w:rPr>
      <w:b/>
    </w:rPr>
  </w:style>
  <w:style w:type="paragraph" w:styleId="Heading2">
    <w:name w:val="heading 2"/>
    <w:basedOn w:val="Heading1"/>
    <w:next w:val="Normal"/>
    <w:qFormat/>
    <w:rsid w:val="007F4EA1"/>
    <w:pPr>
      <w:spacing w:before="240"/>
      <w:outlineLvl w:val="1"/>
    </w:pPr>
  </w:style>
  <w:style w:type="paragraph" w:styleId="Heading3">
    <w:name w:val="heading 3"/>
    <w:basedOn w:val="Heading1"/>
    <w:next w:val="Normal"/>
    <w:qFormat/>
    <w:rsid w:val="007F4EA1"/>
    <w:pPr>
      <w:spacing w:before="160"/>
      <w:outlineLvl w:val="2"/>
    </w:pPr>
  </w:style>
  <w:style w:type="paragraph" w:styleId="Heading4">
    <w:name w:val="heading 4"/>
    <w:basedOn w:val="Heading3"/>
    <w:next w:val="Normal"/>
    <w:qFormat/>
    <w:rsid w:val="007F4EA1"/>
    <w:pPr>
      <w:tabs>
        <w:tab w:val="left" w:pos="1021"/>
      </w:tabs>
      <w:ind w:left="1021" w:hanging="1021"/>
      <w:outlineLvl w:val="3"/>
    </w:pPr>
  </w:style>
  <w:style w:type="paragraph" w:styleId="Heading5">
    <w:name w:val="heading 5"/>
    <w:basedOn w:val="Heading4"/>
    <w:next w:val="Normal"/>
    <w:qFormat/>
    <w:rsid w:val="007F4EA1"/>
    <w:pPr>
      <w:outlineLvl w:val="4"/>
    </w:pPr>
  </w:style>
  <w:style w:type="paragraph" w:styleId="Heading6">
    <w:name w:val="heading 6"/>
    <w:basedOn w:val="Heading4"/>
    <w:next w:val="Normal"/>
    <w:qFormat/>
    <w:rsid w:val="007F4EA1"/>
    <w:pPr>
      <w:tabs>
        <w:tab w:val="clear" w:pos="1021"/>
      </w:tabs>
      <w:ind w:left="1588" w:hanging="1588"/>
      <w:outlineLvl w:val="5"/>
    </w:pPr>
  </w:style>
  <w:style w:type="paragraph" w:styleId="Heading7">
    <w:name w:val="heading 7"/>
    <w:basedOn w:val="Heading6"/>
    <w:next w:val="Normal"/>
    <w:qFormat/>
    <w:rsid w:val="007F4EA1"/>
    <w:pPr>
      <w:outlineLvl w:val="6"/>
    </w:pPr>
  </w:style>
  <w:style w:type="paragraph" w:styleId="Heading8">
    <w:name w:val="heading 8"/>
    <w:basedOn w:val="Heading6"/>
    <w:next w:val="Normal"/>
    <w:qFormat/>
    <w:rsid w:val="007F4EA1"/>
    <w:pPr>
      <w:outlineLvl w:val="7"/>
    </w:pPr>
  </w:style>
  <w:style w:type="paragraph" w:styleId="Heading9">
    <w:name w:val="heading 9"/>
    <w:basedOn w:val="Heading6"/>
    <w:next w:val="Normal"/>
    <w:qFormat/>
    <w:rsid w:val="007F4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F4EA1"/>
    <w:pPr>
      <w:keepNext/>
      <w:keepLines/>
      <w:spacing w:before="480"/>
      <w:jc w:val="center"/>
    </w:pPr>
    <w:rPr>
      <w:b/>
      <w:sz w:val="28"/>
    </w:rPr>
  </w:style>
  <w:style w:type="character" w:customStyle="1" w:styleId="Appdef">
    <w:name w:val="App_def"/>
    <w:basedOn w:val="DefaultParagraphFont"/>
    <w:rsid w:val="007F4EA1"/>
    <w:rPr>
      <w:rFonts w:ascii="Times New Roman" w:hAnsi="Times New Roman"/>
      <w:b/>
    </w:rPr>
  </w:style>
  <w:style w:type="character" w:customStyle="1" w:styleId="Appref">
    <w:name w:val="App_ref"/>
    <w:basedOn w:val="DefaultParagraphFont"/>
    <w:rsid w:val="007F4EA1"/>
  </w:style>
  <w:style w:type="paragraph" w:customStyle="1" w:styleId="AppendixNotitle">
    <w:name w:val="Appendix_No &amp; title"/>
    <w:basedOn w:val="AnnexNotitle"/>
    <w:next w:val="Normal"/>
    <w:rsid w:val="007F4EA1"/>
  </w:style>
  <w:style w:type="character" w:customStyle="1" w:styleId="Artdef">
    <w:name w:val="Art_def"/>
    <w:basedOn w:val="DefaultParagraphFont"/>
    <w:rsid w:val="007F4EA1"/>
    <w:rPr>
      <w:rFonts w:ascii="Times New Roman" w:hAnsi="Times New Roman"/>
      <w:b/>
    </w:rPr>
  </w:style>
  <w:style w:type="paragraph" w:customStyle="1" w:styleId="Artheading">
    <w:name w:val="Art_heading"/>
    <w:basedOn w:val="Normal"/>
    <w:next w:val="Normal"/>
    <w:rsid w:val="007F4EA1"/>
    <w:pPr>
      <w:spacing w:before="480"/>
      <w:jc w:val="center"/>
    </w:pPr>
    <w:rPr>
      <w:b/>
      <w:sz w:val="28"/>
    </w:rPr>
  </w:style>
  <w:style w:type="paragraph" w:customStyle="1" w:styleId="ArtNo">
    <w:name w:val="Art_No"/>
    <w:basedOn w:val="Normal"/>
    <w:next w:val="Normal"/>
    <w:rsid w:val="007F4EA1"/>
    <w:pPr>
      <w:keepNext/>
      <w:keepLines/>
      <w:spacing w:before="480"/>
      <w:jc w:val="center"/>
    </w:pPr>
    <w:rPr>
      <w:caps/>
      <w:sz w:val="28"/>
    </w:rPr>
  </w:style>
  <w:style w:type="character" w:customStyle="1" w:styleId="Artref">
    <w:name w:val="Art_ref"/>
    <w:basedOn w:val="DefaultParagraphFont"/>
    <w:rsid w:val="007F4EA1"/>
  </w:style>
  <w:style w:type="paragraph" w:customStyle="1" w:styleId="Arttitle">
    <w:name w:val="Art_title"/>
    <w:basedOn w:val="Normal"/>
    <w:next w:val="Normal"/>
    <w:rsid w:val="007F4EA1"/>
    <w:pPr>
      <w:keepNext/>
      <w:keepLines/>
      <w:spacing w:before="240"/>
      <w:jc w:val="center"/>
    </w:pPr>
    <w:rPr>
      <w:b/>
      <w:sz w:val="28"/>
    </w:rPr>
  </w:style>
  <w:style w:type="paragraph" w:customStyle="1" w:styleId="ASN1">
    <w:name w:val="ASN.1"/>
    <w:basedOn w:val="Normal"/>
    <w:rsid w:val="007F4EA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7F4EA1"/>
    <w:pPr>
      <w:keepNext/>
      <w:keepLines/>
      <w:spacing w:before="160"/>
      <w:ind w:left="794"/>
    </w:pPr>
    <w:rPr>
      <w:i/>
    </w:rPr>
  </w:style>
  <w:style w:type="paragraph" w:customStyle="1" w:styleId="ChapNo">
    <w:name w:val="Chap_No"/>
    <w:basedOn w:val="Normal"/>
    <w:next w:val="Normal"/>
    <w:rsid w:val="007F4EA1"/>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rsid w:val="007F4EA1"/>
    <w:pPr>
      <w:keepNext/>
      <w:keepLines/>
      <w:spacing w:before="240"/>
      <w:jc w:val="center"/>
    </w:pPr>
    <w:rPr>
      <w:b/>
      <w:sz w:val="28"/>
    </w:rPr>
  </w:style>
  <w:style w:type="character" w:styleId="EndnoteReference">
    <w:name w:val="endnote reference"/>
    <w:basedOn w:val="DefaultParagraphFont"/>
    <w:semiHidden/>
    <w:rsid w:val="007F4EA1"/>
    <w:rPr>
      <w:vertAlign w:val="superscript"/>
    </w:rPr>
  </w:style>
  <w:style w:type="paragraph" w:customStyle="1" w:styleId="enumlev1">
    <w:name w:val="enumlev1"/>
    <w:basedOn w:val="Normal"/>
    <w:rsid w:val="007F4EA1"/>
    <w:pPr>
      <w:spacing w:before="80"/>
      <w:ind w:left="794" w:hanging="794"/>
    </w:pPr>
  </w:style>
  <w:style w:type="paragraph" w:customStyle="1" w:styleId="enumlev2">
    <w:name w:val="enumlev2"/>
    <w:basedOn w:val="enumlev1"/>
    <w:rsid w:val="007F4EA1"/>
    <w:pPr>
      <w:ind w:left="1191" w:hanging="397"/>
    </w:pPr>
  </w:style>
  <w:style w:type="paragraph" w:customStyle="1" w:styleId="enumlev3">
    <w:name w:val="enumlev3"/>
    <w:basedOn w:val="enumlev2"/>
    <w:rsid w:val="007F4EA1"/>
    <w:pPr>
      <w:ind w:left="1588"/>
    </w:pPr>
  </w:style>
  <w:style w:type="paragraph" w:customStyle="1" w:styleId="Equation">
    <w:name w:val="Equation"/>
    <w:basedOn w:val="Normal"/>
    <w:rsid w:val="007F4EA1"/>
    <w:pPr>
      <w:tabs>
        <w:tab w:val="center" w:pos="4820"/>
        <w:tab w:val="right" w:pos="9639"/>
      </w:tabs>
    </w:pPr>
  </w:style>
  <w:style w:type="paragraph" w:customStyle="1" w:styleId="Equationlegend">
    <w:name w:val="Equation_legend"/>
    <w:basedOn w:val="Normal"/>
    <w:rsid w:val="007F4EA1"/>
    <w:pPr>
      <w:tabs>
        <w:tab w:val="right" w:pos="1814"/>
      </w:tabs>
      <w:spacing w:before="80"/>
      <w:ind w:left="1985" w:hanging="1985"/>
    </w:pPr>
  </w:style>
  <w:style w:type="paragraph" w:customStyle="1" w:styleId="Figure">
    <w:name w:val="Figure"/>
    <w:basedOn w:val="Normal"/>
    <w:next w:val="Normal"/>
    <w:rsid w:val="007F4EA1"/>
    <w:pPr>
      <w:keepNext/>
      <w:keepLines/>
      <w:spacing w:before="240" w:after="120"/>
      <w:jc w:val="center"/>
    </w:pPr>
  </w:style>
  <w:style w:type="paragraph" w:customStyle="1" w:styleId="Figurelegend">
    <w:name w:val="Figure_legend"/>
    <w:basedOn w:val="Normal"/>
    <w:rsid w:val="007F4EA1"/>
    <w:pPr>
      <w:keepNext/>
      <w:keepLines/>
      <w:spacing w:before="20" w:after="20"/>
    </w:pPr>
    <w:rPr>
      <w:sz w:val="18"/>
    </w:rPr>
  </w:style>
  <w:style w:type="paragraph" w:customStyle="1" w:styleId="FigureNotitle">
    <w:name w:val="Figure_No &amp; title"/>
    <w:basedOn w:val="Normal"/>
    <w:next w:val="Normal"/>
    <w:rsid w:val="007F4EA1"/>
    <w:pPr>
      <w:keepLines/>
      <w:spacing w:before="240" w:after="120"/>
      <w:jc w:val="center"/>
    </w:pPr>
    <w:rPr>
      <w:b/>
    </w:rPr>
  </w:style>
  <w:style w:type="paragraph" w:customStyle="1" w:styleId="FigureNoBR">
    <w:name w:val="Figure_No_BR"/>
    <w:basedOn w:val="Normal"/>
    <w:next w:val="Normal"/>
    <w:rsid w:val="007F4EA1"/>
    <w:pPr>
      <w:keepNext/>
      <w:keepLines/>
      <w:spacing w:before="480" w:after="120"/>
      <w:jc w:val="center"/>
    </w:pPr>
    <w:rPr>
      <w:caps/>
    </w:rPr>
  </w:style>
  <w:style w:type="paragraph" w:customStyle="1" w:styleId="TabletitleBR">
    <w:name w:val="Table_title_BR"/>
    <w:basedOn w:val="Normal"/>
    <w:next w:val="Normal"/>
    <w:rsid w:val="007F4EA1"/>
    <w:pPr>
      <w:keepNext/>
      <w:keepLines/>
      <w:spacing w:before="0" w:after="120"/>
      <w:jc w:val="center"/>
    </w:pPr>
    <w:rPr>
      <w:b/>
    </w:rPr>
  </w:style>
  <w:style w:type="paragraph" w:customStyle="1" w:styleId="FiguretitleBR">
    <w:name w:val="Figure_title_BR"/>
    <w:basedOn w:val="TabletitleBR"/>
    <w:next w:val="Normal"/>
    <w:rsid w:val="007F4EA1"/>
    <w:pPr>
      <w:keepNext w:val="0"/>
      <w:spacing w:after="480"/>
    </w:pPr>
  </w:style>
  <w:style w:type="paragraph" w:customStyle="1" w:styleId="Figurewithouttitle">
    <w:name w:val="Figure_without_title"/>
    <w:basedOn w:val="Normal"/>
    <w:next w:val="Normal"/>
    <w:rsid w:val="007F4EA1"/>
    <w:pPr>
      <w:keepLines/>
      <w:spacing w:before="240" w:after="120"/>
      <w:jc w:val="center"/>
    </w:pPr>
  </w:style>
  <w:style w:type="paragraph" w:styleId="Footer">
    <w:name w:val="footer"/>
    <w:basedOn w:val="Normal"/>
    <w:rsid w:val="007F4EA1"/>
    <w:pPr>
      <w:tabs>
        <w:tab w:val="left" w:pos="5954"/>
        <w:tab w:val="right" w:pos="9639"/>
      </w:tabs>
      <w:spacing w:before="0"/>
    </w:pPr>
    <w:rPr>
      <w:caps/>
      <w:noProof/>
      <w:sz w:val="16"/>
    </w:rPr>
  </w:style>
  <w:style w:type="paragraph" w:customStyle="1" w:styleId="FirstFooter">
    <w:name w:val="FirstFooter"/>
    <w:basedOn w:val="Footer"/>
    <w:rsid w:val="007F4EA1"/>
    <w:pPr>
      <w:tabs>
        <w:tab w:val="clear" w:pos="5954"/>
        <w:tab w:val="clear" w:pos="9639"/>
      </w:tabs>
      <w:spacing w:before="40"/>
    </w:pPr>
    <w:rPr>
      <w:caps w:val="0"/>
      <w:noProof w:val="0"/>
    </w:rPr>
  </w:style>
  <w:style w:type="paragraph" w:customStyle="1" w:styleId="FooterQP">
    <w:name w:val="Footer_QP"/>
    <w:basedOn w:val="Normal"/>
    <w:rsid w:val="007F4EA1"/>
    <w:pPr>
      <w:tabs>
        <w:tab w:val="left" w:pos="907"/>
        <w:tab w:val="right" w:pos="8789"/>
        <w:tab w:val="right" w:pos="9639"/>
      </w:tabs>
      <w:spacing w:before="0"/>
    </w:pPr>
    <w:rPr>
      <w:b/>
      <w:sz w:val="22"/>
    </w:rPr>
  </w:style>
  <w:style w:type="character" w:styleId="FootnoteReference">
    <w:name w:val="footnote reference"/>
    <w:basedOn w:val="DefaultParagraphFont"/>
    <w:semiHidden/>
    <w:rsid w:val="007F4EA1"/>
    <w:rPr>
      <w:position w:val="6"/>
      <w:sz w:val="18"/>
    </w:rPr>
  </w:style>
  <w:style w:type="paragraph" w:customStyle="1" w:styleId="Note">
    <w:name w:val="Note"/>
    <w:basedOn w:val="Normal"/>
    <w:link w:val="NoteChar"/>
    <w:rsid w:val="007F4EA1"/>
    <w:pPr>
      <w:tabs>
        <w:tab w:val="left" w:pos="794"/>
        <w:tab w:val="left" w:pos="1191"/>
        <w:tab w:val="left" w:pos="1588"/>
        <w:tab w:val="left" w:pos="1985"/>
      </w:tabs>
      <w:spacing w:before="80"/>
    </w:pPr>
  </w:style>
  <w:style w:type="paragraph" w:styleId="FootnoteText">
    <w:name w:val="footnote text"/>
    <w:basedOn w:val="Note"/>
    <w:semiHidden/>
    <w:rsid w:val="007F4EA1"/>
    <w:pPr>
      <w:keepLines/>
      <w:tabs>
        <w:tab w:val="left" w:pos="255"/>
      </w:tabs>
      <w:ind w:left="255" w:hanging="255"/>
    </w:pPr>
  </w:style>
  <w:style w:type="paragraph" w:customStyle="1" w:styleId="Formal">
    <w:name w:val="Formal"/>
    <w:basedOn w:val="ASN1"/>
    <w:rsid w:val="007F4EA1"/>
    <w:rPr>
      <w:b w:val="0"/>
    </w:rPr>
  </w:style>
  <w:style w:type="paragraph" w:styleId="Header">
    <w:name w:val="header"/>
    <w:basedOn w:val="Normal"/>
    <w:rsid w:val="007F4EA1"/>
    <w:pPr>
      <w:spacing w:before="0"/>
      <w:jc w:val="center"/>
    </w:pPr>
    <w:rPr>
      <w:sz w:val="18"/>
    </w:rPr>
  </w:style>
  <w:style w:type="paragraph" w:customStyle="1" w:styleId="Headingb">
    <w:name w:val="Heading_b"/>
    <w:basedOn w:val="Normal"/>
    <w:next w:val="Normal"/>
    <w:link w:val="HeadingbChar1"/>
    <w:rsid w:val="007F4EA1"/>
    <w:pPr>
      <w:keepNext/>
      <w:spacing w:before="160"/>
    </w:pPr>
    <w:rPr>
      <w:b/>
    </w:rPr>
  </w:style>
  <w:style w:type="paragraph" w:customStyle="1" w:styleId="Headingi">
    <w:name w:val="Heading_i"/>
    <w:basedOn w:val="Normal"/>
    <w:next w:val="Normal"/>
    <w:rsid w:val="007F4EA1"/>
    <w:pPr>
      <w:keepNext/>
      <w:spacing w:before="160"/>
    </w:pPr>
    <w:rPr>
      <w:i/>
    </w:rPr>
  </w:style>
  <w:style w:type="paragraph" w:styleId="Index1">
    <w:name w:val="index 1"/>
    <w:basedOn w:val="Normal"/>
    <w:next w:val="Normal"/>
    <w:semiHidden/>
    <w:rsid w:val="007F4EA1"/>
  </w:style>
  <w:style w:type="paragraph" w:styleId="Index2">
    <w:name w:val="index 2"/>
    <w:basedOn w:val="Normal"/>
    <w:next w:val="Normal"/>
    <w:semiHidden/>
    <w:rsid w:val="007F4EA1"/>
    <w:pPr>
      <w:ind w:left="283"/>
    </w:pPr>
  </w:style>
  <w:style w:type="paragraph" w:styleId="Index3">
    <w:name w:val="index 3"/>
    <w:basedOn w:val="Normal"/>
    <w:next w:val="Normal"/>
    <w:semiHidden/>
    <w:rsid w:val="007F4EA1"/>
    <w:pPr>
      <w:ind w:left="566"/>
    </w:pPr>
  </w:style>
  <w:style w:type="paragraph" w:customStyle="1" w:styleId="Normalaftertitle">
    <w:name w:val="Normal_after_title"/>
    <w:basedOn w:val="Normal"/>
    <w:next w:val="Normal"/>
    <w:rsid w:val="007F4EA1"/>
    <w:pPr>
      <w:spacing w:before="360"/>
    </w:pPr>
  </w:style>
  <w:style w:type="character" w:styleId="PageNumber">
    <w:name w:val="page number"/>
    <w:basedOn w:val="DefaultParagraphFont"/>
    <w:rsid w:val="007F4EA1"/>
  </w:style>
  <w:style w:type="paragraph" w:customStyle="1" w:styleId="PartNo">
    <w:name w:val="Part_No"/>
    <w:basedOn w:val="Normal"/>
    <w:next w:val="Normal"/>
    <w:rsid w:val="007F4EA1"/>
    <w:pPr>
      <w:keepNext/>
      <w:keepLines/>
      <w:spacing w:before="480" w:after="80"/>
      <w:jc w:val="center"/>
    </w:pPr>
    <w:rPr>
      <w:caps/>
      <w:sz w:val="28"/>
    </w:rPr>
  </w:style>
  <w:style w:type="paragraph" w:customStyle="1" w:styleId="Partref">
    <w:name w:val="Part_ref"/>
    <w:basedOn w:val="Normal"/>
    <w:next w:val="Normal"/>
    <w:rsid w:val="007F4EA1"/>
    <w:pPr>
      <w:keepNext/>
      <w:keepLines/>
      <w:spacing w:before="280"/>
      <w:jc w:val="center"/>
    </w:pPr>
  </w:style>
  <w:style w:type="paragraph" w:customStyle="1" w:styleId="Parttitle">
    <w:name w:val="Part_title"/>
    <w:basedOn w:val="Normal"/>
    <w:next w:val="Normalaftertitle"/>
    <w:rsid w:val="007F4EA1"/>
    <w:pPr>
      <w:keepNext/>
      <w:keepLines/>
      <w:spacing w:before="240" w:after="280"/>
      <w:jc w:val="center"/>
    </w:pPr>
    <w:rPr>
      <w:b/>
      <w:sz w:val="28"/>
    </w:rPr>
  </w:style>
  <w:style w:type="paragraph" w:customStyle="1" w:styleId="Recdate">
    <w:name w:val="Rec_date"/>
    <w:basedOn w:val="Normal"/>
    <w:next w:val="Normalaftertitle"/>
    <w:rsid w:val="007F4EA1"/>
    <w:pPr>
      <w:keepNext/>
      <w:keepLines/>
      <w:jc w:val="right"/>
    </w:pPr>
    <w:rPr>
      <w:i/>
      <w:sz w:val="22"/>
    </w:rPr>
  </w:style>
  <w:style w:type="paragraph" w:customStyle="1" w:styleId="Questiondate">
    <w:name w:val="Question_date"/>
    <w:basedOn w:val="Recdate"/>
    <w:next w:val="Normalaftertitle"/>
    <w:rsid w:val="007F4EA1"/>
  </w:style>
  <w:style w:type="paragraph" w:customStyle="1" w:styleId="RecNo">
    <w:name w:val="Rec_No"/>
    <w:basedOn w:val="Normal"/>
    <w:next w:val="Normal"/>
    <w:rsid w:val="007F4EA1"/>
    <w:pPr>
      <w:keepNext/>
      <w:keepLines/>
      <w:spacing w:before="0"/>
    </w:pPr>
    <w:rPr>
      <w:b/>
      <w:sz w:val="28"/>
    </w:rPr>
  </w:style>
  <w:style w:type="paragraph" w:customStyle="1" w:styleId="QuestionNo">
    <w:name w:val="Question_No"/>
    <w:basedOn w:val="RecNo"/>
    <w:next w:val="Normal"/>
    <w:rsid w:val="007F4EA1"/>
  </w:style>
  <w:style w:type="paragraph" w:customStyle="1" w:styleId="RecNoBR">
    <w:name w:val="Rec_No_BR"/>
    <w:basedOn w:val="Normal"/>
    <w:next w:val="Normal"/>
    <w:rsid w:val="007F4EA1"/>
    <w:pPr>
      <w:keepNext/>
      <w:keepLines/>
      <w:spacing w:before="480"/>
      <w:jc w:val="center"/>
    </w:pPr>
    <w:rPr>
      <w:caps/>
      <w:sz w:val="28"/>
    </w:rPr>
  </w:style>
  <w:style w:type="paragraph" w:customStyle="1" w:styleId="QuestionNoBR">
    <w:name w:val="Question_No_BR"/>
    <w:basedOn w:val="RecNoBR"/>
    <w:next w:val="Normal"/>
    <w:rsid w:val="007F4EA1"/>
  </w:style>
  <w:style w:type="paragraph" w:customStyle="1" w:styleId="Recref">
    <w:name w:val="Rec_ref"/>
    <w:basedOn w:val="Normal"/>
    <w:next w:val="Recdate"/>
    <w:rsid w:val="007F4EA1"/>
    <w:pPr>
      <w:keepNext/>
      <w:keepLines/>
      <w:jc w:val="center"/>
    </w:pPr>
    <w:rPr>
      <w:i/>
    </w:rPr>
  </w:style>
  <w:style w:type="paragraph" w:customStyle="1" w:styleId="Questionref">
    <w:name w:val="Question_ref"/>
    <w:basedOn w:val="Recref"/>
    <w:next w:val="Questiondate"/>
    <w:rsid w:val="007F4EA1"/>
  </w:style>
  <w:style w:type="paragraph" w:customStyle="1" w:styleId="Rectitle">
    <w:name w:val="Rec_title"/>
    <w:basedOn w:val="Normal"/>
    <w:next w:val="Normalaftertitle"/>
    <w:rsid w:val="007F4EA1"/>
    <w:pPr>
      <w:keepNext/>
      <w:keepLines/>
      <w:spacing w:before="360"/>
      <w:jc w:val="center"/>
    </w:pPr>
    <w:rPr>
      <w:b/>
      <w:sz w:val="28"/>
    </w:rPr>
  </w:style>
  <w:style w:type="paragraph" w:customStyle="1" w:styleId="Questiontitle">
    <w:name w:val="Question_title"/>
    <w:basedOn w:val="Rectitle"/>
    <w:next w:val="Questionref"/>
    <w:rsid w:val="007F4EA1"/>
  </w:style>
  <w:style w:type="character" w:customStyle="1" w:styleId="Recdef">
    <w:name w:val="Rec_def"/>
    <w:basedOn w:val="DefaultParagraphFont"/>
    <w:rsid w:val="007F4EA1"/>
    <w:rPr>
      <w:b/>
    </w:rPr>
  </w:style>
  <w:style w:type="paragraph" w:customStyle="1" w:styleId="Reftext">
    <w:name w:val="Ref_text"/>
    <w:basedOn w:val="Normal"/>
    <w:rsid w:val="007D2E8C"/>
    <w:pPr>
      <w:ind w:left="1920" w:hanging="1920"/>
    </w:pPr>
  </w:style>
  <w:style w:type="paragraph" w:customStyle="1" w:styleId="Reftitle">
    <w:name w:val="Ref_title"/>
    <w:basedOn w:val="Normal"/>
    <w:next w:val="Reftext"/>
    <w:rsid w:val="007F4EA1"/>
    <w:pPr>
      <w:spacing w:before="480"/>
      <w:jc w:val="center"/>
    </w:pPr>
    <w:rPr>
      <w:b/>
    </w:rPr>
  </w:style>
  <w:style w:type="paragraph" w:customStyle="1" w:styleId="Repdate">
    <w:name w:val="Rep_date"/>
    <w:basedOn w:val="Recdate"/>
    <w:next w:val="Normalaftertitle"/>
    <w:rsid w:val="007F4EA1"/>
  </w:style>
  <w:style w:type="paragraph" w:customStyle="1" w:styleId="RepNo">
    <w:name w:val="Rep_No"/>
    <w:basedOn w:val="RecNo"/>
    <w:next w:val="Normal"/>
    <w:rsid w:val="007F4EA1"/>
  </w:style>
  <w:style w:type="paragraph" w:customStyle="1" w:styleId="RepNoBR">
    <w:name w:val="Rep_No_BR"/>
    <w:basedOn w:val="RecNoBR"/>
    <w:next w:val="Normal"/>
    <w:rsid w:val="007F4EA1"/>
  </w:style>
  <w:style w:type="paragraph" w:customStyle="1" w:styleId="Repref">
    <w:name w:val="Rep_ref"/>
    <w:basedOn w:val="Recref"/>
    <w:next w:val="Repdate"/>
    <w:rsid w:val="007F4EA1"/>
  </w:style>
  <w:style w:type="paragraph" w:customStyle="1" w:styleId="Reptitle">
    <w:name w:val="Rep_title"/>
    <w:basedOn w:val="Rectitle"/>
    <w:next w:val="Repref"/>
    <w:rsid w:val="007F4EA1"/>
  </w:style>
  <w:style w:type="paragraph" w:customStyle="1" w:styleId="Resdate">
    <w:name w:val="Res_date"/>
    <w:basedOn w:val="Recdate"/>
    <w:next w:val="Normalaftertitle"/>
    <w:rsid w:val="007F4EA1"/>
  </w:style>
  <w:style w:type="character" w:customStyle="1" w:styleId="Resdef">
    <w:name w:val="Res_def"/>
    <w:basedOn w:val="DefaultParagraphFont"/>
    <w:rsid w:val="007F4EA1"/>
    <w:rPr>
      <w:rFonts w:ascii="Times New Roman" w:hAnsi="Times New Roman"/>
      <w:b/>
    </w:rPr>
  </w:style>
  <w:style w:type="paragraph" w:customStyle="1" w:styleId="ResNo">
    <w:name w:val="Res_No"/>
    <w:basedOn w:val="RecNo"/>
    <w:next w:val="Normal"/>
    <w:rsid w:val="007F4EA1"/>
  </w:style>
  <w:style w:type="paragraph" w:customStyle="1" w:styleId="ResNoBR">
    <w:name w:val="Res_No_BR"/>
    <w:basedOn w:val="RecNoBR"/>
    <w:next w:val="Normal"/>
    <w:rsid w:val="007F4EA1"/>
  </w:style>
  <w:style w:type="paragraph" w:customStyle="1" w:styleId="Resref">
    <w:name w:val="Res_ref"/>
    <w:basedOn w:val="Recref"/>
    <w:next w:val="Resdate"/>
    <w:rsid w:val="007F4EA1"/>
  </w:style>
  <w:style w:type="paragraph" w:customStyle="1" w:styleId="Restitle">
    <w:name w:val="Res_title"/>
    <w:basedOn w:val="Rectitle"/>
    <w:next w:val="Resref"/>
    <w:rsid w:val="007F4EA1"/>
  </w:style>
  <w:style w:type="paragraph" w:customStyle="1" w:styleId="Section1">
    <w:name w:val="Section_1"/>
    <w:basedOn w:val="Normal"/>
    <w:next w:val="Normal"/>
    <w:rsid w:val="007F4EA1"/>
    <w:pPr>
      <w:spacing w:before="624"/>
      <w:jc w:val="center"/>
    </w:pPr>
    <w:rPr>
      <w:b/>
    </w:rPr>
  </w:style>
  <w:style w:type="paragraph" w:customStyle="1" w:styleId="Section2">
    <w:name w:val="Section_2"/>
    <w:basedOn w:val="Normal"/>
    <w:next w:val="Normal"/>
    <w:rsid w:val="007F4EA1"/>
    <w:pPr>
      <w:spacing w:before="240"/>
      <w:jc w:val="center"/>
    </w:pPr>
    <w:rPr>
      <w:i/>
    </w:rPr>
  </w:style>
  <w:style w:type="paragraph" w:customStyle="1" w:styleId="SectionNo">
    <w:name w:val="Section_No"/>
    <w:basedOn w:val="Normal"/>
    <w:next w:val="Normal"/>
    <w:rsid w:val="007F4EA1"/>
    <w:pPr>
      <w:keepNext/>
      <w:keepLines/>
      <w:spacing w:before="480" w:after="80"/>
      <w:jc w:val="center"/>
    </w:pPr>
    <w:rPr>
      <w:caps/>
      <w:sz w:val="28"/>
    </w:rPr>
  </w:style>
  <w:style w:type="paragraph" w:customStyle="1" w:styleId="Sectiontitle">
    <w:name w:val="Section_title"/>
    <w:basedOn w:val="Normal"/>
    <w:next w:val="Normalaftertitle"/>
    <w:rsid w:val="007F4EA1"/>
    <w:pPr>
      <w:keepNext/>
      <w:keepLines/>
      <w:spacing w:before="480" w:after="280"/>
      <w:jc w:val="center"/>
    </w:pPr>
    <w:rPr>
      <w:b/>
      <w:sz w:val="28"/>
    </w:rPr>
  </w:style>
  <w:style w:type="paragraph" w:customStyle="1" w:styleId="Source">
    <w:name w:val="Source"/>
    <w:basedOn w:val="Normal"/>
    <w:next w:val="Normalaftertitle"/>
    <w:rsid w:val="007F4EA1"/>
    <w:pPr>
      <w:spacing w:before="840" w:after="200"/>
      <w:jc w:val="center"/>
    </w:pPr>
    <w:rPr>
      <w:b/>
      <w:sz w:val="28"/>
    </w:rPr>
  </w:style>
  <w:style w:type="paragraph" w:customStyle="1" w:styleId="SpecialFooter">
    <w:name w:val="Special Footer"/>
    <w:basedOn w:val="Footer"/>
    <w:rsid w:val="007F4EA1"/>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7F4EA1"/>
    <w:rPr>
      <w:b/>
      <w:color w:val="auto"/>
    </w:rPr>
  </w:style>
  <w:style w:type="paragraph" w:customStyle="1" w:styleId="Tablehead">
    <w:name w:val="Table_head"/>
    <w:basedOn w:val="Normal"/>
    <w:next w:val="Normal"/>
    <w:rsid w:val="007F4E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F4E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7F4EA1"/>
    <w:pPr>
      <w:keepNext/>
      <w:keepLines/>
      <w:spacing w:before="360" w:after="120"/>
      <w:jc w:val="center"/>
    </w:pPr>
    <w:rPr>
      <w:b/>
    </w:rPr>
  </w:style>
  <w:style w:type="paragraph" w:customStyle="1" w:styleId="TableNoBR">
    <w:name w:val="Table_No_BR"/>
    <w:basedOn w:val="Normal"/>
    <w:next w:val="TabletitleBR"/>
    <w:rsid w:val="007F4EA1"/>
    <w:pPr>
      <w:keepNext/>
      <w:spacing w:before="560" w:after="120"/>
      <w:jc w:val="center"/>
    </w:pPr>
    <w:rPr>
      <w:caps/>
    </w:rPr>
  </w:style>
  <w:style w:type="paragraph" w:customStyle="1" w:styleId="Tableref">
    <w:name w:val="Table_ref"/>
    <w:basedOn w:val="Normal"/>
    <w:next w:val="TabletitleBR"/>
    <w:rsid w:val="007F4EA1"/>
    <w:pPr>
      <w:keepNext/>
      <w:spacing w:before="0" w:after="120"/>
      <w:jc w:val="center"/>
    </w:pPr>
  </w:style>
  <w:style w:type="paragraph" w:customStyle="1" w:styleId="Tabletext">
    <w:name w:val="Table_text"/>
    <w:basedOn w:val="Normal"/>
    <w:rsid w:val="007F4E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7F4EA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F4EA1"/>
  </w:style>
  <w:style w:type="paragraph" w:customStyle="1" w:styleId="Title3">
    <w:name w:val="Title 3"/>
    <w:basedOn w:val="Title2"/>
    <w:next w:val="Normal"/>
    <w:rsid w:val="007F4EA1"/>
    <w:rPr>
      <w:caps w:val="0"/>
    </w:rPr>
  </w:style>
  <w:style w:type="paragraph" w:customStyle="1" w:styleId="Title4">
    <w:name w:val="Title 4"/>
    <w:basedOn w:val="Title3"/>
    <w:next w:val="Heading1"/>
    <w:rsid w:val="007F4EA1"/>
    <w:rPr>
      <w:b/>
    </w:rPr>
  </w:style>
  <w:style w:type="paragraph" w:customStyle="1" w:styleId="toc0">
    <w:name w:val="toc 0"/>
    <w:basedOn w:val="Normal"/>
    <w:next w:val="TOC1"/>
    <w:rsid w:val="007F4EA1"/>
    <w:pPr>
      <w:tabs>
        <w:tab w:val="right" w:pos="9639"/>
      </w:tabs>
    </w:pPr>
    <w:rPr>
      <w:b/>
    </w:rPr>
  </w:style>
  <w:style w:type="paragraph" w:styleId="TOC1">
    <w:name w:val="toc 1"/>
    <w:basedOn w:val="Normal"/>
    <w:uiPriority w:val="39"/>
    <w:semiHidden/>
    <w:rsid w:val="00865A62"/>
    <w:pPr>
      <w:keepLines/>
      <w:tabs>
        <w:tab w:val="left" w:pos="964"/>
        <w:tab w:val="left" w:leader="dot" w:pos="8789"/>
        <w:tab w:val="right" w:pos="9639"/>
      </w:tabs>
      <w:spacing w:before="240"/>
      <w:ind w:left="680" w:right="851" w:hanging="680"/>
    </w:pPr>
    <w:rPr>
      <w:rFonts w:eastAsia="Batang"/>
    </w:rPr>
  </w:style>
  <w:style w:type="paragraph" w:styleId="TOC2">
    <w:name w:val="toc 2"/>
    <w:basedOn w:val="TOC1"/>
    <w:uiPriority w:val="39"/>
    <w:semiHidden/>
    <w:rsid w:val="00865A62"/>
    <w:pPr>
      <w:tabs>
        <w:tab w:val="clear" w:pos="964"/>
      </w:tabs>
      <w:spacing w:before="80"/>
      <w:ind w:left="1531" w:hanging="851"/>
    </w:pPr>
  </w:style>
  <w:style w:type="paragraph" w:styleId="TOC3">
    <w:name w:val="toc 3"/>
    <w:basedOn w:val="TOC2"/>
    <w:uiPriority w:val="39"/>
    <w:semiHidden/>
    <w:rsid w:val="00865A62"/>
    <w:pPr>
      <w:ind w:left="2269"/>
    </w:pPr>
  </w:style>
  <w:style w:type="paragraph" w:styleId="TOC4">
    <w:name w:val="toc 4"/>
    <w:basedOn w:val="TOC3"/>
    <w:semiHidden/>
    <w:rsid w:val="00F43F5B"/>
    <w:pPr>
      <w:ind w:left="480"/>
    </w:pPr>
  </w:style>
  <w:style w:type="paragraph" w:styleId="TOC5">
    <w:name w:val="toc 5"/>
    <w:basedOn w:val="TOC4"/>
    <w:semiHidden/>
    <w:rsid w:val="007F4EA1"/>
    <w:pPr>
      <w:ind w:left="720"/>
    </w:pPr>
  </w:style>
  <w:style w:type="paragraph" w:styleId="TOC6">
    <w:name w:val="toc 6"/>
    <w:basedOn w:val="TOC4"/>
    <w:semiHidden/>
    <w:rsid w:val="007F4EA1"/>
    <w:pPr>
      <w:ind w:left="960"/>
    </w:pPr>
  </w:style>
  <w:style w:type="paragraph" w:styleId="TOC7">
    <w:name w:val="toc 7"/>
    <w:basedOn w:val="TOC4"/>
    <w:semiHidden/>
    <w:rsid w:val="007F4EA1"/>
    <w:pPr>
      <w:ind w:left="1200"/>
    </w:pPr>
  </w:style>
  <w:style w:type="paragraph" w:styleId="TOC8">
    <w:name w:val="toc 8"/>
    <w:basedOn w:val="TOC4"/>
    <w:semiHidden/>
    <w:rsid w:val="007F4EA1"/>
    <w:pPr>
      <w:ind w:left="1440"/>
    </w:pPr>
  </w:style>
  <w:style w:type="paragraph" w:customStyle="1" w:styleId="Normalbeforetable">
    <w:name w:val="Normal before table"/>
    <w:basedOn w:val="Normal"/>
    <w:rsid w:val="00865A62"/>
    <w:pPr>
      <w:keepNext/>
      <w:spacing w:after="120"/>
    </w:pPr>
    <w:rPr>
      <w:rFonts w:eastAsia="????"/>
    </w:rPr>
  </w:style>
  <w:style w:type="paragraph" w:styleId="BalloonText">
    <w:name w:val="Balloon Text"/>
    <w:basedOn w:val="Normal"/>
    <w:semiHidden/>
    <w:rsid w:val="00086E5B"/>
    <w:rPr>
      <w:rFonts w:ascii="Tahoma" w:hAnsi="Tahoma" w:cs="Tahoma"/>
      <w:sz w:val="16"/>
      <w:szCs w:val="16"/>
    </w:rPr>
  </w:style>
  <w:style w:type="paragraph" w:customStyle="1" w:styleId="FigureNoTitle0">
    <w:name w:val="Figure_NoTitle"/>
    <w:basedOn w:val="Normal"/>
    <w:next w:val="Normalaftertitle"/>
    <w:rsid w:val="00EB06E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Batang"/>
      <w:b/>
      <w:szCs w:val="20"/>
    </w:rPr>
  </w:style>
  <w:style w:type="character" w:styleId="Hyperlink">
    <w:name w:val="Hyperlink"/>
    <w:basedOn w:val="DefaultParagraphFont"/>
    <w:uiPriority w:val="99"/>
    <w:unhideWhenUsed/>
    <w:rsid w:val="00937769"/>
    <w:rPr>
      <w:color w:val="0000FF"/>
      <w:u w:val="single"/>
    </w:rPr>
  </w:style>
  <w:style w:type="paragraph" w:styleId="TOC9">
    <w:name w:val="toc 9"/>
    <w:basedOn w:val="Normal"/>
    <w:next w:val="Normal"/>
    <w:autoRedefine/>
    <w:rsid w:val="00B40DBA"/>
    <w:pPr>
      <w:spacing w:before="0"/>
      <w:ind w:left="1680"/>
    </w:pPr>
    <w:rPr>
      <w:sz w:val="20"/>
    </w:rPr>
  </w:style>
  <w:style w:type="paragraph" w:styleId="Caption">
    <w:name w:val="caption"/>
    <w:basedOn w:val="Normal"/>
    <w:next w:val="Normal"/>
    <w:qFormat/>
    <w:rsid w:val="00C626BF"/>
    <w:pPr>
      <w:tabs>
        <w:tab w:val="left" w:pos="794"/>
        <w:tab w:val="left" w:pos="1191"/>
        <w:tab w:val="left" w:pos="1588"/>
        <w:tab w:val="left" w:pos="1985"/>
      </w:tabs>
      <w:spacing w:after="120"/>
    </w:pPr>
    <w:rPr>
      <w:rFonts w:eastAsia="MS Mincho"/>
      <w:b/>
    </w:rPr>
  </w:style>
  <w:style w:type="paragraph" w:styleId="ListParagraph">
    <w:name w:val="List Paragraph"/>
    <w:basedOn w:val="Normal"/>
    <w:uiPriority w:val="34"/>
    <w:qFormat/>
    <w:rsid w:val="00B91569"/>
    <w:pPr>
      <w:ind w:left="720"/>
      <w:contextualSpacing/>
    </w:pPr>
  </w:style>
  <w:style w:type="paragraph" w:customStyle="1" w:styleId="EditorNote">
    <w:name w:val="Editor_Note"/>
    <w:basedOn w:val="Normal"/>
    <w:rsid w:val="0091623F"/>
    <w:rPr>
      <w:rFonts w:eastAsia="Batang"/>
      <w:i/>
      <w:color w:val="0000FF"/>
    </w:rPr>
  </w:style>
  <w:style w:type="paragraph" w:customStyle="1" w:styleId="Infodoc">
    <w:name w:val="Infodoc"/>
    <w:basedOn w:val="Normal"/>
    <w:rsid w:val="00496C75"/>
    <w:pPr>
      <w:tabs>
        <w:tab w:val="left" w:pos="1418"/>
      </w:tabs>
      <w:spacing w:before="0"/>
      <w:ind w:left="1418" w:hanging="1418"/>
    </w:pPr>
    <w:rPr>
      <w:rFonts w:eastAsia="MS Mincho"/>
    </w:rPr>
  </w:style>
  <w:style w:type="numbering" w:customStyle="1" w:styleId="Bulleted">
    <w:name w:val="Bulleted *"/>
    <w:basedOn w:val="NoList"/>
    <w:rsid w:val="00865A62"/>
    <w:pPr>
      <w:numPr>
        <w:numId w:val="1"/>
      </w:numPr>
    </w:pPr>
  </w:style>
  <w:style w:type="paragraph" w:customStyle="1" w:styleId="Default">
    <w:name w:val="Default"/>
    <w:rsid w:val="001D5568"/>
    <w:pPr>
      <w:widowControl w:val="0"/>
      <w:autoSpaceDE w:val="0"/>
      <w:autoSpaceDN w:val="0"/>
      <w:adjustRightInd w:val="0"/>
    </w:pPr>
    <w:rPr>
      <w:rFonts w:eastAsia="Batang"/>
      <w:color w:val="000000"/>
      <w:sz w:val="24"/>
      <w:szCs w:val="24"/>
      <w:lang w:eastAsia="ko-KR"/>
    </w:rPr>
  </w:style>
  <w:style w:type="character" w:customStyle="1" w:styleId="NoteChar">
    <w:name w:val="Note Char"/>
    <w:basedOn w:val="DefaultParagraphFont"/>
    <w:link w:val="Note"/>
    <w:locked/>
    <w:rsid w:val="00433617"/>
    <w:rPr>
      <w:rFonts w:eastAsia="Malgun Gothic"/>
      <w:sz w:val="24"/>
      <w:lang w:val="en-GB" w:eastAsia="en-US" w:bidi="ar-SA"/>
    </w:rPr>
  </w:style>
  <w:style w:type="paragraph" w:customStyle="1" w:styleId="31numbers">
    <w:name w:val="3.1 numbers"/>
    <w:basedOn w:val="Normal"/>
    <w:rsid w:val="00433617"/>
    <w:pPr>
      <w:tabs>
        <w:tab w:val="left" w:pos="1191"/>
        <w:tab w:val="left" w:pos="1588"/>
        <w:tab w:val="left" w:pos="1985"/>
      </w:tabs>
    </w:pPr>
    <w:rPr>
      <w:rFonts w:eastAsia="Batang"/>
      <w:lang w:bidi="he-IL"/>
    </w:rPr>
  </w:style>
  <w:style w:type="paragraph" w:customStyle="1" w:styleId="32numbers">
    <w:name w:val="3.2 numbers"/>
    <w:basedOn w:val="31numbers"/>
    <w:rsid w:val="00433617"/>
    <w:pPr>
      <w:tabs>
        <w:tab w:val="num" w:pos="720"/>
      </w:tabs>
      <w:ind w:left="720" w:hanging="720"/>
    </w:pPr>
  </w:style>
  <w:style w:type="character" w:styleId="Strong">
    <w:name w:val="Strong"/>
    <w:basedOn w:val="DefaultParagraphFont"/>
    <w:qFormat/>
    <w:rsid w:val="00433617"/>
    <w:rPr>
      <w:rFonts w:cs="Times New Roman"/>
      <w:b/>
      <w:bCs/>
    </w:rPr>
  </w:style>
  <w:style w:type="paragraph" w:customStyle="1" w:styleId="kgknormal">
    <w:name w:val="kgknormal"/>
    <w:basedOn w:val="Normal"/>
    <w:rsid w:val="00433617"/>
    <w:pPr>
      <w:spacing w:before="0" w:after="120"/>
      <w:jc w:val="both"/>
    </w:pPr>
    <w:rPr>
      <w:lang w:val="en-US"/>
    </w:rPr>
  </w:style>
  <w:style w:type="paragraph" w:styleId="BodyText">
    <w:name w:val="Body Text"/>
    <w:basedOn w:val="Normal"/>
    <w:rsid w:val="00433617"/>
    <w:pPr>
      <w:spacing w:after="180"/>
    </w:pPr>
  </w:style>
  <w:style w:type="paragraph" w:styleId="BodyTextFirstIndent">
    <w:name w:val="Body Text First Indent"/>
    <w:basedOn w:val="BodyText"/>
    <w:rsid w:val="00433617"/>
    <w:pPr>
      <w:tabs>
        <w:tab w:val="left" w:pos="1418"/>
        <w:tab w:val="left" w:pos="4678"/>
        <w:tab w:val="left" w:pos="5954"/>
        <w:tab w:val="left" w:pos="7088"/>
      </w:tabs>
      <w:spacing w:before="0" w:after="120"/>
      <w:ind w:firstLineChars="100" w:firstLine="420"/>
      <w:jc w:val="both"/>
    </w:pPr>
    <w:rPr>
      <w:rFonts w:ascii="Arial" w:eastAsia="SimSun" w:hAnsi="Arial"/>
      <w:sz w:val="20"/>
    </w:rPr>
  </w:style>
  <w:style w:type="paragraph" w:customStyle="1" w:styleId="kgkbullet2">
    <w:name w:val="kgkbullet2"/>
    <w:basedOn w:val="Normal"/>
    <w:rsid w:val="008A5FF7"/>
    <w:pPr>
      <w:tabs>
        <w:tab w:val="left" w:pos="360"/>
        <w:tab w:val="left" w:pos="794"/>
        <w:tab w:val="left" w:pos="1191"/>
        <w:tab w:val="left" w:pos="1588"/>
        <w:tab w:val="left" w:pos="1985"/>
      </w:tabs>
      <w:suppressAutoHyphens/>
      <w:spacing w:before="0"/>
      <w:ind w:left="1080" w:hanging="360"/>
    </w:pPr>
    <w:rPr>
      <w:rFonts w:eastAsia="MS Mincho"/>
      <w:lang w:eastAsia="ar-SA"/>
    </w:rPr>
  </w:style>
  <w:style w:type="character" w:customStyle="1" w:styleId="HeadingbChar1">
    <w:name w:val="Heading_b Char1"/>
    <w:basedOn w:val="DefaultParagraphFont"/>
    <w:link w:val="Headingb"/>
    <w:locked/>
    <w:rsid w:val="000501A0"/>
    <w:rPr>
      <w:rFonts w:eastAsia="Malgun Gothic"/>
      <w:b/>
      <w:sz w:val="24"/>
      <w:lang w:val="en-GB" w:eastAsia="en-US" w:bidi="ar-SA"/>
    </w:rPr>
  </w:style>
  <w:style w:type="table" w:styleId="TableGrid">
    <w:name w:val="Table Grid"/>
    <w:basedOn w:val="TableNormal"/>
    <w:rsid w:val="00BE1E4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1Newdefinitions">
    <w:name w:val="3.2.1 New definitions"/>
    <w:basedOn w:val="32numbers"/>
    <w:autoRedefine/>
    <w:rsid w:val="003303F5"/>
    <w:pPr>
      <w:tabs>
        <w:tab w:val="clear" w:pos="720"/>
      </w:tabs>
      <w:overflowPunct w:val="0"/>
      <w:autoSpaceDE w:val="0"/>
      <w:autoSpaceDN w:val="0"/>
      <w:adjustRightInd w:val="0"/>
      <w:ind w:left="0" w:firstLine="0"/>
      <w:textAlignment w:val="baseline"/>
    </w:pPr>
    <w:rPr>
      <w:szCs w:val="20"/>
    </w:rPr>
  </w:style>
  <w:style w:type="character" w:styleId="FollowedHyperlink">
    <w:name w:val="FollowedHyperlink"/>
    <w:basedOn w:val="DefaultParagraphFont"/>
    <w:rsid w:val="004B4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34271">
      <w:bodyDiv w:val="1"/>
      <w:marLeft w:val="0"/>
      <w:marRight w:val="0"/>
      <w:marTop w:val="0"/>
      <w:marBottom w:val="0"/>
      <w:divBdr>
        <w:top w:val="none" w:sz="0" w:space="0" w:color="auto"/>
        <w:left w:val="none" w:sz="0" w:space="0" w:color="auto"/>
        <w:bottom w:val="none" w:sz="0" w:space="0" w:color="auto"/>
        <w:right w:val="none" w:sz="0" w:space="0" w:color="auto"/>
      </w:divBdr>
    </w:div>
    <w:div w:id="82535093">
      <w:bodyDiv w:val="1"/>
      <w:marLeft w:val="0"/>
      <w:marRight w:val="0"/>
      <w:marTop w:val="0"/>
      <w:marBottom w:val="0"/>
      <w:divBdr>
        <w:top w:val="none" w:sz="0" w:space="0" w:color="auto"/>
        <w:left w:val="none" w:sz="0" w:space="0" w:color="auto"/>
        <w:bottom w:val="none" w:sz="0" w:space="0" w:color="auto"/>
        <w:right w:val="none" w:sz="0" w:space="0" w:color="auto"/>
      </w:divBdr>
    </w:div>
    <w:div w:id="269123351">
      <w:bodyDiv w:val="1"/>
      <w:marLeft w:val="0"/>
      <w:marRight w:val="0"/>
      <w:marTop w:val="0"/>
      <w:marBottom w:val="0"/>
      <w:divBdr>
        <w:top w:val="none" w:sz="0" w:space="0" w:color="auto"/>
        <w:left w:val="none" w:sz="0" w:space="0" w:color="auto"/>
        <w:bottom w:val="none" w:sz="0" w:space="0" w:color="auto"/>
        <w:right w:val="none" w:sz="0" w:space="0" w:color="auto"/>
      </w:divBdr>
    </w:div>
    <w:div w:id="384379404">
      <w:bodyDiv w:val="1"/>
      <w:marLeft w:val="0"/>
      <w:marRight w:val="0"/>
      <w:marTop w:val="0"/>
      <w:marBottom w:val="0"/>
      <w:divBdr>
        <w:top w:val="none" w:sz="0" w:space="0" w:color="auto"/>
        <w:left w:val="none" w:sz="0" w:space="0" w:color="auto"/>
        <w:bottom w:val="none" w:sz="0" w:space="0" w:color="auto"/>
        <w:right w:val="none" w:sz="0" w:space="0" w:color="auto"/>
      </w:divBdr>
    </w:div>
    <w:div w:id="438767527">
      <w:bodyDiv w:val="1"/>
      <w:marLeft w:val="0"/>
      <w:marRight w:val="0"/>
      <w:marTop w:val="0"/>
      <w:marBottom w:val="0"/>
      <w:divBdr>
        <w:top w:val="none" w:sz="0" w:space="0" w:color="auto"/>
        <w:left w:val="none" w:sz="0" w:space="0" w:color="auto"/>
        <w:bottom w:val="none" w:sz="0" w:space="0" w:color="auto"/>
        <w:right w:val="none" w:sz="0" w:space="0" w:color="auto"/>
      </w:divBdr>
    </w:div>
    <w:div w:id="485827226">
      <w:bodyDiv w:val="1"/>
      <w:marLeft w:val="0"/>
      <w:marRight w:val="0"/>
      <w:marTop w:val="0"/>
      <w:marBottom w:val="0"/>
      <w:divBdr>
        <w:top w:val="none" w:sz="0" w:space="0" w:color="auto"/>
        <w:left w:val="none" w:sz="0" w:space="0" w:color="auto"/>
        <w:bottom w:val="none" w:sz="0" w:space="0" w:color="auto"/>
        <w:right w:val="none" w:sz="0" w:space="0" w:color="auto"/>
      </w:divBdr>
    </w:div>
    <w:div w:id="544295908">
      <w:bodyDiv w:val="1"/>
      <w:marLeft w:val="0"/>
      <w:marRight w:val="0"/>
      <w:marTop w:val="0"/>
      <w:marBottom w:val="0"/>
      <w:divBdr>
        <w:top w:val="none" w:sz="0" w:space="0" w:color="auto"/>
        <w:left w:val="none" w:sz="0" w:space="0" w:color="auto"/>
        <w:bottom w:val="none" w:sz="0" w:space="0" w:color="auto"/>
        <w:right w:val="none" w:sz="0" w:space="0" w:color="auto"/>
      </w:divBdr>
    </w:div>
    <w:div w:id="748355821">
      <w:bodyDiv w:val="1"/>
      <w:marLeft w:val="0"/>
      <w:marRight w:val="0"/>
      <w:marTop w:val="0"/>
      <w:marBottom w:val="0"/>
      <w:divBdr>
        <w:top w:val="none" w:sz="0" w:space="0" w:color="auto"/>
        <w:left w:val="none" w:sz="0" w:space="0" w:color="auto"/>
        <w:bottom w:val="none" w:sz="0" w:space="0" w:color="auto"/>
        <w:right w:val="none" w:sz="0" w:space="0" w:color="auto"/>
      </w:divBdr>
    </w:div>
    <w:div w:id="1259175750">
      <w:bodyDiv w:val="1"/>
      <w:marLeft w:val="0"/>
      <w:marRight w:val="0"/>
      <w:marTop w:val="0"/>
      <w:marBottom w:val="0"/>
      <w:divBdr>
        <w:top w:val="none" w:sz="0" w:space="0" w:color="auto"/>
        <w:left w:val="none" w:sz="0" w:space="0" w:color="auto"/>
        <w:bottom w:val="none" w:sz="0" w:space="0" w:color="auto"/>
        <w:right w:val="none" w:sz="0" w:space="0" w:color="auto"/>
      </w:divBdr>
    </w:div>
    <w:div w:id="1553268975">
      <w:bodyDiv w:val="1"/>
      <w:marLeft w:val="0"/>
      <w:marRight w:val="0"/>
      <w:marTop w:val="0"/>
      <w:marBottom w:val="0"/>
      <w:divBdr>
        <w:top w:val="none" w:sz="0" w:space="0" w:color="auto"/>
        <w:left w:val="none" w:sz="0" w:space="0" w:color="auto"/>
        <w:bottom w:val="none" w:sz="0" w:space="0" w:color="auto"/>
        <w:right w:val="none" w:sz="0" w:space="0" w:color="auto"/>
      </w:divBdr>
    </w:div>
    <w:div w:id="1653680333">
      <w:bodyDiv w:val="1"/>
      <w:marLeft w:val="0"/>
      <w:marRight w:val="0"/>
      <w:marTop w:val="0"/>
      <w:marBottom w:val="0"/>
      <w:divBdr>
        <w:top w:val="none" w:sz="0" w:space="0" w:color="auto"/>
        <w:left w:val="none" w:sz="0" w:space="0" w:color="auto"/>
        <w:bottom w:val="none" w:sz="0" w:space="0" w:color="auto"/>
        <w:right w:val="none" w:sz="0" w:space="0" w:color="auto"/>
      </w:divBdr>
    </w:div>
    <w:div w:id="1669016848">
      <w:bodyDiv w:val="1"/>
      <w:marLeft w:val="0"/>
      <w:marRight w:val="0"/>
      <w:marTop w:val="0"/>
      <w:marBottom w:val="0"/>
      <w:divBdr>
        <w:top w:val="none" w:sz="0" w:space="0" w:color="auto"/>
        <w:left w:val="none" w:sz="0" w:space="0" w:color="auto"/>
        <w:bottom w:val="none" w:sz="0" w:space="0" w:color="auto"/>
        <w:right w:val="none" w:sz="0" w:space="0" w:color="auto"/>
      </w:divBdr>
    </w:div>
    <w:div w:id="1685284652">
      <w:bodyDiv w:val="1"/>
      <w:marLeft w:val="0"/>
      <w:marRight w:val="0"/>
      <w:marTop w:val="0"/>
      <w:marBottom w:val="0"/>
      <w:divBdr>
        <w:top w:val="none" w:sz="0" w:space="0" w:color="auto"/>
        <w:left w:val="none" w:sz="0" w:space="0" w:color="auto"/>
        <w:bottom w:val="none" w:sz="0" w:space="0" w:color="auto"/>
        <w:right w:val="none" w:sz="0" w:space="0" w:color="auto"/>
      </w:divBdr>
    </w:div>
    <w:div w:id="2090998612">
      <w:bodyDiv w:val="1"/>
      <w:marLeft w:val="0"/>
      <w:marRight w:val="0"/>
      <w:marTop w:val="0"/>
      <w:marBottom w:val="0"/>
      <w:divBdr>
        <w:top w:val="none" w:sz="0" w:space="0" w:color="auto"/>
        <w:left w:val="none" w:sz="0" w:space="0" w:color="auto"/>
        <w:bottom w:val="none" w:sz="0" w:space="0" w:color="auto"/>
        <w:right w:val="none" w:sz="0" w:space="0" w:color="auto"/>
      </w:divBdr>
    </w:div>
    <w:div w:id="2120172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BD6B6-A90F-4389-A490-0A42A17B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2565</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Proposals for revised text of H.IPTV-AM.0 </vt:lpstr>
    </vt:vector>
  </TitlesOfParts>
  <Manager>ITU-T</Manager>
  <Company>International Telecommunication Union (ITU)</Company>
  <LinksUpToDate>false</LinksUpToDate>
  <CharactersWithSpaces>2947</CharactersWithSpaces>
  <SharedDoc>false</SharedDoc>
  <HLinks>
    <vt:vector size="252" baseType="variant">
      <vt:variant>
        <vt:i4>1769532</vt:i4>
      </vt:variant>
      <vt:variant>
        <vt:i4>236</vt:i4>
      </vt:variant>
      <vt:variant>
        <vt:i4>0</vt:i4>
      </vt:variant>
      <vt:variant>
        <vt:i4>5</vt:i4>
      </vt:variant>
      <vt:variant>
        <vt:lpwstr/>
      </vt:variant>
      <vt:variant>
        <vt:lpwstr>_Toc244698363</vt:lpwstr>
      </vt:variant>
      <vt:variant>
        <vt:i4>1769532</vt:i4>
      </vt:variant>
      <vt:variant>
        <vt:i4>230</vt:i4>
      </vt:variant>
      <vt:variant>
        <vt:i4>0</vt:i4>
      </vt:variant>
      <vt:variant>
        <vt:i4>5</vt:i4>
      </vt:variant>
      <vt:variant>
        <vt:lpwstr/>
      </vt:variant>
      <vt:variant>
        <vt:lpwstr>_Toc244698362</vt:lpwstr>
      </vt:variant>
      <vt:variant>
        <vt:i4>1769532</vt:i4>
      </vt:variant>
      <vt:variant>
        <vt:i4>224</vt:i4>
      </vt:variant>
      <vt:variant>
        <vt:i4>0</vt:i4>
      </vt:variant>
      <vt:variant>
        <vt:i4>5</vt:i4>
      </vt:variant>
      <vt:variant>
        <vt:lpwstr/>
      </vt:variant>
      <vt:variant>
        <vt:lpwstr>_Toc244698361</vt:lpwstr>
      </vt:variant>
      <vt:variant>
        <vt:i4>1769532</vt:i4>
      </vt:variant>
      <vt:variant>
        <vt:i4>218</vt:i4>
      </vt:variant>
      <vt:variant>
        <vt:i4>0</vt:i4>
      </vt:variant>
      <vt:variant>
        <vt:i4>5</vt:i4>
      </vt:variant>
      <vt:variant>
        <vt:lpwstr/>
      </vt:variant>
      <vt:variant>
        <vt:lpwstr>_Toc244698360</vt:lpwstr>
      </vt:variant>
      <vt:variant>
        <vt:i4>1572924</vt:i4>
      </vt:variant>
      <vt:variant>
        <vt:i4>212</vt:i4>
      </vt:variant>
      <vt:variant>
        <vt:i4>0</vt:i4>
      </vt:variant>
      <vt:variant>
        <vt:i4>5</vt:i4>
      </vt:variant>
      <vt:variant>
        <vt:lpwstr/>
      </vt:variant>
      <vt:variant>
        <vt:lpwstr>_Toc244698359</vt:lpwstr>
      </vt:variant>
      <vt:variant>
        <vt:i4>1572924</vt:i4>
      </vt:variant>
      <vt:variant>
        <vt:i4>206</vt:i4>
      </vt:variant>
      <vt:variant>
        <vt:i4>0</vt:i4>
      </vt:variant>
      <vt:variant>
        <vt:i4>5</vt:i4>
      </vt:variant>
      <vt:variant>
        <vt:lpwstr/>
      </vt:variant>
      <vt:variant>
        <vt:lpwstr>_Toc244698358</vt:lpwstr>
      </vt:variant>
      <vt:variant>
        <vt:i4>1572924</vt:i4>
      </vt:variant>
      <vt:variant>
        <vt:i4>200</vt:i4>
      </vt:variant>
      <vt:variant>
        <vt:i4>0</vt:i4>
      </vt:variant>
      <vt:variant>
        <vt:i4>5</vt:i4>
      </vt:variant>
      <vt:variant>
        <vt:lpwstr/>
      </vt:variant>
      <vt:variant>
        <vt:lpwstr>_Toc244698357</vt:lpwstr>
      </vt:variant>
      <vt:variant>
        <vt:i4>1572924</vt:i4>
      </vt:variant>
      <vt:variant>
        <vt:i4>194</vt:i4>
      </vt:variant>
      <vt:variant>
        <vt:i4>0</vt:i4>
      </vt:variant>
      <vt:variant>
        <vt:i4>5</vt:i4>
      </vt:variant>
      <vt:variant>
        <vt:lpwstr/>
      </vt:variant>
      <vt:variant>
        <vt:lpwstr>_Toc244698356</vt:lpwstr>
      </vt:variant>
      <vt:variant>
        <vt:i4>1572924</vt:i4>
      </vt:variant>
      <vt:variant>
        <vt:i4>188</vt:i4>
      </vt:variant>
      <vt:variant>
        <vt:i4>0</vt:i4>
      </vt:variant>
      <vt:variant>
        <vt:i4>5</vt:i4>
      </vt:variant>
      <vt:variant>
        <vt:lpwstr/>
      </vt:variant>
      <vt:variant>
        <vt:lpwstr>_Toc244698355</vt:lpwstr>
      </vt:variant>
      <vt:variant>
        <vt:i4>1572924</vt:i4>
      </vt:variant>
      <vt:variant>
        <vt:i4>182</vt:i4>
      </vt:variant>
      <vt:variant>
        <vt:i4>0</vt:i4>
      </vt:variant>
      <vt:variant>
        <vt:i4>5</vt:i4>
      </vt:variant>
      <vt:variant>
        <vt:lpwstr/>
      </vt:variant>
      <vt:variant>
        <vt:lpwstr>_Toc244698354</vt:lpwstr>
      </vt:variant>
      <vt:variant>
        <vt:i4>1572924</vt:i4>
      </vt:variant>
      <vt:variant>
        <vt:i4>176</vt:i4>
      </vt:variant>
      <vt:variant>
        <vt:i4>0</vt:i4>
      </vt:variant>
      <vt:variant>
        <vt:i4>5</vt:i4>
      </vt:variant>
      <vt:variant>
        <vt:lpwstr/>
      </vt:variant>
      <vt:variant>
        <vt:lpwstr>_Toc244698353</vt:lpwstr>
      </vt:variant>
      <vt:variant>
        <vt:i4>1572924</vt:i4>
      </vt:variant>
      <vt:variant>
        <vt:i4>170</vt:i4>
      </vt:variant>
      <vt:variant>
        <vt:i4>0</vt:i4>
      </vt:variant>
      <vt:variant>
        <vt:i4>5</vt:i4>
      </vt:variant>
      <vt:variant>
        <vt:lpwstr/>
      </vt:variant>
      <vt:variant>
        <vt:lpwstr>_Toc244698352</vt:lpwstr>
      </vt:variant>
      <vt:variant>
        <vt:i4>1572924</vt:i4>
      </vt:variant>
      <vt:variant>
        <vt:i4>164</vt:i4>
      </vt:variant>
      <vt:variant>
        <vt:i4>0</vt:i4>
      </vt:variant>
      <vt:variant>
        <vt:i4>5</vt:i4>
      </vt:variant>
      <vt:variant>
        <vt:lpwstr/>
      </vt:variant>
      <vt:variant>
        <vt:lpwstr>_Toc244698351</vt:lpwstr>
      </vt:variant>
      <vt:variant>
        <vt:i4>1572924</vt:i4>
      </vt:variant>
      <vt:variant>
        <vt:i4>158</vt:i4>
      </vt:variant>
      <vt:variant>
        <vt:i4>0</vt:i4>
      </vt:variant>
      <vt:variant>
        <vt:i4>5</vt:i4>
      </vt:variant>
      <vt:variant>
        <vt:lpwstr/>
      </vt:variant>
      <vt:variant>
        <vt:lpwstr>_Toc244698350</vt:lpwstr>
      </vt:variant>
      <vt:variant>
        <vt:i4>1638460</vt:i4>
      </vt:variant>
      <vt:variant>
        <vt:i4>152</vt:i4>
      </vt:variant>
      <vt:variant>
        <vt:i4>0</vt:i4>
      </vt:variant>
      <vt:variant>
        <vt:i4>5</vt:i4>
      </vt:variant>
      <vt:variant>
        <vt:lpwstr/>
      </vt:variant>
      <vt:variant>
        <vt:lpwstr>_Toc244698349</vt:lpwstr>
      </vt:variant>
      <vt:variant>
        <vt:i4>1638460</vt:i4>
      </vt:variant>
      <vt:variant>
        <vt:i4>146</vt:i4>
      </vt:variant>
      <vt:variant>
        <vt:i4>0</vt:i4>
      </vt:variant>
      <vt:variant>
        <vt:i4>5</vt:i4>
      </vt:variant>
      <vt:variant>
        <vt:lpwstr/>
      </vt:variant>
      <vt:variant>
        <vt:lpwstr>_Toc244698348</vt:lpwstr>
      </vt:variant>
      <vt:variant>
        <vt:i4>1638460</vt:i4>
      </vt:variant>
      <vt:variant>
        <vt:i4>140</vt:i4>
      </vt:variant>
      <vt:variant>
        <vt:i4>0</vt:i4>
      </vt:variant>
      <vt:variant>
        <vt:i4>5</vt:i4>
      </vt:variant>
      <vt:variant>
        <vt:lpwstr/>
      </vt:variant>
      <vt:variant>
        <vt:lpwstr>_Toc244698347</vt:lpwstr>
      </vt:variant>
      <vt:variant>
        <vt:i4>1638460</vt:i4>
      </vt:variant>
      <vt:variant>
        <vt:i4>134</vt:i4>
      </vt:variant>
      <vt:variant>
        <vt:i4>0</vt:i4>
      </vt:variant>
      <vt:variant>
        <vt:i4>5</vt:i4>
      </vt:variant>
      <vt:variant>
        <vt:lpwstr/>
      </vt:variant>
      <vt:variant>
        <vt:lpwstr>_Toc244698346</vt:lpwstr>
      </vt:variant>
      <vt:variant>
        <vt:i4>1638460</vt:i4>
      </vt:variant>
      <vt:variant>
        <vt:i4>128</vt:i4>
      </vt:variant>
      <vt:variant>
        <vt:i4>0</vt:i4>
      </vt:variant>
      <vt:variant>
        <vt:i4>5</vt:i4>
      </vt:variant>
      <vt:variant>
        <vt:lpwstr/>
      </vt:variant>
      <vt:variant>
        <vt:lpwstr>_Toc244698345</vt:lpwstr>
      </vt:variant>
      <vt:variant>
        <vt:i4>1638460</vt:i4>
      </vt:variant>
      <vt:variant>
        <vt:i4>122</vt:i4>
      </vt:variant>
      <vt:variant>
        <vt:i4>0</vt:i4>
      </vt:variant>
      <vt:variant>
        <vt:i4>5</vt:i4>
      </vt:variant>
      <vt:variant>
        <vt:lpwstr/>
      </vt:variant>
      <vt:variant>
        <vt:lpwstr>_Toc244698344</vt:lpwstr>
      </vt:variant>
      <vt:variant>
        <vt:i4>1638460</vt:i4>
      </vt:variant>
      <vt:variant>
        <vt:i4>116</vt:i4>
      </vt:variant>
      <vt:variant>
        <vt:i4>0</vt:i4>
      </vt:variant>
      <vt:variant>
        <vt:i4>5</vt:i4>
      </vt:variant>
      <vt:variant>
        <vt:lpwstr/>
      </vt:variant>
      <vt:variant>
        <vt:lpwstr>_Toc244698343</vt:lpwstr>
      </vt:variant>
      <vt:variant>
        <vt:i4>1638460</vt:i4>
      </vt:variant>
      <vt:variant>
        <vt:i4>110</vt:i4>
      </vt:variant>
      <vt:variant>
        <vt:i4>0</vt:i4>
      </vt:variant>
      <vt:variant>
        <vt:i4>5</vt:i4>
      </vt:variant>
      <vt:variant>
        <vt:lpwstr/>
      </vt:variant>
      <vt:variant>
        <vt:lpwstr>_Toc244698342</vt:lpwstr>
      </vt:variant>
      <vt:variant>
        <vt:i4>1638460</vt:i4>
      </vt:variant>
      <vt:variant>
        <vt:i4>104</vt:i4>
      </vt:variant>
      <vt:variant>
        <vt:i4>0</vt:i4>
      </vt:variant>
      <vt:variant>
        <vt:i4>5</vt:i4>
      </vt:variant>
      <vt:variant>
        <vt:lpwstr/>
      </vt:variant>
      <vt:variant>
        <vt:lpwstr>_Toc244698341</vt:lpwstr>
      </vt:variant>
      <vt:variant>
        <vt:i4>1638460</vt:i4>
      </vt:variant>
      <vt:variant>
        <vt:i4>98</vt:i4>
      </vt:variant>
      <vt:variant>
        <vt:i4>0</vt:i4>
      </vt:variant>
      <vt:variant>
        <vt:i4>5</vt:i4>
      </vt:variant>
      <vt:variant>
        <vt:lpwstr/>
      </vt:variant>
      <vt:variant>
        <vt:lpwstr>_Toc244698340</vt:lpwstr>
      </vt:variant>
      <vt:variant>
        <vt:i4>1966140</vt:i4>
      </vt:variant>
      <vt:variant>
        <vt:i4>92</vt:i4>
      </vt:variant>
      <vt:variant>
        <vt:i4>0</vt:i4>
      </vt:variant>
      <vt:variant>
        <vt:i4>5</vt:i4>
      </vt:variant>
      <vt:variant>
        <vt:lpwstr/>
      </vt:variant>
      <vt:variant>
        <vt:lpwstr>_Toc244698339</vt:lpwstr>
      </vt:variant>
      <vt:variant>
        <vt:i4>1966140</vt:i4>
      </vt:variant>
      <vt:variant>
        <vt:i4>86</vt:i4>
      </vt:variant>
      <vt:variant>
        <vt:i4>0</vt:i4>
      </vt:variant>
      <vt:variant>
        <vt:i4>5</vt:i4>
      </vt:variant>
      <vt:variant>
        <vt:lpwstr/>
      </vt:variant>
      <vt:variant>
        <vt:lpwstr>_Toc244698338</vt:lpwstr>
      </vt:variant>
      <vt:variant>
        <vt:i4>1966140</vt:i4>
      </vt:variant>
      <vt:variant>
        <vt:i4>80</vt:i4>
      </vt:variant>
      <vt:variant>
        <vt:i4>0</vt:i4>
      </vt:variant>
      <vt:variant>
        <vt:i4>5</vt:i4>
      </vt:variant>
      <vt:variant>
        <vt:lpwstr/>
      </vt:variant>
      <vt:variant>
        <vt:lpwstr>_Toc244698337</vt:lpwstr>
      </vt:variant>
      <vt:variant>
        <vt:i4>1966140</vt:i4>
      </vt:variant>
      <vt:variant>
        <vt:i4>74</vt:i4>
      </vt:variant>
      <vt:variant>
        <vt:i4>0</vt:i4>
      </vt:variant>
      <vt:variant>
        <vt:i4>5</vt:i4>
      </vt:variant>
      <vt:variant>
        <vt:lpwstr/>
      </vt:variant>
      <vt:variant>
        <vt:lpwstr>_Toc244698336</vt:lpwstr>
      </vt:variant>
      <vt:variant>
        <vt:i4>1966140</vt:i4>
      </vt:variant>
      <vt:variant>
        <vt:i4>68</vt:i4>
      </vt:variant>
      <vt:variant>
        <vt:i4>0</vt:i4>
      </vt:variant>
      <vt:variant>
        <vt:i4>5</vt:i4>
      </vt:variant>
      <vt:variant>
        <vt:lpwstr/>
      </vt:variant>
      <vt:variant>
        <vt:lpwstr>_Toc244698335</vt:lpwstr>
      </vt:variant>
      <vt:variant>
        <vt:i4>1966140</vt:i4>
      </vt:variant>
      <vt:variant>
        <vt:i4>62</vt:i4>
      </vt:variant>
      <vt:variant>
        <vt:i4>0</vt:i4>
      </vt:variant>
      <vt:variant>
        <vt:i4>5</vt:i4>
      </vt:variant>
      <vt:variant>
        <vt:lpwstr/>
      </vt:variant>
      <vt:variant>
        <vt:lpwstr>_Toc244698334</vt:lpwstr>
      </vt:variant>
      <vt:variant>
        <vt:i4>1966140</vt:i4>
      </vt:variant>
      <vt:variant>
        <vt:i4>56</vt:i4>
      </vt:variant>
      <vt:variant>
        <vt:i4>0</vt:i4>
      </vt:variant>
      <vt:variant>
        <vt:i4>5</vt:i4>
      </vt:variant>
      <vt:variant>
        <vt:lpwstr/>
      </vt:variant>
      <vt:variant>
        <vt:lpwstr>_Toc244698333</vt:lpwstr>
      </vt:variant>
      <vt:variant>
        <vt:i4>1966140</vt:i4>
      </vt:variant>
      <vt:variant>
        <vt:i4>50</vt:i4>
      </vt:variant>
      <vt:variant>
        <vt:i4>0</vt:i4>
      </vt:variant>
      <vt:variant>
        <vt:i4>5</vt:i4>
      </vt:variant>
      <vt:variant>
        <vt:lpwstr/>
      </vt:variant>
      <vt:variant>
        <vt:lpwstr>_Toc244698332</vt:lpwstr>
      </vt:variant>
      <vt:variant>
        <vt:i4>1966140</vt:i4>
      </vt:variant>
      <vt:variant>
        <vt:i4>44</vt:i4>
      </vt:variant>
      <vt:variant>
        <vt:i4>0</vt:i4>
      </vt:variant>
      <vt:variant>
        <vt:i4>5</vt:i4>
      </vt:variant>
      <vt:variant>
        <vt:lpwstr/>
      </vt:variant>
      <vt:variant>
        <vt:lpwstr>_Toc244698331</vt:lpwstr>
      </vt:variant>
      <vt:variant>
        <vt:i4>1966140</vt:i4>
      </vt:variant>
      <vt:variant>
        <vt:i4>38</vt:i4>
      </vt:variant>
      <vt:variant>
        <vt:i4>0</vt:i4>
      </vt:variant>
      <vt:variant>
        <vt:i4>5</vt:i4>
      </vt:variant>
      <vt:variant>
        <vt:lpwstr/>
      </vt:variant>
      <vt:variant>
        <vt:lpwstr>_Toc244698330</vt:lpwstr>
      </vt:variant>
      <vt:variant>
        <vt:i4>2031676</vt:i4>
      </vt:variant>
      <vt:variant>
        <vt:i4>32</vt:i4>
      </vt:variant>
      <vt:variant>
        <vt:i4>0</vt:i4>
      </vt:variant>
      <vt:variant>
        <vt:i4>5</vt:i4>
      </vt:variant>
      <vt:variant>
        <vt:lpwstr/>
      </vt:variant>
      <vt:variant>
        <vt:lpwstr>_Toc244698329</vt:lpwstr>
      </vt:variant>
      <vt:variant>
        <vt:i4>2031676</vt:i4>
      </vt:variant>
      <vt:variant>
        <vt:i4>26</vt:i4>
      </vt:variant>
      <vt:variant>
        <vt:i4>0</vt:i4>
      </vt:variant>
      <vt:variant>
        <vt:i4>5</vt:i4>
      </vt:variant>
      <vt:variant>
        <vt:lpwstr/>
      </vt:variant>
      <vt:variant>
        <vt:lpwstr>_Toc244698328</vt:lpwstr>
      </vt:variant>
      <vt:variant>
        <vt:i4>2031676</vt:i4>
      </vt:variant>
      <vt:variant>
        <vt:i4>20</vt:i4>
      </vt:variant>
      <vt:variant>
        <vt:i4>0</vt:i4>
      </vt:variant>
      <vt:variant>
        <vt:i4>5</vt:i4>
      </vt:variant>
      <vt:variant>
        <vt:lpwstr/>
      </vt:variant>
      <vt:variant>
        <vt:lpwstr>_Toc244698327</vt:lpwstr>
      </vt:variant>
      <vt:variant>
        <vt:i4>2031676</vt:i4>
      </vt:variant>
      <vt:variant>
        <vt:i4>14</vt:i4>
      </vt:variant>
      <vt:variant>
        <vt:i4>0</vt:i4>
      </vt:variant>
      <vt:variant>
        <vt:i4>5</vt:i4>
      </vt:variant>
      <vt:variant>
        <vt:lpwstr/>
      </vt:variant>
      <vt:variant>
        <vt:lpwstr>_Toc244698326</vt:lpwstr>
      </vt:variant>
      <vt:variant>
        <vt:i4>2031676</vt:i4>
      </vt:variant>
      <vt:variant>
        <vt:i4>8</vt:i4>
      </vt:variant>
      <vt:variant>
        <vt:i4>0</vt:i4>
      </vt:variant>
      <vt:variant>
        <vt:i4>5</vt:i4>
      </vt:variant>
      <vt:variant>
        <vt:lpwstr/>
      </vt:variant>
      <vt:variant>
        <vt:lpwstr>_Toc244698325</vt:lpwstr>
      </vt:variant>
      <vt:variant>
        <vt:i4>2031676</vt:i4>
      </vt:variant>
      <vt:variant>
        <vt:i4>2</vt:i4>
      </vt:variant>
      <vt:variant>
        <vt:i4>0</vt:i4>
      </vt:variant>
      <vt:variant>
        <vt:i4>5</vt:i4>
      </vt:variant>
      <vt:variant>
        <vt:lpwstr/>
      </vt:variant>
      <vt:variant>
        <vt:lpwstr>_Toc244698324</vt:lpwstr>
      </vt:variant>
      <vt:variant>
        <vt:i4>7143455</vt:i4>
      </vt:variant>
      <vt:variant>
        <vt:i4>6</vt:i4>
      </vt:variant>
      <vt:variant>
        <vt:i4>0</vt:i4>
      </vt:variant>
      <vt:variant>
        <vt:i4>5</vt:i4>
      </vt:variant>
      <vt:variant>
        <vt:lpwstr>mailto:ehpaik@etri.re.kr</vt:lpwstr>
      </vt:variant>
      <vt:variant>
        <vt:lpwstr/>
      </vt:variant>
      <vt:variant>
        <vt:i4>4718652</vt:i4>
      </vt:variant>
      <vt:variant>
        <vt:i4>3</vt:i4>
      </vt:variant>
      <vt:variant>
        <vt:i4>0</vt:i4>
      </vt:variant>
      <vt:variant>
        <vt:i4>5</vt:i4>
      </vt:variant>
      <vt:variant>
        <vt:lpwstr>mailto:iychong@hufs.ac.kr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revised text of H.IPTV-AM.0 regarding considerations for user permission method selection</dc:title>
  <dc:subject>Considerations for user permission method selection</dc:subject>
  <dc:creator>Cisco Systems</dc:creator>
  <cp:keywords>13/16</cp:keywords>
  <dc:description>IPTV-GSI-C-475  For: Singapore, 20-27 September 2010_x000d_Document date: _x000d_Saved by PVH106878 at 09:00:03 on 08.09.2010</dc:description>
  <cp:lastModifiedBy>vdheuvel</cp:lastModifiedBy>
  <cp:revision>3</cp:revision>
  <cp:lastPrinted>2010-01-06T02:27:00Z</cp:lastPrinted>
  <dcterms:created xsi:type="dcterms:W3CDTF">2010-09-08T06:59:00Z</dcterms:created>
  <dcterms:modified xsi:type="dcterms:W3CDTF">2010-09-08T07:00:00Z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IPTV-GSI-C-475</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13/16</vt:lpwstr>
  </property>
  <property fmtid="{D5CDD505-2E9C-101B-9397-08002B2CF9AE}" pid="6" name="Docdest">
    <vt:lpwstr>Singapore, 20-27 September 2010</vt:lpwstr>
  </property>
  <property fmtid="{D5CDD505-2E9C-101B-9397-08002B2CF9AE}" pid="7" name="Docauthor">
    <vt:lpwstr>Cisco Systems</vt:lpwstr>
  </property>
</Properties>
</file>