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A9051B" w:rsidRPr="00A14FB6" w:rsidTr="00827893">
        <w:trPr>
          <w:cantSplit/>
        </w:trPr>
        <w:tc>
          <w:tcPr>
            <w:tcW w:w="6297" w:type="dxa"/>
            <w:gridSpan w:val="4"/>
            <w:vAlign w:val="center"/>
          </w:tcPr>
          <w:p w:rsidR="00A9051B" w:rsidRPr="00A14FB6" w:rsidRDefault="00A9051B" w:rsidP="00827893">
            <w:pPr>
              <w:spacing w:before="0"/>
              <w:rPr>
                <w:b/>
                <w:smallCaps/>
                <w:sz w:val="19"/>
                <w:szCs w:val="19"/>
              </w:rPr>
            </w:pPr>
            <w:r w:rsidRPr="00A14FB6">
              <w:rPr>
                <w:b/>
                <w:smallCaps/>
                <w:sz w:val="20"/>
                <w:szCs w:val="19"/>
              </w:rPr>
              <w:t xml:space="preserve">Rapporteur Meeting of Questions </w:t>
            </w:r>
            <w:r>
              <w:rPr>
                <w:b/>
                <w:smallCaps/>
                <w:sz w:val="20"/>
                <w:szCs w:val="19"/>
              </w:rPr>
              <w:t xml:space="preserve">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A9051B" w:rsidRPr="00A14FB6" w:rsidRDefault="00A9051B" w:rsidP="008365B4">
            <w:pPr>
              <w:spacing w:before="0"/>
              <w:jc w:val="right"/>
              <w:rPr>
                <w:b/>
                <w:bCs/>
                <w:sz w:val="40"/>
              </w:rPr>
            </w:pPr>
            <w:bookmarkStart w:id="0" w:name="docnumber"/>
            <w:r w:rsidRPr="00625FC1">
              <w:rPr>
                <w:b/>
                <w:bCs/>
                <w:sz w:val="40"/>
              </w:rPr>
              <w:t>AVD-</w:t>
            </w:r>
            <w:bookmarkEnd w:id="0"/>
            <w:r w:rsidR="008365B4">
              <w:rPr>
                <w:b/>
                <w:bCs/>
                <w:sz w:val="40"/>
              </w:rPr>
              <w:t>4705</w:t>
            </w:r>
          </w:p>
        </w:tc>
      </w:tr>
      <w:tr w:rsidR="00A9051B" w:rsidRPr="00A14FB6" w:rsidTr="00827893">
        <w:trPr>
          <w:cantSplit/>
          <w:trHeight w:val="461"/>
        </w:trPr>
        <w:tc>
          <w:tcPr>
            <w:tcW w:w="4857" w:type="dxa"/>
            <w:gridSpan w:val="3"/>
            <w:vMerge w:val="restart"/>
            <w:tcBorders>
              <w:bottom w:val="nil"/>
            </w:tcBorders>
          </w:tcPr>
          <w:p w:rsidR="00A9051B" w:rsidRPr="00A14FB6" w:rsidRDefault="00A9051B" w:rsidP="00827893">
            <w:pPr>
              <w:rPr>
                <w:b/>
                <w:bCs/>
                <w:sz w:val="26"/>
              </w:rPr>
            </w:pPr>
            <w:r w:rsidRPr="00A14FB6">
              <w:rPr>
                <w:b/>
                <w:bCs/>
                <w:sz w:val="26"/>
              </w:rPr>
              <w:t>TELECOMMUNICATION</w:t>
            </w:r>
            <w:r w:rsidRPr="00A14FB6">
              <w:rPr>
                <w:b/>
                <w:bCs/>
                <w:sz w:val="26"/>
              </w:rPr>
              <w:br/>
              <w:t>STANDARDIZATION SECTOR</w:t>
            </w:r>
          </w:p>
          <w:p w:rsidR="00A9051B" w:rsidRPr="00A14FB6" w:rsidRDefault="00A9051B" w:rsidP="00827893">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A9051B" w:rsidRPr="00A14FB6" w:rsidRDefault="00A9051B" w:rsidP="00827893">
            <w:pPr>
              <w:jc w:val="right"/>
              <w:rPr>
                <w:b/>
                <w:bCs/>
                <w:sz w:val="40"/>
              </w:rPr>
            </w:pPr>
            <w:r w:rsidRPr="00A14FB6">
              <w:rPr>
                <w:b/>
                <w:bCs/>
                <w:smallCaps/>
                <w:sz w:val="32"/>
              </w:rPr>
              <w:t>STUDY GROUP 16</w:t>
            </w:r>
          </w:p>
        </w:tc>
      </w:tr>
      <w:tr w:rsidR="00A9051B" w:rsidRPr="00A14FB6" w:rsidTr="00827893">
        <w:trPr>
          <w:cantSplit/>
          <w:trHeight w:val="355"/>
        </w:trPr>
        <w:tc>
          <w:tcPr>
            <w:tcW w:w="4857" w:type="dxa"/>
            <w:gridSpan w:val="3"/>
            <w:vMerge/>
            <w:tcBorders>
              <w:bottom w:val="single" w:sz="12" w:space="0" w:color="auto"/>
            </w:tcBorders>
          </w:tcPr>
          <w:p w:rsidR="00A9051B" w:rsidRPr="00A14FB6" w:rsidRDefault="00A9051B" w:rsidP="00827893">
            <w:pPr>
              <w:rPr>
                <w:b/>
                <w:bCs/>
                <w:sz w:val="26"/>
              </w:rPr>
            </w:pPr>
          </w:p>
        </w:tc>
        <w:tc>
          <w:tcPr>
            <w:tcW w:w="5066" w:type="dxa"/>
            <w:gridSpan w:val="2"/>
            <w:tcBorders>
              <w:bottom w:val="single" w:sz="12" w:space="0" w:color="auto"/>
            </w:tcBorders>
          </w:tcPr>
          <w:p w:rsidR="00A9051B" w:rsidRPr="00A14FB6" w:rsidRDefault="00A9051B" w:rsidP="00827893">
            <w:pPr>
              <w:jc w:val="right"/>
              <w:rPr>
                <w:b/>
                <w:bCs/>
                <w:sz w:val="28"/>
              </w:rPr>
            </w:pPr>
            <w:r w:rsidRPr="00A14FB6">
              <w:rPr>
                <w:b/>
                <w:bCs/>
                <w:sz w:val="28"/>
              </w:rPr>
              <w:t>Original: English</w:t>
            </w:r>
          </w:p>
        </w:tc>
      </w:tr>
      <w:tr w:rsidR="00A9051B" w:rsidRPr="00A14FB6" w:rsidTr="00827893">
        <w:trPr>
          <w:cantSplit/>
          <w:trHeight w:val="357"/>
        </w:trPr>
        <w:tc>
          <w:tcPr>
            <w:tcW w:w="1617" w:type="dxa"/>
          </w:tcPr>
          <w:p w:rsidR="00A9051B" w:rsidRPr="00A14FB6" w:rsidRDefault="00A9051B" w:rsidP="00827893">
            <w:pPr>
              <w:rPr>
                <w:b/>
                <w:bCs/>
              </w:rPr>
            </w:pPr>
            <w:r w:rsidRPr="00A14FB6">
              <w:rPr>
                <w:b/>
                <w:bCs/>
              </w:rPr>
              <w:t>Question(s):</w:t>
            </w:r>
          </w:p>
        </w:tc>
        <w:tc>
          <w:tcPr>
            <w:tcW w:w="3030" w:type="dxa"/>
          </w:tcPr>
          <w:p w:rsidR="00A9051B" w:rsidRPr="00A14FB6" w:rsidRDefault="00281B1C" w:rsidP="00827893">
            <w:r>
              <w:t>2</w:t>
            </w:r>
            <w:r w:rsidR="00CA40A3">
              <w:t>/16</w:t>
            </w:r>
            <w:r>
              <w:t>,</w:t>
            </w:r>
            <w:r w:rsidR="00CA40A3">
              <w:t xml:space="preserve"> </w:t>
            </w:r>
            <w:r>
              <w:t>5</w:t>
            </w:r>
            <w:r w:rsidR="00CA40A3">
              <w:t>/16</w:t>
            </w:r>
          </w:p>
        </w:tc>
        <w:tc>
          <w:tcPr>
            <w:tcW w:w="5276" w:type="dxa"/>
            <w:gridSpan w:val="3"/>
          </w:tcPr>
          <w:p w:rsidR="00A9051B" w:rsidRPr="00A14FB6" w:rsidRDefault="00A9051B" w:rsidP="00827893">
            <w:pPr>
              <w:wordWrap w:val="0"/>
              <w:jc w:val="right"/>
            </w:pPr>
            <w:r>
              <w:rPr>
                <w:rFonts w:eastAsia="Malgun Gothic"/>
                <w:lang w:eastAsia="ko-KR"/>
              </w:rPr>
              <w:t>Guilin</w:t>
            </w:r>
            <w:r w:rsidRPr="00A14FB6">
              <w:rPr>
                <w:rFonts w:eastAsia="Malgun Gothic"/>
                <w:lang w:eastAsia="ko-KR"/>
              </w:rPr>
              <w:t xml:space="preserve">, </w:t>
            </w:r>
            <w:r>
              <w:rPr>
                <w:rFonts w:eastAsia="Malgun Gothic"/>
                <w:lang w:eastAsia="ko-KR"/>
              </w:rPr>
              <w:t>8</w:t>
            </w:r>
            <w:r w:rsidRPr="00A14FB6">
              <w:rPr>
                <w:rFonts w:eastAsia="Malgun Gothic"/>
                <w:lang w:eastAsia="ko-KR"/>
              </w:rPr>
              <w:t xml:space="preserve"> - </w:t>
            </w:r>
            <w:r>
              <w:rPr>
                <w:rFonts w:eastAsia="Malgun Gothic"/>
                <w:lang w:eastAsia="ko-KR"/>
              </w:rPr>
              <w:t>12</w:t>
            </w:r>
            <w:r w:rsidRPr="00A14FB6">
              <w:rPr>
                <w:rFonts w:eastAsia="Malgun Gothic"/>
                <w:lang w:eastAsia="ko-KR"/>
              </w:rPr>
              <w:t xml:space="preserve"> </w:t>
            </w:r>
            <w:r>
              <w:rPr>
                <w:rFonts w:eastAsia="Malgun Gothic"/>
                <w:lang w:eastAsia="ko-KR"/>
              </w:rPr>
              <w:t>June</w:t>
            </w:r>
            <w:r w:rsidRPr="00A14FB6">
              <w:rPr>
                <w:rFonts w:eastAsia="Malgun Gothic"/>
                <w:lang w:eastAsia="ko-KR"/>
              </w:rPr>
              <w:t xml:space="preserve"> 201</w:t>
            </w:r>
            <w:r>
              <w:rPr>
                <w:rFonts w:eastAsia="Malgun Gothic"/>
                <w:lang w:eastAsia="ko-KR"/>
              </w:rPr>
              <w:t>5</w:t>
            </w:r>
          </w:p>
        </w:tc>
      </w:tr>
      <w:tr w:rsidR="00A9051B" w:rsidRPr="00A14FB6" w:rsidTr="00827893">
        <w:trPr>
          <w:cantSplit/>
          <w:trHeight w:val="357"/>
        </w:trPr>
        <w:tc>
          <w:tcPr>
            <w:tcW w:w="9923" w:type="dxa"/>
            <w:gridSpan w:val="5"/>
          </w:tcPr>
          <w:p w:rsidR="00A9051B" w:rsidRPr="00A14FB6" w:rsidRDefault="00A9051B" w:rsidP="00827893">
            <w:pPr>
              <w:jc w:val="center"/>
              <w:rPr>
                <w:b/>
                <w:bCs/>
              </w:rPr>
            </w:pPr>
            <w:r w:rsidRPr="00A14FB6">
              <w:rPr>
                <w:b/>
                <w:bCs/>
              </w:rPr>
              <w:t>RAPPORTEUR MEETING DOCUMENT</w:t>
            </w:r>
          </w:p>
        </w:tc>
      </w:tr>
      <w:tr w:rsidR="00A9051B" w:rsidRPr="00A14FB6" w:rsidTr="00827893">
        <w:trPr>
          <w:cantSplit/>
          <w:trHeight w:val="357"/>
        </w:trPr>
        <w:tc>
          <w:tcPr>
            <w:tcW w:w="1617" w:type="dxa"/>
          </w:tcPr>
          <w:p w:rsidR="00A9051B" w:rsidRPr="00A14FB6" w:rsidRDefault="00A9051B" w:rsidP="00827893">
            <w:pPr>
              <w:rPr>
                <w:b/>
                <w:bCs/>
              </w:rPr>
            </w:pPr>
            <w:r w:rsidRPr="00A14FB6">
              <w:rPr>
                <w:b/>
                <w:bCs/>
              </w:rPr>
              <w:t>Source:</w:t>
            </w:r>
          </w:p>
        </w:tc>
        <w:tc>
          <w:tcPr>
            <w:tcW w:w="8306" w:type="dxa"/>
            <w:gridSpan w:val="4"/>
          </w:tcPr>
          <w:p w:rsidR="00A9051B" w:rsidRPr="00A14FB6" w:rsidRDefault="0010136A" w:rsidP="00827893">
            <w:r>
              <w:t>Huawei</w:t>
            </w:r>
          </w:p>
        </w:tc>
      </w:tr>
      <w:tr w:rsidR="00A9051B" w:rsidRPr="00A14FB6" w:rsidTr="00827893">
        <w:trPr>
          <w:cantSplit/>
          <w:trHeight w:val="357"/>
        </w:trPr>
        <w:tc>
          <w:tcPr>
            <w:tcW w:w="1617" w:type="dxa"/>
          </w:tcPr>
          <w:p w:rsidR="00A9051B" w:rsidRPr="00A14FB6" w:rsidRDefault="00A9051B" w:rsidP="00827893">
            <w:pPr>
              <w:spacing w:after="120"/>
            </w:pPr>
            <w:r w:rsidRPr="00A14FB6">
              <w:rPr>
                <w:b/>
                <w:bCs/>
              </w:rPr>
              <w:t>Title:</w:t>
            </w:r>
          </w:p>
        </w:tc>
        <w:tc>
          <w:tcPr>
            <w:tcW w:w="8306" w:type="dxa"/>
            <w:gridSpan w:val="4"/>
          </w:tcPr>
          <w:p w:rsidR="00A9051B" w:rsidRPr="00A14FB6" w:rsidRDefault="0010136A" w:rsidP="00A9051B">
            <w:pPr>
              <w:spacing w:after="120"/>
            </w:pPr>
            <w:r>
              <w:t>H.245 Logical Channel Update</w:t>
            </w:r>
          </w:p>
        </w:tc>
      </w:tr>
      <w:tr w:rsidR="00A9051B" w:rsidRPr="00A14FB6" w:rsidTr="00827893">
        <w:trPr>
          <w:cantSplit/>
          <w:trHeight w:val="357"/>
        </w:trPr>
        <w:tc>
          <w:tcPr>
            <w:tcW w:w="1617" w:type="dxa"/>
            <w:tcBorders>
              <w:bottom w:val="single" w:sz="12" w:space="0" w:color="auto"/>
            </w:tcBorders>
          </w:tcPr>
          <w:p w:rsidR="00A9051B" w:rsidRPr="00A14FB6" w:rsidRDefault="00A9051B" w:rsidP="00827893">
            <w:pPr>
              <w:spacing w:after="120"/>
            </w:pPr>
            <w:r w:rsidRPr="00A14FB6">
              <w:rPr>
                <w:b/>
                <w:bCs/>
              </w:rPr>
              <w:t>Purpose:</w:t>
            </w:r>
          </w:p>
        </w:tc>
        <w:tc>
          <w:tcPr>
            <w:tcW w:w="8306" w:type="dxa"/>
            <w:gridSpan w:val="4"/>
            <w:tcBorders>
              <w:bottom w:val="single" w:sz="12" w:space="0" w:color="auto"/>
            </w:tcBorders>
          </w:tcPr>
          <w:p w:rsidR="00A9051B" w:rsidRPr="00A14FB6" w:rsidRDefault="00E93CB9" w:rsidP="00827893">
            <w:pPr>
              <w:spacing w:after="120"/>
            </w:pPr>
            <w:r>
              <w:t>Discussion</w:t>
            </w:r>
          </w:p>
        </w:tc>
      </w:tr>
    </w:tbl>
    <w:p w:rsidR="00CA40A3" w:rsidRDefault="00CA40A3" w:rsidP="00A9051B">
      <w:pPr>
        <w:sectPr w:rsidR="00CA40A3" w:rsidSect="002D225C">
          <w:headerReference w:type="default" r:id="rId8"/>
          <w:pgSz w:w="11907" w:h="16834" w:code="9"/>
          <w:pgMar w:top="1417" w:right="1134" w:bottom="1417" w:left="1134" w:header="720" w:footer="720" w:gutter="0"/>
          <w:cols w:space="720"/>
          <w:docGrid w:linePitch="326"/>
        </w:sectPr>
      </w:pPr>
    </w:p>
    <w:p w:rsidR="00A9051B" w:rsidRPr="00A14FB6" w:rsidRDefault="00A9051B" w:rsidP="00A9051B"/>
    <w:p w:rsidR="00BA540B" w:rsidRPr="00093C27" w:rsidRDefault="00BA540B" w:rsidP="00BA540B">
      <w:pPr>
        <w:spacing w:before="240"/>
        <w:rPr>
          <w:b/>
        </w:rPr>
      </w:pPr>
      <w:r w:rsidRPr="00093C27">
        <w:rPr>
          <w:b/>
        </w:rPr>
        <w:t>1.</w:t>
      </w:r>
      <w:r w:rsidRPr="00093C27">
        <w:rPr>
          <w:b/>
        </w:rPr>
        <w:tab/>
        <w:t>Introduction</w:t>
      </w:r>
    </w:p>
    <w:p w:rsidR="00BA540B" w:rsidRDefault="00CD450F" w:rsidP="00BA540B">
      <w:pPr>
        <w:rPr>
          <w:lang w:eastAsia="zh-CN"/>
        </w:rPr>
      </w:pPr>
      <w:r>
        <w:rPr>
          <w:lang w:eastAsia="zh-CN"/>
        </w:rPr>
        <w:t>This contribution discuss</w:t>
      </w:r>
      <w:r w:rsidR="00752D12">
        <w:rPr>
          <w:lang w:eastAsia="zh-CN"/>
        </w:rPr>
        <w:t>es</w:t>
      </w:r>
      <w:r>
        <w:rPr>
          <w:lang w:eastAsia="zh-CN"/>
        </w:rPr>
        <w:t xml:space="preserve"> possible procedures for updating the WebRTC data channels on an existing logical channel.</w:t>
      </w:r>
    </w:p>
    <w:p w:rsidR="00A9051B" w:rsidRPr="00477472" w:rsidRDefault="00A9051B" w:rsidP="00A9051B">
      <w:pPr>
        <w:pStyle w:val="Headingb"/>
      </w:pPr>
      <w:r w:rsidRPr="00477472">
        <w:t>2.</w:t>
      </w:r>
      <w:r w:rsidRPr="00477472">
        <w:tab/>
        <w:t>Discussion</w:t>
      </w:r>
      <w:bookmarkStart w:id="1" w:name="_GoBack"/>
      <w:bookmarkEnd w:id="1"/>
    </w:p>
    <w:p w:rsidR="003F284E" w:rsidRDefault="00F9790E" w:rsidP="00A9051B">
      <w:r>
        <w:t xml:space="preserve">At the February Joint Q2 and Q5/16 meeting text was introduced into H.TPS-SIG regarding sending an updated OpenLogicalChannel message </w:t>
      </w:r>
      <w:r w:rsidR="008E2874">
        <w:t xml:space="preserve">on an existing logical channel </w:t>
      </w:r>
      <w:r>
        <w:t>to remove “CLUE” from the DataApplicationCapability. It was assumed that by resending an OpenLogicalChannel message for an already open logical channel that the characteristics of the channel would be updated.</w:t>
      </w:r>
      <w:r w:rsidR="003F284E">
        <w:t xml:space="preserve"> This would allow webrtc data channel to be added or removed from </w:t>
      </w:r>
      <w:r w:rsidR="008E2874">
        <w:t xml:space="preserve">an </w:t>
      </w:r>
      <w:r w:rsidR="003F284E">
        <w:t xml:space="preserve">existing DTLS/SCTP association without the need to re-establish the DTLS/SCTP association. However during the discussions it was noted that neither </w:t>
      </w:r>
      <w:r w:rsidR="008E2874">
        <w:t>H.323 nor H.245 discussed</w:t>
      </w:r>
      <w:r w:rsidR="003F284E">
        <w:t xml:space="preserve"> or allowed this type of behaviour. </w:t>
      </w:r>
    </w:p>
    <w:p w:rsidR="008E2874" w:rsidRDefault="008E2874" w:rsidP="00A9051B">
      <w:r>
        <w:t>WebRTC allows an endpoint to add or remove data channels without the need to re-establish a DTLS/SCTP association. Therefore in order to support data channels in H.323 equivalent functionality is needed.</w:t>
      </w:r>
    </w:p>
    <w:p w:rsidR="003F284E" w:rsidRDefault="003F284E" w:rsidP="003F284E">
      <w:r>
        <w:t xml:space="preserve">The closest procedure to the required behaviour is defined in H.245 Appendix V “The replacementFor procedure”. This allows an endpoint to signal that a codec change is occurring by sending a new OpenLogicalChannel with new parameters indicating that it is a replacement for an existing logical channel. </w:t>
      </w:r>
      <w:r w:rsidR="008E2874">
        <w:t>The scope of this appendix appears only to cover codec changes and i</w:t>
      </w:r>
      <w:r>
        <w:t xml:space="preserve">t indicates only one of the </w:t>
      </w:r>
      <w:r w:rsidR="008E2874">
        <w:t>logical channels is</w:t>
      </w:r>
      <w:r>
        <w:t xml:space="preserve"> active at a time. </w:t>
      </w:r>
      <w:r w:rsidR="008E2874">
        <w:t>The new channel replaces the old one. There it seems t</w:t>
      </w:r>
      <w:r>
        <w:t>he use of replacementFor is unsuitable for WebRTC datachannels as the existing data channels should be undisturbed whilst adding or removing datachannels.</w:t>
      </w:r>
    </w:p>
    <w:p w:rsidR="003F284E" w:rsidRDefault="008365B4" w:rsidP="003F284E">
      <w:r>
        <w:t>Given that there are</w:t>
      </w:r>
      <w:r w:rsidR="003F284E">
        <w:t xml:space="preserve"> no existing procedure</w:t>
      </w:r>
      <w:r w:rsidR="008E2874">
        <w:t>s</w:t>
      </w:r>
      <w:r w:rsidR="003F284E">
        <w:t xml:space="preserve"> that can be used</w:t>
      </w:r>
      <w:r w:rsidR="008E2874">
        <w:t>,</w:t>
      </w:r>
      <w:r w:rsidR="003F284E">
        <w:t xml:space="preserve"> a new procedure needs to be defined. There are </w:t>
      </w:r>
      <w:r w:rsidR="005C2F68">
        <w:t>two main possibilities:</w:t>
      </w:r>
    </w:p>
    <w:p w:rsidR="005C2F68" w:rsidRDefault="005C2F68" w:rsidP="005C2F68">
      <w:pPr>
        <w:numPr>
          <w:ilvl w:val="0"/>
          <w:numId w:val="7"/>
        </w:numPr>
      </w:pPr>
      <w:r>
        <w:t>A generic approach where a mechanism is created that allows an endpoint to modify logical channels</w:t>
      </w:r>
      <w:r w:rsidR="008365B4">
        <w:t>’</w:t>
      </w:r>
      <w:r>
        <w:t xml:space="preserve"> </w:t>
      </w:r>
      <w:r w:rsidR="008E2874">
        <w:t xml:space="preserve">characteristics </w:t>
      </w:r>
      <w:r>
        <w:t>beyond those associated with WebRTC data channels.</w:t>
      </w:r>
    </w:p>
    <w:p w:rsidR="005C2F68" w:rsidRDefault="005C2F68" w:rsidP="005C2F68">
      <w:pPr>
        <w:numPr>
          <w:ilvl w:val="0"/>
          <w:numId w:val="7"/>
        </w:numPr>
      </w:pPr>
      <w:r>
        <w:t>A specific approach w</w:t>
      </w:r>
      <w:r w:rsidR="008365B4">
        <w:t>h</w:t>
      </w:r>
      <w:r>
        <w:t>ere a mechanism is created only for updating WebRTC data channels.</w:t>
      </w:r>
    </w:p>
    <w:p w:rsidR="005C2F68" w:rsidRDefault="005C2F68" w:rsidP="005C2F68">
      <w:r>
        <w:t>These approaches could be signalled by a number of methods including using existing H.245 control messages or creating new Generic Messages</w:t>
      </w:r>
      <w:r w:rsidR="008E2874">
        <w:t>, additional elements etc</w:t>
      </w:r>
      <w:r>
        <w:t>. The sub-sections below explore some possibilities:</w:t>
      </w:r>
    </w:p>
    <w:p w:rsidR="003F284E" w:rsidRDefault="003F284E" w:rsidP="005C2F68">
      <w:pPr>
        <w:pStyle w:val="Heading2"/>
      </w:pPr>
      <w:r>
        <w:lastRenderedPageBreak/>
        <w:t xml:space="preserve">2.1 </w:t>
      </w:r>
      <w:r w:rsidR="005C2F68">
        <w:t xml:space="preserve">Generic Approach </w:t>
      </w:r>
      <w:r>
        <w:t xml:space="preserve">Option 1 </w:t>
      </w:r>
      <w:r w:rsidR="0011484C">
        <w:t>–</w:t>
      </w:r>
      <w:r>
        <w:t xml:space="preserve"> </w:t>
      </w:r>
      <w:r w:rsidR="0011484C">
        <w:t>A new “logicalChannelUpdate” element</w:t>
      </w:r>
      <w:r>
        <w:t xml:space="preserve"> </w:t>
      </w:r>
    </w:p>
    <w:p w:rsidR="003F284E" w:rsidRDefault="0011484C" w:rsidP="00A9051B">
      <w:r>
        <w:t xml:space="preserve">An element could be introduced into the OpenLogicalChannel message either by updating the ASN.1 or via a GenericInformation parameter that indicates that the OpenLogicalChannel message is an update to an existing logical channel. Specific procedural text would need to be added to indicate the required behaviour from the endpoints. </w:t>
      </w:r>
      <w:r w:rsidR="008E2874">
        <w:t>This would be m</w:t>
      </w:r>
      <w:r w:rsidR="004055AA">
        <w:t xml:space="preserve">ainly to indicate that sending an OpenLogicalChannel message on an existing logical channel is allowed where the “logicalChannelUpdate” element is used. </w:t>
      </w:r>
      <w:r>
        <w:t>The advantage of such a mechanism is that it could be used to change a myriad of parameters</w:t>
      </w:r>
      <w:r w:rsidR="008365B4">
        <w:t>,</w:t>
      </w:r>
      <w:r>
        <w:t xml:space="preserve"> however that is also a disadvantage as the</w:t>
      </w:r>
      <w:r w:rsidR="008E2874">
        <w:t>re</w:t>
      </w:r>
      <w:r>
        <w:t xml:space="preserve"> may be unspecified behaviours or consequences. To minimise the possible changes it could be specified that an endpoint should not use this mechanism to change any elements that would result in a</w:t>
      </w:r>
      <w:r w:rsidR="008365B4">
        <w:t xml:space="preserve"> change of transport addresses o</w:t>
      </w:r>
      <w:r w:rsidR="008E2874">
        <w:t xml:space="preserve">r that </w:t>
      </w:r>
      <w:r>
        <w:t xml:space="preserve">it shouldn’t be used to change the </w:t>
      </w:r>
      <w:r w:rsidR="005C2F68">
        <w:t>DataType.</w:t>
      </w:r>
      <w:r w:rsidR="004055AA">
        <w:t xml:space="preserve"> Existing messages would be used perhaps with a new error code to indicate cases where updating was not possible.</w:t>
      </w:r>
    </w:p>
    <w:p w:rsidR="005C2F68" w:rsidRDefault="005C2F68" w:rsidP="005C2F68">
      <w:pPr>
        <w:pStyle w:val="Heading2"/>
      </w:pPr>
      <w:r>
        <w:t xml:space="preserve">2.2 Generic Approach Option 2 – A new updateLogicalChannel message </w:t>
      </w:r>
    </w:p>
    <w:p w:rsidR="003F284E" w:rsidRDefault="005C2F68" w:rsidP="00A9051B">
      <w:r>
        <w:t>A new updateLogicalChannel message could be defined either via ASN.1 or via a H.245 Generic Message that is essentially a copy of t</w:t>
      </w:r>
      <w:r w:rsidR="004055AA">
        <w:t>he OpenLogicalChannel structure. Existing OpenLogicalChannel ASN.1 structures that are unlikely to be used (e.g. transport related structures) could be removed. Acknowledgement and Rejection messages would also be needed. As per clause 2.1 this could be quite powerful however it would take significant work to ensure the correct structures and procedures were added.</w:t>
      </w:r>
    </w:p>
    <w:p w:rsidR="004055AA" w:rsidRDefault="004055AA" w:rsidP="004055AA">
      <w:pPr>
        <w:pStyle w:val="Heading2"/>
      </w:pPr>
      <w:r>
        <w:t xml:space="preserve">2.3 Specific Approach Option 1 –  Specific WebRTC datachannel </w:t>
      </w:r>
      <w:r w:rsidR="00115836">
        <w:t xml:space="preserve">update </w:t>
      </w:r>
      <w:r>
        <w:t>procedure</w:t>
      </w:r>
    </w:p>
    <w:p w:rsidR="00115836" w:rsidRDefault="004055AA" w:rsidP="004055AA">
      <w:r>
        <w:t xml:space="preserve">Rather </w:t>
      </w:r>
      <w:r w:rsidR="008E2874">
        <w:t xml:space="preserve">than </w:t>
      </w:r>
      <w:r>
        <w:t>adding new elements or messages to support the addition or deletion of data channel</w:t>
      </w:r>
      <w:r w:rsidR="008E2874">
        <w:t>s</w:t>
      </w:r>
      <w:r>
        <w:t xml:space="preserve"> the procedures around the support of WebRTC data channel </w:t>
      </w:r>
      <w:r w:rsidR="008E2874">
        <w:t>could be</w:t>
      </w:r>
      <w:r>
        <w:t xml:space="preserve"> updated to indicate that if an endpoint supports WebRTC data channel it must also support receiving an updated OpenLogicalChannel on an existing logical channel. The updated OpenLogicalChannel MUST be identical ex</w:t>
      </w:r>
      <w:r w:rsidR="00115836">
        <w:t xml:space="preserve">cept </w:t>
      </w:r>
      <w:r>
        <w:t>for the</w:t>
      </w:r>
      <w:r w:rsidR="00115836">
        <w:t xml:space="preserve"> DataChannel element which may be updated to add or remove DataChannelProfiles. This would avoid additional syntax to what has already been defined and narrows the scope of the update.</w:t>
      </w:r>
    </w:p>
    <w:p w:rsidR="00115836" w:rsidRDefault="004055AA" w:rsidP="00115836">
      <w:pPr>
        <w:pStyle w:val="Heading2"/>
      </w:pPr>
      <w:r>
        <w:t xml:space="preserve"> </w:t>
      </w:r>
      <w:r w:rsidR="00115836">
        <w:t>2.4</w:t>
      </w:r>
      <w:r w:rsidR="00115836" w:rsidRPr="00115836">
        <w:t xml:space="preserve"> Specific Approach Option 2 –  Specific WebRTC datachannel </w:t>
      </w:r>
      <w:r w:rsidR="00115836">
        <w:t>update element</w:t>
      </w:r>
    </w:p>
    <w:p w:rsidR="00115836" w:rsidRDefault="00115836" w:rsidP="00115836">
      <w:r>
        <w:t>A new element could be defined to indicate that data channel</w:t>
      </w:r>
      <w:r w:rsidR="008E2874">
        <w:t>s</w:t>
      </w:r>
      <w:r>
        <w:t xml:space="preserve"> are added or removed. This would require the same behaviour as in clause 2.3 but also introduce an update to the OpenLogicalChannel message to indicate </w:t>
      </w:r>
      <w:r w:rsidR="00680B4D">
        <w:t>that it is updating WebRTC datachannels. It doesn’t appear to offer any advantage over clause 2.3 as the change w</w:t>
      </w:r>
      <w:r w:rsidR="00281B1C">
        <w:t>ould still be signalled via an OpenLogical</w:t>
      </w:r>
      <w:r w:rsidR="00680B4D">
        <w:t>Channel.</w:t>
      </w:r>
    </w:p>
    <w:p w:rsidR="004055AA" w:rsidRPr="00115836" w:rsidRDefault="00115836" w:rsidP="00115836">
      <w:pPr>
        <w:pStyle w:val="Heading2"/>
      </w:pPr>
      <w:r>
        <w:t xml:space="preserve">2.5 </w:t>
      </w:r>
      <w:r w:rsidRPr="00115836">
        <w:t xml:space="preserve">Specific Approach Option </w:t>
      </w:r>
      <w:r w:rsidR="001124EC">
        <w:t>3</w:t>
      </w:r>
      <w:r w:rsidRPr="00115836">
        <w:t xml:space="preserve"> –  Specific WebRTC datachannel message</w:t>
      </w:r>
    </w:p>
    <w:p w:rsidR="004055AA" w:rsidRDefault="001124EC" w:rsidP="00A9051B">
      <w:r>
        <w:t xml:space="preserve">A new H.245 message could be defined either via ASN.1 update or generic message definition that indicates that a DTLS/SCTP association for WebRTC data channel has changed. </w:t>
      </w:r>
      <w:r w:rsidR="00CD450F">
        <w:t xml:space="preserve">This message would contain a reference to the applicable logical channel number and an updated DataChannel element. Acknowledgement and Rejection messages would also need to be defined. </w:t>
      </w:r>
      <w:r w:rsidR="00281B1C">
        <w:t>This has the advantage of being specific to WebRTC. It would not alter existing OpenLogicalChannel procedures and a receiving endpoint would not have to parse any more data than is necessary.</w:t>
      </w:r>
    </w:p>
    <w:p w:rsidR="00A9051B" w:rsidRPr="00477472" w:rsidRDefault="00A9051B" w:rsidP="00A9051B"/>
    <w:p w:rsidR="00A9051B" w:rsidRPr="00477472" w:rsidRDefault="00A9051B" w:rsidP="00A9051B">
      <w:pPr>
        <w:pStyle w:val="Headingb"/>
      </w:pPr>
      <w:r w:rsidRPr="00477472">
        <w:lastRenderedPageBreak/>
        <w:t>3.</w:t>
      </w:r>
      <w:r w:rsidRPr="00477472">
        <w:tab/>
        <w:t>Proposal</w:t>
      </w:r>
    </w:p>
    <w:p w:rsidR="00A9051B" w:rsidRDefault="00281B1C" w:rsidP="00A9051B">
      <w:pPr>
        <w:rPr>
          <w:lang w:eastAsia="zh-CN"/>
        </w:rPr>
      </w:pPr>
      <w:r>
        <w:rPr>
          <w:lang w:eastAsia="zh-CN"/>
        </w:rPr>
        <w:t xml:space="preserve">Given the above options the Contributions believe that options in clause 2.3 or 2.5 would be the most suitable. </w:t>
      </w:r>
    </w:p>
    <w:p w:rsidR="00281B1C" w:rsidRPr="003F1475" w:rsidRDefault="00281B1C" w:rsidP="00B97EBA">
      <w:pPr>
        <w:rPr>
          <w:i/>
          <w:lang w:eastAsia="zh-CN"/>
        </w:rPr>
      </w:pPr>
      <w:r>
        <w:rPr>
          <w:lang w:eastAsia="zh-CN"/>
        </w:rPr>
        <w:t xml:space="preserve">In order to incorporate the changes necessary to support addition/deletion of data channels according </w:t>
      </w:r>
      <w:r w:rsidR="00E93CB9">
        <w:rPr>
          <w:lang w:eastAsia="zh-CN"/>
        </w:rPr>
        <w:t xml:space="preserve">to the selected option would be </w:t>
      </w:r>
      <w:r w:rsidRPr="00E93CB9">
        <w:rPr>
          <w:lang w:eastAsia="zh-CN"/>
        </w:rPr>
        <w:t>needed to H.245 Annex U and H.TPS-SIG</w:t>
      </w:r>
      <w:r w:rsidR="003F1475" w:rsidRPr="00E93CB9">
        <w:rPr>
          <w:lang w:eastAsia="zh-CN"/>
        </w:rPr>
        <w:t>.</w:t>
      </w:r>
    </w:p>
    <w:p w:rsidR="00F05B8F" w:rsidRPr="001F5714" w:rsidRDefault="00F05B8F" w:rsidP="001F5714">
      <w:pPr>
        <w:jc w:val="center"/>
      </w:pPr>
      <w:r w:rsidRPr="001F5714">
        <w:t>__________________________</w:t>
      </w:r>
    </w:p>
    <w:sectPr w:rsidR="00F05B8F" w:rsidRPr="001F5714" w:rsidSect="00CA40A3">
      <w:type w:val="continuous"/>
      <w:pgSz w:w="11907" w:h="16834"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5AAA" w:rsidRDefault="00825AAA">
      <w:r>
        <w:separator/>
      </w:r>
    </w:p>
  </w:endnote>
  <w:endnote w:type="continuationSeparator" w:id="0">
    <w:p w:rsidR="00825AAA" w:rsidRDefault="00825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5AAA" w:rsidRDefault="00825AAA">
      <w:r>
        <w:t>____________________</w:t>
      </w:r>
    </w:p>
  </w:footnote>
  <w:footnote w:type="continuationSeparator" w:id="0">
    <w:p w:rsidR="00825AAA" w:rsidRDefault="00825A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40A3" w:rsidRPr="002C4364" w:rsidRDefault="00CA40A3" w:rsidP="00CA40A3">
    <w:pPr>
      <w:pStyle w:val="Header"/>
    </w:pPr>
    <w:r w:rsidRPr="002C4364">
      <w:t xml:space="preserve">- </w:t>
    </w:r>
    <w:r w:rsidRPr="002C4364">
      <w:fldChar w:fldCharType="begin"/>
    </w:r>
    <w:r w:rsidRPr="002C4364">
      <w:instrText xml:space="preserve"> PAGE  \* MERGEFORMAT </w:instrText>
    </w:r>
    <w:r w:rsidRPr="002C4364">
      <w:fldChar w:fldCharType="separate"/>
    </w:r>
    <w:r>
      <w:rPr>
        <w:noProof/>
      </w:rPr>
      <w:t>1</w:t>
    </w:r>
    <w:r w:rsidRPr="002C4364">
      <w:fldChar w:fldCharType="end"/>
    </w:r>
    <w:r w:rsidRPr="002C4364">
      <w:t xml:space="preserve"> -</w:t>
    </w:r>
  </w:p>
  <w:p w:rsidR="00CA40A3" w:rsidRDefault="00CA40A3" w:rsidP="00CA40A3">
    <w:pPr>
      <w:pStyle w:val="Header"/>
    </w:pPr>
    <w:r>
      <w:t>AVD-4705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83F8B"/>
    <w:multiLevelType w:val="hybridMultilevel"/>
    <w:tmpl w:val="343083C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EAB5A17"/>
    <w:multiLevelType w:val="hybridMultilevel"/>
    <w:tmpl w:val="01267D2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E873CED"/>
    <w:multiLevelType w:val="hybridMultilevel"/>
    <w:tmpl w:val="030C1E5A"/>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60C6209"/>
    <w:multiLevelType w:val="hybridMultilevel"/>
    <w:tmpl w:val="A0B83FC4"/>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9EC0297"/>
    <w:multiLevelType w:val="hybridMultilevel"/>
    <w:tmpl w:val="1AFEF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EE3380"/>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5"/>
  </w:num>
  <w:num w:numId="2">
    <w:abstractNumId w:val="1"/>
  </w:num>
  <w:num w:numId="3">
    <w:abstractNumId w:val="4"/>
  </w:num>
  <w:num w:numId="4">
    <w:abstractNumId w:val="2"/>
  </w:num>
  <w:num w:numId="5">
    <w:abstractNumId w:val="3"/>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removePersonalInformation/>
  <w:removeDateAndTime/>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fr-CH" w:vendorID="64" w:dllVersion="131078" w:nlCheck="1" w:checkStyle="1"/>
  <w:activeWritingStyle w:appName="MSWord" w:lang="es-ES_tradnl" w:vendorID="64" w:dllVersion="131078" w:nlCheck="1" w:checkStyle="1"/>
  <w:activeWritingStyle w:appName="MSWord" w:lang="es-E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429"/>
    <w:rsid w:val="00011747"/>
    <w:rsid w:val="000315D1"/>
    <w:rsid w:val="000405C9"/>
    <w:rsid w:val="00042A6F"/>
    <w:rsid w:val="0007283F"/>
    <w:rsid w:val="000A0936"/>
    <w:rsid w:val="000A287B"/>
    <w:rsid w:val="000A4233"/>
    <w:rsid w:val="000A523F"/>
    <w:rsid w:val="000B48BF"/>
    <w:rsid w:val="000D4D3F"/>
    <w:rsid w:val="000D5C20"/>
    <w:rsid w:val="000E31BF"/>
    <w:rsid w:val="000E355E"/>
    <w:rsid w:val="000E3864"/>
    <w:rsid w:val="000E6F61"/>
    <w:rsid w:val="000F0BF9"/>
    <w:rsid w:val="0010136A"/>
    <w:rsid w:val="00104247"/>
    <w:rsid w:val="00105A7C"/>
    <w:rsid w:val="001076A5"/>
    <w:rsid w:val="001124EC"/>
    <w:rsid w:val="0011484C"/>
    <w:rsid w:val="00115836"/>
    <w:rsid w:val="001271BA"/>
    <w:rsid w:val="0013384E"/>
    <w:rsid w:val="001340A7"/>
    <w:rsid w:val="00141691"/>
    <w:rsid w:val="00143E3E"/>
    <w:rsid w:val="00151041"/>
    <w:rsid w:val="00156AE1"/>
    <w:rsid w:val="00161F9F"/>
    <w:rsid w:val="0016509B"/>
    <w:rsid w:val="00165351"/>
    <w:rsid w:val="00165A2F"/>
    <w:rsid w:val="0017152D"/>
    <w:rsid w:val="0017459A"/>
    <w:rsid w:val="00182432"/>
    <w:rsid w:val="00187D0E"/>
    <w:rsid w:val="001C04F3"/>
    <w:rsid w:val="001C1A24"/>
    <w:rsid w:val="001D41E9"/>
    <w:rsid w:val="001D5139"/>
    <w:rsid w:val="001E7A42"/>
    <w:rsid w:val="001F5714"/>
    <w:rsid w:val="001F7A0D"/>
    <w:rsid w:val="00206054"/>
    <w:rsid w:val="00217698"/>
    <w:rsid w:val="0022378A"/>
    <w:rsid w:val="00240094"/>
    <w:rsid w:val="002665A3"/>
    <w:rsid w:val="00270C8D"/>
    <w:rsid w:val="00281B1C"/>
    <w:rsid w:val="00281E54"/>
    <w:rsid w:val="00285219"/>
    <w:rsid w:val="00290B54"/>
    <w:rsid w:val="00290D55"/>
    <w:rsid w:val="002A2404"/>
    <w:rsid w:val="002A70F9"/>
    <w:rsid w:val="002B1F5B"/>
    <w:rsid w:val="002B30A8"/>
    <w:rsid w:val="002D1826"/>
    <w:rsid w:val="002D225C"/>
    <w:rsid w:val="002D50D2"/>
    <w:rsid w:val="002D514C"/>
    <w:rsid w:val="002D588C"/>
    <w:rsid w:val="002D60E9"/>
    <w:rsid w:val="002E5890"/>
    <w:rsid w:val="00306FDB"/>
    <w:rsid w:val="003102A0"/>
    <w:rsid w:val="00310FD2"/>
    <w:rsid w:val="00313A63"/>
    <w:rsid w:val="003141EF"/>
    <w:rsid w:val="00317110"/>
    <w:rsid w:val="00356D5E"/>
    <w:rsid w:val="00362F00"/>
    <w:rsid w:val="003729CD"/>
    <w:rsid w:val="003735CA"/>
    <w:rsid w:val="00394325"/>
    <w:rsid w:val="003965FB"/>
    <w:rsid w:val="003C1557"/>
    <w:rsid w:val="003C176F"/>
    <w:rsid w:val="003C2635"/>
    <w:rsid w:val="003C686F"/>
    <w:rsid w:val="003F1475"/>
    <w:rsid w:val="003F284E"/>
    <w:rsid w:val="003F6D32"/>
    <w:rsid w:val="004055AA"/>
    <w:rsid w:val="004736FD"/>
    <w:rsid w:val="004765B6"/>
    <w:rsid w:val="0047718F"/>
    <w:rsid w:val="004836A7"/>
    <w:rsid w:val="00485482"/>
    <w:rsid w:val="00486D39"/>
    <w:rsid w:val="00486F40"/>
    <w:rsid w:val="00487429"/>
    <w:rsid w:val="00493B3E"/>
    <w:rsid w:val="004A31FB"/>
    <w:rsid w:val="004B1EDA"/>
    <w:rsid w:val="004B615C"/>
    <w:rsid w:val="004B685F"/>
    <w:rsid w:val="004D6BAB"/>
    <w:rsid w:val="004E75A4"/>
    <w:rsid w:val="004E7D87"/>
    <w:rsid w:val="004F5386"/>
    <w:rsid w:val="004F60D4"/>
    <w:rsid w:val="00502748"/>
    <w:rsid w:val="00503705"/>
    <w:rsid w:val="00510CF1"/>
    <w:rsid w:val="00513256"/>
    <w:rsid w:val="00513BD7"/>
    <w:rsid w:val="00521D74"/>
    <w:rsid w:val="005373D8"/>
    <w:rsid w:val="0054140E"/>
    <w:rsid w:val="00544538"/>
    <w:rsid w:val="00546B95"/>
    <w:rsid w:val="0057699C"/>
    <w:rsid w:val="00595ECA"/>
    <w:rsid w:val="005A5F07"/>
    <w:rsid w:val="005B4ADE"/>
    <w:rsid w:val="005C2F68"/>
    <w:rsid w:val="005C78C1"/>
    <w:rsid w:val="005C7B22"/>
    <w:rsid w:val="005D64B6"/>
    <w:rsid w:val="005D7C48"/>
    <w:rsid w:val="00604813"/>
    <w:rsid w:val="00615AD2"/>
    <w:rsid w:val="00625FC1"/>
    <w:rsid w:val="00642065"/>
    <w:rsid w:val="006429D9"/>
    <w:rsid w:val="00643C08"/>
    <w:rsid w:val="00646D07"/>
    <w:rsid w:val="006518BB"/>
    <w:rsid w:val="00655655"/>
    <w:rsid w:val="00656388"/>
    <w:rsid w:val="00680B4D"/>
    <w:rsid w:val="00681642"/>
    <w:rsid w:val="00681B7E"/>
    <w:rsid w:val="00687317"/>
    <w:rsid w:val="006908D1"/>
    <w:rsid w:val="00694C7A"/>
    <w:rsid w:val="00697F97"/>
    <w:rsid w:val="006B563A"/>
    <w:rsid w:val="006C2DA9"/>
    <w:rsid w:val="006C6B43"/>
    <w:rsid w:val="006D09C3"/>
    <w:rsid w:val="006D4BED"/>
    <w:rsid w:val="006F22B6"/>
    <w:rsid w:val="006F5CD1"/>
    <w:rsid w:val="006F6561"/>
    <w:rsid w:val="00713F5B"/>
    <w:rsid w:val="00726163"/>
    <w:rsid w:val="00727536"/>
    <w:rsid w:val="0073209F"/>
    <w:rsid w:val="00735167"/>
    <w:rsid w:val="00736325"/>
    <w:rsid w:val="00736B99"/>
    <w:rsid w:val="00747FEE"/>
    <w:rsid w:val="00752D12"/>
    <w:rsid w:val="0075710E"/>
    <w:rsid w:val="00775845"/>
    <w:rsid w:val="007800F6"/>
    <w:rsid w:val="007855C3"/>
    <w:rsid w:val="00794500"/>
    <w:rsid w:val="007D54EB"/>
    <w:rsid w:val="007E567D"/>
    <w:rsid w:val="00800E8F"/>
    <w:rsid w:val="00813DD0"/>
    <w:rsid w:val="008237C0"/>
    <w:rsid w:val="008255DA"/>
    <w:rsid w:val="00825AAA"/>
    <w:rsid w:val="00834912"/>
    <w:rsid w:val="008365B4"/>
    <w:rsid w:val="0084734E"/>
    <w:rsid w:val="00852E03"/>
    <w:rsid w:val="0089665C"/>
    <w:rsid w:val="00897255"/>
    <w:rsid w:val="008C4C98"/>
    <w:rsid w:val="008D5709"/>
    <w:rsid w:val="008E16DF"/>
    <w:rsid w:val="008E1AF7"/>
    <w:rsid w:val="008E2874"/>
    <w:rsid w:val="008E5395"/>
    <w:rsid w:val="008E7FB5"/>
    <w:rsid w:val="008F17CA"/>
    <w:rsid w:val="00904A7D"/>
    <w:rsid w:val="00922573"/>
    <w:rsid w:val="00923C60"/>
    <w:rsid w:val="00923F8D"/>
    <w:rsid w:val="00945CD9"/>
    <w:rsid w:val="009632F8"/>
    <w:rsid w:val="00987238"/>
    <w:rsid w:val="00994FE7"/>
    <w:rsid w:val="009A1EED"/>
    <w:rsid w:val="009A64BD"/>
    <w:rsid w:val="009B0847"/>
    <w:rsid w:val="009B46B0"/>
    <w:rsid w:val="009B7FB9"/>
    <w:rsid w:val="009C2F59"/>
    <w:rsid w:val="009C33E7"/>
    <w:rsid w:val="009C4BD0"/>
    <w:rsid w:val="009D1E73"/>
    <w:rsid w:val="009E72DC"/>
    <w:rsid w:val="009F4902"/>
    <w:rsid w:val="00A04E13"/>
    <w:rsid w:val="00A21911"/>
    <w:rsid w:val="00A247FD"/>
    <w:rsid w:val="00A43177"/>
    <w:rsid w:val="00A43A42"/>
    <w:rsid w:val="00A5623D"/>
    <w:rsid w:val="00A57CD1"/>
    <w:rsid w:val="00A71445"/>
    <w:rsid w:val="00A733B8"/>
    <w:rsid w:val="00A743B1"/>
    <w:rsid w:val="00A76D26"/>
    <w:rsid w:val="00A815F3"/>
    <w:rsid w:val="00A9051B"/>
    <w:rsid w:val="00A90FCB"/>
    <w:rsid w:val="00AC4D8F"/>
    <w:rsid w:val="00AD60E6"/>
    <w:rsid w:val="00AE544A"/>
    <w:rsid w:val="00B018AE"/>
    <w:rsid w:val="00B21A78"/>
    <w:rsid w:val="00B252DB"/>
    <w:rsid w:val="00B3220C"/>
    <w:rsid w:val="00B41A04"/>
    <w:rsid w:val="00B46FF3"/>
    <w:rsid w:val="00B55F70"/>
    <w:rsid w:val="00B57F8A"/>
    <w:rsid w:val="00B63BB5"/>
    <w:rsid w:val="00B711A8"/>
    <w:rsid w:val="00B72114"/>
    <w:rsid w:val="00B91DAC"/>
    <w:rsid w:val="00B97EBA"/>
    <w:rsid w:val="00BA540B"/>
    <w:rsid w:val="00BD0FD8"/>
    <w:rsid w:val="00BD5828"/>
    <w:rsid w:val="00C17136"/>
    <w:rsid w:val="00C20E5C"/>
    <w:rsid w:val="00C26D25"/>
    <w:rsid w:val="00C32D5D"/>
    <w:rsid w:val="00C4442E"/>
    <w:rsid w:val="00C4471F"/>
    <w:rsid w:val="00C500DA"/>
    <w:rsid w:val="00C50E19"/>
    <w:rsid w:val="00C51305"/>
    <w:rsid w:val="00C55A60"/>
    <w:rsid w:val="00C65B47"/>
    <w:rsid w:val="00C7075F"/>
    <w:rsid w:val="00C725B9"/>
    <w:rsid w:val="00CA066B"/>
    <w:rsid w:val="00CA1169"/>
    <w:rsid w:val="00CA182E"/>
    <w:rsid w:val="00CA40A3"/>
    <w:rsid w:val="00CA7FC9"/>
    <w:rsid w:val="00CB21CE"/>
    <w:rsid w:val="00CC08EA"/>
    <w:rsid w:val="00CC4324"/>
    <w:rsid w:val="00CD450F"/>
    <w:rsid w:val="00CE7E77"/>
    <w:rsid w:val="00CF220B"/>
    <w:rsid w:val="00CF7760"/>
    <w:rsid w:val="00D06DE7"/>
    <w:rsid w:val="00D63B3A"/>
    <w:rsid w:val="00D731B1"/>
    <w:rsid w:val="00D94E7F"/>
    <w:rsid w:val="00DA095F"/>
    <w:rsid w:val="00DA2395"/>
    <w:rsid w:val="00DA2BBD"/>
    <w:rsid w:val="00DB507B"/>
    <w:rsid w:val="00DC6CFE"/>
    <w:rsid w:val="00DE5FF6"/>
    <w:rsid w:val="00E24ACD"/>
    <w:rsid w:val="00E32C07"/>
    <w:rsid w:val="00E716BE"/>
    <w:rsid w:val="00E71A06"/>
    <w:rsid w:val="00E71F1E"/>
    <w:rsid w:val="00E72693"/>
    <w:rsid w:val="00E86BCA"/>
    <w:rsid w:val="00E910DA"/>
    <w:rsid w:val="00E93CB9"/>
    <w:rsid w:val="00E9668F"/>
    <w:rsid w:val="00EA3FB2"/>
    <w:rsid w:val="00EA5C08"/>
    <w:rsid w:val="00EB02C1"/>
    <w:rsid w:val="00EC1E4E"/>
    <w:rsid w:val="00ED26CA"/>
    <w:rsid w:val="00ED590B"/>
    <w:rsid w:val="00EE0992"/>
    <w:rsid w:val="00EE25B3"/>
    <w:rsid w:val="00EF2364"/>
    <w:rsid w:val="00EF5F5B"/>
    <w:rsid w:val="00F02A97"/>
    <w:rsid w:val="00F03568"/>
    <w:rsid w:val="00F05B8F"/>
    <w:rsid w:val="00F06A08"/>
    <w:rsid w:val="00F12C65"/>
    <w:rsid w:val="00F21A0B"/>
    <w:rsid w:val="00F22AB3"/>
    <w:rsid w:val="00F25329"/>
    <w:rsid w:val="00F2567F"/>
    <w:rsid w:val="00F634C5"/>
    <w:rsid w:val="00F65D54"/>
    <w:rsid w:val="00F72FE0"/>
    <w:rsid w:val="00F9790E"/>
    <w:rsid w:val="00FA2276"/>
    <w:rsid w:val="00FA2375"/>
    <w:rsid w:val="00FB34E7"/>
    <w:rsid w:val="00FB5791"/>
    <w:rsid w:val="00FC77B5"/>
    <w:rsid w:val="00FC77C3"/>
    <w:rsid w:val="00FE4A00"/>
    <w:rsid w:val="00FF5396"/>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AU" w:eastAsia="en-AU"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1B7E"/>
    <w:pPr>
      <w:spacing w:before="120"/>
    </w:pPr>
    <w:rPr>
      <w:rFonts w:ascii="Times New Roman" w:eastAsia="SimSun" w:hAnsi="Times New Roman"/>
      <w:sz w:val="24"/>
      <w:szCs w:val="24"/>
      <w:lang w:val="en-GB" w:eastAsia="ja-JP"/>
    </w:rPr>
  </w:style>
  <w:style w:type="paragraph" w:styleId="Heading1">
    <w:name w:val="heading 1"/>
    <w:basedOn w:val="Normal"/>
    <w:next w:val="Normal"/>
    <w:link w:val="Heading1Char"/>
    <w:rsid w:val="009A64BD"/>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rsid w:val="009A64BD"/>
    <w:pPr>
      <w:spacing w:before="240"/>
      <w:outlineLvl w:val="1"/>
    </w:pPr>
  </w:style>
  <w:style w:type="paragraph" w:styleId="Heading3">
    <w:name w:val="heading 3"/>
    <w:basedOn w:val="Heading1"/>
    <w:next w:val="Normal"/>
    <w:rsid w:val="009A64BD"/>
    <w:pPr>
      <w:spacing w:before="160"/>
      <w:outlineLvl w:val="2"/>
    </w:pPr>
  </w:style>
  <w:style w:type="paragraph" w:styleId="Heading4">
    <w:name w:val="heading 4"/>
    <w:basedOn w:val="Heading3"/>
    <w:next w:val="Normal"/>
    <w:qFormat/>
    <w:rsid w:val="009A64BD"/>
    <w:pPr>
      <w:tabs>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rsid w:val="009A64BD"/>
    <w:pPr>
      <w:tabs>
        <w:tab w:val="clear" w:pos="1021"/>
      </w:tabs>
      <w:ind w:left="1588" w:hanging="1588"/>
      <w:outlineLvl w:val="5"/>
    </w:pPr>
  </w:style>
  <w:style w:type="paragraph" w:styleId="Heading7">
    <w:name w:val="heading 7"/>
    <w:basedOn w:val="Heading6"/>
    <w:next w:val="Normal"/>
    <w:rsid w:val="009A64BD"/>
    <w:pPr>
      <w:outlineLvl w:val="6"/>
    </w:pPr>
  </w:style>
  <w:style w:type="paragraph" w:styleId="Heading8">
    <w:name w:val="heading 8"/>
    <w:basedOn w:val="Heading6"/>
    <w:next w:val="Normal"/>
    <w:rsid w:val="009A64BD"/>
    <w:pPr>
      <w:outlineLvl w:val="7"/>
    </w:pPr>
  </w:style>
  <w:style w:type="paragraph" w:styleId="Heading9">
    <w:name w:val="heading 9"/>
    <w:basedOn w:val="Heading6"/>
    <w:next w:val="Normal"/>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rsid w:val="00681B7E"/>
    <w:pPr>
      <w:ind w:left="2269"/>
    </w:pPr>
  </w:style>
  <w:style w:type="paragraph" w:styleId="TOC2">
    <w:name w:val="toc 2"/>
    <w:basedOn w:val="TOC1"/>
    <w:uiPriority w:val="39"/>
    <w:rsid w:val="00681B7E"/>
    <w:pPr>
      <w:tabs>
        <w:tab w:val="clear" w:pos="964"/>
      </w:tabs>
      <w:spacing w:before="80"/>
      <w:ind w:left="1531" w:hanging="851"/>
    </w:pPr>
  </w:style>
  <w:style w:type="paragraph" w:styleId="TOC1">
    <w:name w:val="toc 1"/>
    <w:basedOn w:val="Normal"/>
    <w:uiPriority w:val="39"/>
    <w:rsid w:val="00681B7E"/>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link w:val="FooterChar"/>
    <w:rsid w:val="009A64BD"/>
    <w:pPr>
      <w:tabs>
        <w:tab w:val="left" w:pos="5954"/>
        <w:tab w:val="right" w:pos="9639"/>
      </w:tabs>
      <w:spacing w:before="0"/>
    </w:pPr>
    <w:rPr>
      <w:rFonts w:eastAsia="Times New Roman"/>
      <w:caps/>
      <w:noProof/>
      <w:sz w:val="16"/>
      <w:szCs w:val="20"/>
      <w:lang w:eastAsia="en-US"/>
    </w:rPr>
  </w:style>
  <w:style w:type="paragraph" w:styleId="Header">
    <w:name w:val="header"/>
    <w:basedOn w:val="Normal"/>
    <w:link w:val="HeaderChar"/>
    <w:rsid w:val="009A64BD"/>
    <w:pPr>
      <w:spacing w:before="0"/>
      <w:jc w:val="center"/>
    </w:pPr>
    <w:rPr>
      <w:sz w:val="18"/>
    </w:rPr>
  </w:style>
  <w:style w:type="character" w:styleId="FootnoteReference">
    <w:name w:val="footnote reference"/>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enter" w:pos="4820"/>
        <w:tab w:val="right" w:pos="9639"/>
      </w:tabs>
    </w:pPr>
  </w:style>
  <w:style w:type="paragraph" w:customStyle="1" w:styleId="toc0">
    <w:name w:val="toc 0"/>
    <w:basedOn w:val="Normal"/>
    <w:next w:val="TOC1"/>
    <w:rsid w:val="009A64BD"/>
    <w:pPr>
      <w:keepLines/>
      <w:tabs>
        <w:tab w:val="right" w:pos="9639"/>
      </w:tabs>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rsid w:val="009A64BD"/>
    <w:rPr>
      <w:rFonts w:ascii="Times New Roman" w:hAnsi="Times New Roman"/>
      <w:b/>
    </w:rPr>
  </w:style>
  <w:style w:type="character" w:styleId="CommentReference">
    <w:name w:val="annotation reference"/>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right" w:pos="1814"/>
      </w:tabs>
      <w:spacing w:before="80"/>
      <w:ind w:left="1985" w:hanging="1985"/>
    </w:pPr>
  </w:style>
  <w:style w:type="paragraph" w:customStyle="1" w:styleId="Figurelegend">
    <w:name w:val="Figure_legend"/>
    <w:basedOn w:val="Normal"/>
    <w:rsid w:val="009A64BD"/>
    <w:pPr>
      <w:keepNext/>
      <w:keepLines/>
      <w:spacing w:before="20" w:after="20"/>
    </w:pPr>
    <w:rPr>
      <w:sz w:val="18"/>
    </w:rPr>
  </w:style>
  <w:style w:type="paragraph" w:customStyle="1" w:styleId="Figure">
    <w:name w:val="Figur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left" w:pos="907"/>
        <w:tab w:val="right" w:pos="8789"/>
        <w:tab w:val="right" w:pos="9639"/>
      </w:tabs>
      <w:spacing w:before="0"/>
    </w:pPr>
    <w:rPr>
      <w:b/>
      <w:sz w:val="22"/>
    </w:rPr>
  </w:style>
  <w:style w:type="paragraph" w:customStyle="1" w:styleId="FirstFooter">
    <w:name w:val="FirstFooter"/>
    <w:basedOn w:val="Footer"/>
    <w:rsid w:val="009A64BD"/>
    <w:pPr>
      <w:tabs>
        <w:tab w:val="clear" w:pos="5954"/>
        <w:tab w:val="clear" w:pos="9639"/>
      </w:tabs>
      <w:spacing w:before="40"/>
    </w:pPr>
    <w:rPr>
      <w:caps w:val="0"/>
      <w:noProof w:val="0"/>
    </w:rPr>
  </w:style>
  <w:style w:type="paragraph" w:customStyle="1" w:styleId="Formal">
    <w:name w:val="Formal"/>
    <w:basedOn w:val="Normal"/>
    <w:rsid w:val="00681B7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noProof/>
      <w:sz w:val="20"/>
      <w:szCs w:val="20"/>
      <w:lang w:val="en-US" w:eastAsia="en-US"/>
    </w:rPr>
  </w:style>
  <w:style w:type="paragraph" w:customStyle="1" w:styleId="Headingb">
    <w:name w:val="Heading_b"/>
    <w:basedOn w:val="Normal"/>
    <w:next w:val="Normal"/>
    <w:qFormat/>
    <w:rsid w:val="00681B7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681B7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semiHidden/>
    <w:rsid w:val="009A64BD"/>
    <w:pPr>
      <w:ind w:left="284"/>
    </w:pPr>
  </w:style>
  <w:style w:type="paragraph" w:styleId="Index3">
    <w:name w:val="index 3"/>
    <w:basedOn w:val="Normal"/>
    <w:next w:val="Normal"/>
    <w:semiHidden/>
    <w:rsid w:val="009A64BD"/>
    <w:pPr>
      <w:ind w:left="567"/>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
    <w:rsid w:val="00681B7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9A64BD"/>
  </w:style>
  <w:style w:type="paragraph" w:customStyle="1" w:styleId="Reftext">
    <w:name w:val="Ref_text"/>
    <w:basedOn w:val="Normal"/>
    <w:rsid w:val="00681B7E"/>
    <w:pPr>
      <w:overflowPunct w:val="0"/>
      <w:autoSpaceDE w:val="0"/>
      <w:autoSpaceDN w:val="0"/>
      <w:adjustRightInd w:val="0"/>
      <w:ind w:left="2268" w:hanging="2268"/>
      <w:textAlignment w:val="baseline"/>
    </w:pPr>
    <w:rPr>
      <w:rFonts w:eastAsia="Times New Roman"/>
      <w:szCs w:val="20"/>
      <w:lang w:eastAsia="en-US"/>
    </w:r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spacing w:before="624"/>
      <w:jc w:val="center"/>
    </w:pPr>
    <w:rPr>
      <w:b/>
    </w:rPr>
  </w:style>
  <w:style w:type="paragraph" w:customStyle="1" w:styleId="Section2">
    <w:name w:val="Section_2"/>
    <w:basedOn w:val="Normal"/>
    <w:next w:val="Normal"/>
    <w:rsid w:val="009A64BD"/>
    <w:pPr>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rsid w:val="009A64BD"/>
    <w:rPr>
      <w:b/>
      <w:color w:val="auto"/>
    </w:rPr>
  </w:style>
  <w:style w:type="paragraph" w:customStyle="1" w:styleId="Tablehead">
    <w:name w:val="Table_head"/>
    <w:basedOn w:val="Normal"/>
    <w:next w:val="Normal"/>
    <w:rsid w:val="00681B7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681B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semiHidden/>
    <w:rsid w:val="009A64BD"/>
    <w:pPr>
      <w:spacing w:before="0"/>
    </w:pPr>
    <w:rPr>
      <w:sz w:val="20"/>
      <w:lang w:val="en-US"/>
    </w:rPr>
  </w:style>
  <w:style w:type="paragraph" w:customStyle="1" w:styleId="Tabletext">
    <w:name w:val="Table_text"/>
    <w:basedOn w:val="Normal"/>
    <w:link w:val="TabletextChar"/>
    <w:rsid w:val="00681B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uiPriority w:val="99"/>
    <w:rsid w:val="009A64BD"/>
    <w:rPr>
      <w:color w:val="0000FF"/>
      <w:u w:val="single"/>
    </w:rPr>
  </w:style>
  <w:style w:type="character" w:customStyle="1" w:styleId="FooterChar">
    <w:name w:val="Footer Char"/>
    <w:link w:val="Footer"/>
    <w:rsid w:val="00CA1169"/>
    <w:rPr>
      <w:rFonts w:ascii="Times New Roman" w:hAnsi="Times New Roman"/>
      <w:caps/>
      <w:noProof/>
      <w:sz w:val="16"/>
      <w:lang w:val="en-GB" w:eastAsia="en-US"/>
    </w:rPr>
  </w:style>
  <w:style w:type="paragraph" w:styleId="BalloonText">
    <w:name w:val="Balloon Text"/>
    <w:basedOn w:val="Normal"/>
    <w:link w:val="BalloonTextChar"/>
    <w:rsid w:val="00290B54"/>
    <w:pPr>
      <w:spacing w:before="0"/>
    </w:pPr>
    <w:rPr>
      <w:rFonts w:ascii="Tahoma" w:hAnsi="Tahoma"/>
      <w:sz w:val="16"/>
      <w:szCs w:val="16"/>
    </w:rPr>
  </w:style>
  <w:style w:type="character" w:customStyle="1" w:styleId="BalloonTextChar">
    <w:name w:val="Balloon Text Char"/>
    <w:link w:val="BalloonText"/>
    <w:rsid w:val="00290B54"/>
    <w:rPr>
      <w:rFonts w:ascii="Tahoma" w:hAnsi="Tahoma" w:cs="Tahoma"/>
      <w:sz w:val="16"/>
      <w:szCs w:val="16"/>
      <w:lang w:val="en-GB" w:eastAsia="en-US"/>
    </w:rPr>
  </w:style>
  <w:style w:type="paragraph" w:styleId="Revision">
    <w:name w:val="Revision"/>
    <w:hidden/>
    <w:uiPriority w:val="99"/>
    <w:semiHidden/>
    <w:rsid w:val="001F7A0D"/>
    <w:rPr>
      <w:rFonts w:ascii="Times New Roman" w:hAnsi="Times New Roman"/>
      <w:sz w:val="24"/>
      <w:lang w:val="en-GB" w:eastAsia="en-US"/>
    </w:rPr>
  </w:style>
  <w:style w:type="paragraph" w:customStyle="1" w:styleId="Docnumber">
    <w:name w:val="Docnumber"/>
    <w:basedOn w:val="Normal"/>
    <w:link w:val="DocnumberChar"/>
    <w:rsid w:val="00681B7E"/>
    <w:pPr>
      <w:jc w:val="right"/>
    </w:pPr>
    <w:rPr>
      <w:b/>
      <w:sz w:val="40"/>
    </w:rPr>
  </w:style>
  <w:style w:type="character" w:customStyle="1" w:styleId="DocnumberChar">
    <w:name w:val="Docnumber Char"/>
    <w:link w:val="Docnumber"/>
    <w:rsid w:val="00681B7E"/>
    <w:rPr>
      <w:rFonts w:ascii="Times New Roman" w:eastAsia="SimSun" w:hAnsi="Times New Roman"/>
      <w:b/>
      <w:sz w:val="40"/>
      <w:lang w:val="en-GB" w:eastAsia="en-US"/>
    </w:rPr>
  </w:style>
  <w:style w:type="paragraph" w:styleId="TableofFigures">
    <w:name w:val="table of figures"/>
    <w:basedOn w:val="Normal"/>
    <w:next w:val="Normal"/>
    <w:uiPriority w:val="99"/>
    <w:rsid w:val="00681B7E"/>
    <w:pPr>
      <w:tabs>
        <w:tab w:val="right" w:leader="dot" w:pos="9639"/>
      </w:tabs>
    </w:pPr>
    <w:rPr>
      <w:rFonts w:eastAsia="MS Mincho"/>
    </w:rPr>
  </w:style>
  <w:style w:type="character" w:customStyle="1" w:styleId="Heading1Char">
    <w:name w:val="Heading 1 Char"/>
    <w:link w:val="Heading1"/>
    <w:rsid w:val="00681B7E"/>
    <w:rPr>
      <w:rFonts w:ascii="Times New Roman" w:hAnsi="Times New Roman"/>
      <w:b/>
      <w:sz w:val="24"/>
      <w:lang w:val="en-GB" w:eastAsia="en-US"/>
    </w:rPr>
  </w:style>
  <w:style w:type="paragraph" w:customStyle="1" w:styleId="AnnexNotitle0">
    <w:name w:val="Annex_No &amp; title"/>
    <w:basedOn w:val="Normal"/>
    <w:next w:val="Normal"/>
    <w:rsid w:val="00681B7E"/>
    <w:pPr>
      <w:keepNext/>
      <w:keepLines/>
      <w:spacing w:before="480"/>
      <w:jc w:val="center"/>
    </w:pPr>
    <w:rPr>
      <w:b/>
      <w:sz w:val="28"/>
    </w:rPr>
  </w:style>
  <w:style w:type="paragraph" w:customStyle="1" w:styleId="AppendixNotitle0">
    <w:name w:val="Appendix_No &amp; title"/>
    <w:basedOn w:val="AnnexNotitle0"/>
    <w:next w:val="Normal"/>
    <w:rsid w:val="00681B7E"/>
  </w:style>
  <w:style w:type="paragraph" w:customStyle="1" w:styleId="CorrectionSeparatorBegin">
    <w:name w:val="Correction Separator Begin"/>
    <w:basedOn w:val="Normal"/>
    <w:rsid w:val="00681B7E"/>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681B7E"/>
    <w:pPr>
      <w:pBdr>
        <w:top w:val="single" w:sz="12" w:space="1" w:color="auto"/>
      </w:pBdr>
      <w:spacing w:before="240" w:after="240"/>
      <w:ind w:left="1440" w:right="1440"/>
      <w:jc w:val="center"/>
    </w:pPr>
    <w:rPr>
      <w:b/>
      <w:i/>
      <w:sz w:val="20"/>
      <w:lang w:val="en-US"/>
    </w:rPr>
  </w:style>
  <w:style w:type="paragraph" w:customStyle="1" w:styleId="FigureNotitle0">
    <w:name w:val="Figure_No &amp; title"/>
    <w:basedOn w:val="Normal"/>
    <w:next w:val="Normal"/>
    <w:qFormat/>
    <w:rsid w:val="00681B7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ib">
    <w:name w:val="Heading_ib"/>
    <w:basedOn w:val="Headingi"/>
    <w:next w:val="Normal"/>
    <w:qFormat/>
    <w:rsid w:val="00681B7E"/>
    <w:rPr>
      <w:b/>
      <w:bCs/>
    </w:rPr>
  </w:style>
  <w:style w:type="paragraph" w:customStyle="1" w:styleId="Normalbeforetable">
    <w:name w:val="Normal before table"/>
    <w:basedOn w:val="Normal"/>
    <w:rsid w:val="00681B7E"/>
    <w:pPr>
      <w:keepNext/>
      <w:spacing w:after="120"/>
    </w:pPr>
    <w:rPr>
      <w:rFonts w:eastAsia="????"/>
      <w:lang w:eastAsia="en-US"/>
    </w:rPr>
  </w:style>
  <w:style w:type="paragraph" w:customStyle="1" w:styleId="TableNotitle0">
    <w:name w:val="Table_No &amp; title"/>
    <w:basedOn w:val="Normal"/>
    <w:next w:val="Normal"/>
    <w:qFormat/>
    <w:rsid w:val="00681B7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character" w:customStyle="1" w:styleId="TabletextChar">
    <w:name w:val="Table_text Char"/>
    <w:link w:val="Tabletext"/>
    <w:locked/>
    <w:rsid w:val="00646D07"/>
    <w:rPr>
      <w:rFonts w:ascii="Times New Roman" w:hAnsi="Times New Roman"/>
      <w:sz w:val="22"/>
      <w:lang w:val="en-GB" w:eastAsia="en-US"/>
    </w:rPr>
  </w:style>
  <w:style w:type="paragraph" w:styleId="Caption">
    <w:name w:val="caption"/>
    <w:basedOn w:val="Normal"/>
    <w:next w:val="Normal"/>
    <w:semiHidden/>
    <w:unhideWhenUsed/>
    <w:rsid w:val="00A71445"/>
    <w:rPr>
      <w:b/>
      <w:bCs/>
      <w:sz w:val="20"/>
      <w:szCs w:val="20"/>
    </w:rPr>
  </w:style>
  <w:style w:type="character" w:styleId="Emphasis">
    <w:name w:val="Emphasis"/>
    <w:rsid w:val="00A71445"/>
    <w:rPr>
      <w:i/>
      <w:iCs/>
    </w:rPr>
  </w:style>
  <w:style w:type="paragraph" w:styleId="Subtitle">
    <w:name w:val="Subtitle"/>
    <w:basedOn w:val="Normal"/>
    <w:next w:val="Normal"/>
    <w:link w:val="SubtitleChar"/>
    <w:rsid w:val="00A71445"/>
    <w:pPr>
      <w:spacing w:after="60"/>
      <w:jc w:val="center"/>
      <w:outlineLvl w:val="1"/>
    </w:pPr>
    <w:rPr>
      <w:rFonts w:ascii="Cambria" w:hAnsi="Cambria"/>
    </w:rPr>
  </w:style>
  <w:style w:type="character" w:customStyle="1" w:styleId="SubtitleChar">
    <w:name w:val="Subtitle Char"/>
    <w:link w:val="Subtitle"/>
    <w:rsid w:val="00A71445"/>
    <w:rPr>
      <w:rFonts w:ascii="Cambria" w:eastAsia="SimSun" w:hAnsi="Cambria" w:cs="Times New Roman"/>
      <w:sz w:val="24"/>
      <w:szCs w:val="24"/>
      <w:lang w:val="en-GB" w:eastAsia="ja-JP"/>
    </w:rPr>
  </w:style>
  <w:style w:type="character" w:styleId="Strong">
    <w:name w:val="Strong"/>
    <w:rsid w:val="00A71445"/>
    <w:rPr>
      <w:b/>
      <w:bCs/>
    </w:rPr>
  </w:style>
  <w:style w:type="paragraph" w:styleId="Quote">
    <w:name w:val="Quote"/>
    <w:basedOn w:val="Normal"/>
    <w:next w:val="Normal"/>
    <w:link w:val="QuoteChar"/>
    <w:uiPriority w:val="29"/>
    <w:rsid w:val="00A71445"/>
    <w:pPr>
      <w:spacing w:before="200" w:after="160"/>
      <w:ind w:left="864" w:right="864"/>
      <w:jc w:val="center"/>
    </w:pPr>
    <w:rPr>
      <w:i/>
      <w:iCs/>
      <w:color w:val="404040"/>
    </w:rPr>
  </w:style>
  <w:style w:type="character" w:customStyle="1" w:styleId="QuoteChar">
    <w:name w:val="Quote Char"/>
    <w:link w:val="Quote"/>
    <w:uiPriority w:val="29"/>
    <w:rsid w:val="00A71445"/>
    <w:rPr>
      <w:rFonts w:ascii="Times New Roman" w:eastAsia="SimSun" w:hAnsi="Times New Roman"/>
      <w:i/>
      <w:iCs/>
      <w:color w:val="404040"/>
      <w:sz w:val="24"/>
      <w:szCs w:val="24"/>
      <w:lang w:val="en-GB" w:eastAsia="ja-JP"/>
    </w:rPr>
  </w:style>
  <w:style w:type="character" w:customStyle="1" w:styleId="HeaderChar">
    <w:name w:val="Header Char"/>
    <w:basedOn w:val="DefaultParagraphFont"/>
    <w:link w:val="Header"/>
    <w:rsid w:val="00CA40A3"/>
    <w:rPr>
      <w:rFonts w:ascii="Times New Roman" w:eastAsia="SimSun" w:hAnsi="Times New Roman"/>
      <w:sz w:val="18"/>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504666">
      <w:bodyDiv w:val="1"/>
      <w:marLeft w:val="0"/>
      <w:marRight w:val="0"/>
      <w:marTop w:val="0"/>
      <w:marBottom w:val="0"/>
      <w:divBdr>
        <w:top w:val="none" w:sz="0" w:space="0" w:color="auto"/>
        <w:left w:val="none" w:sz="0" w:space="0" w:color="auto"/>
        <w:bottom w:val="none" w:sz="0" w:space="0" w:color="auto"/>
        <w:right w:val="none" w:sz="0" w:space="0" w:color="auto"/>
      </w:divBdr>
    </w:div>
    <w:div w:id="1391416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BFF73-4F0D-49F4-BEA8-311365559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939</Words>
  <Characters>5354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H-Sup.2 “H.248.x sub-series packages guide – Release 16” (Rev.): Output draft (Geneva, 9-20 February 2015)</vt:lpstr>
    </vt:vector>
  </TitlesOfParts>
  <LinksUpToDate>false</LinksUpToDate>
  <CharactersWithSpaces>6281</CharactersWithSpaces>
  <SharedDoc>false</SharedDoc>
  <HLinks>
    <vt:vector size="120" baseType="variant">
      <vt:variant>
        <vt:i4>2424866</vt:i4>
      </vt:variant>
      <vt:variant>
        <vt:i4>102</vt:i4>
      </vt:variant>
      <vt:variant>
        <vt:i4>0</vt:i4>
      </vt:variant>
      <vt:variant>
        <vt:i4>5</vt:i4>
      </vt:variant>
      <vt:variant>
        <vt:lpwstr>https://datatracker.ietf.org/idtracker/</vt:lpwstr>
      </vt:variant>
      <vt:variant>
        <vt:lpwstr/>
      </vt:variant>
      <vt:variant>
        <vt:i4>7536695</vt:i4>
      </vt:variant>
      <vt:variant>
        <vt:i4>99</vt:i4>
      </vt:variant>
      <vt:variant>
        <vt:i4>0</vt:i4>
      </vt:variant>
      <vt:variant>
        <vt:i4>5</vt:i4>
      </vt:variant>
      <vt:variant>
        <vt:lpwstr>ftp://www.ietf.org/internet-drafts/</vt:lpwstr>
      </vt:variant>
      <vt:variant>
        <vt:lpwstr/>
      </vt:variant>
      <vt:variant>
        <vt:i4>2424866</vt:i4>
      </vt:variant>
      <vt:variant>
        <vt:i4>96</vt:i4>
      </vt:variant>
      <vt:variant>
        <vt:i4>0</vt:i4>
      </vt:variant>
      <vt:variant>
        <vt:i4>5</vt:i4>
      </vt:variant>
      <vt:variant>
        <vt:lpwstr>https://datatracker.ietf.org/idtracker/</vt:lpwstr>
      </vt:variant>
      <vt:variant>
        <vt:lpwstr/>
      </vt:variant>
      <vt:variant>
        <vt:i4>7536695</vt:i4>
      </vt:variant>
      <vt:variant>
        <vt:i4>93</vt:i4>
      </vt:variant>
      <vt:variant>
        <vt:i4>0</vt:i4>
      </vt:variant>
      <vt:variant>
        <vt:i4>5</vt:i4>
      </vt:variant>
      <vt:variant>
        <vt:lpwstr>ftp://www.ietf.org/internet-drafts/</vt:lpwstr>
      </vt:variant>
      <vt:variant>
        <vt:lpwstr/>
      </vt:variant>
      <vt:variant>
        <vt:i4>1769526</vt:i4>
      </vt:variant>
      <vt:variant>
        <vt:i4>86</vt:i4>
      </vt:variant>
      <vt:variant>
        <vt:i4>0</vt:i4>
      </vt:variant>
      <vt:variant>
        <vt:i4>5</vt:i4>
      </vt:variant>
      <vt:variant>
        <vt:lpwstr/>
      </vt:variant>
      <vt:variant>
        <vt:lpwstr>_Toc285642508</vt:lpwstr>
      </vt:variant>
      <vt:variant>
        <vt:i4>1769526</vt:i4>
      </vt:variant>
      <vt:variant>
        <vt:i4>80</vt:i4>
      </vt:variant>
      <vt:variant>
        <vt:i4>0</vt:i4>
      </vt:variant>
      <vt:variant>
        <vt:i4>5</vt:i4>
      </vt:variant>
      <vt:variant>
        <vt:lpwstr/>
      </vt:variant>
      <vt:variant>
        <vt:lpwstr>_Toc285642507</vt:lpwstr>
      </vt:variant>
      <vt:variant>
        <vt:i4>1769526</vt:i4>
      </vt:variant>
      <vt:variant>
        <vt:i4>74</vt:i4>
      </vt:variant>
      <vt:variant>
        <vt:i4>0</vt:i4>
      </vt:variant>
      <vt:variant>
        <vt:i4>5</vt:i4>
      </vt:variant>
      <vt:variant>
        <vt:lpwstr/>
      </vt:variant>
      <vt:variant>
        <vt:lpwstr>_Toc285642506</vt:lpwstr>
      </vt:variant>
      <vt:variant>
        <vt:i4>1769526</vt:i4>
      </vt:variant>
      <vt:variant>
        <vt:i4>68</vt:i4>
      </vt:variant>
      <vt:variant>
        <vt:i4>0</vt:i4>
      </vt:variant>
      <vt:variant>
        <vt:i4>5</vt:i4>
      </vt:variant>
      <vt:variant>
        <vt:lpwstr/>
      </vt:variant>
      <vt:variant>
        <vt:lpwstr>_Toc285642505</vt:lpwstr>
      </vt:variant>
      <vt:variant>
        <vt:i4>1769526</vt:i4>
      </vt:variant>
      <vt:variant>
        <vt:i4>62</vt:i4>
      </vt:variant>
      <vt:variant>
        <vt:i4>0</vt:i4>
      </vt:variant>
      <vt:variant>
        <vt:i4>5</vt:i4>
      </vt:variant>
      <vt:variant>
        <vt:lpwstr/>
      </vt:variant>
      <vt:variant>
        <vt:lpwstr>_Toc285642504</vt:lpwstr>
      </vt:variant>
      <vt:variant>
        <vt:i4>1769526</vt:i4>
      </vt:variant>
      <vt:variant>
        <vt:i4>56</vt:i4>
      </vt:variant>
      <vt:variant>
        <vt:i4>0</vt:i4>
      </vt:variant>
      <vt:variant>
        <vt:i4>5</vt:i4>
      </vt:variant>
      <vt:variant>
        <vt:lpwstr/>
      </vt:variant>
      <vt:variant>
        <vt:lpwstr>_Toc285642503</vt:lpwstr>
      </vt:variant>
      <vt:variant>
        <vt:i4>1769526</vt:i4>
      </vt:variant>
      <vt:variant>
        <vt:i4>50</vt:i4>
      </vt:variant>
      <vt:variant>
        <vt:i4>0</vt:i4>
      </vt:variant>
      <vt:variant>
        <vt:i4>5</vt:i4>
      </vt:variant>
      <vt:variant>
        <vt:lpwstr/>
      </vt:variant>
      <vt:variant>
        <vt:lpwstr>_Toc285642502</vt:lpwstr>
      </vt:variant>
      <vt:variant>
        <vt:i4>1769526</vt:i4>
      </vt:variant>
      <vt:variant>
        <vt:i4>44</vt:i4>
      </vt:variant>
      <vt:variant>
        <vt:i4>0</vt:i4>
      </vt:variant>
      <vt:variant>
        <vt:i4>5</vt:i4>
      </vt:variant>
      <vt:variant>
        <vt:lpwstr/>
      </vt:variant>
      <vt:variant>
        <vt:lpwstr>_Toc285642501</vt:lpwstr>
      </vt:variant>
      <vt:variant>
        <vt:i4>1769526</vt:i4>
      </vt:variant>
      <vt:variant>
        <vt:i4>38</vt:i4>
      </vt:variant>
      <vt:variant>
        <vt:i4>0</vt:i4>
      </vt:variant>
      <vt:variant>
        <vt:i4>5</vt:i4>
      </vt:variant>
      <vt:variant>
        <vt:lpwstr/>
      </vt:variant>
      <vt:variant>
        <vt:lpwstr>_Toc285642500</vt:lpwstr>
      </vt:variant>
      <vt:variant>
        <vt:i4>1179703</vt:i4>
      </vt:variant>
      <vt:variant>
        <vt:i4>32</vt:i4>
      </vt:variant>
      <vt:variant>
        <vt:i4>0</vt:i4>
      </vt:variant>
      <vt:variant>
        <vt:i4>5</vt:i4>
      </vt:variant>
      <vt:variant>
        <vt:lpwstr/>
      </vt:variant>
      <vt:variant>
        <vt:lpwstr>_Toc285642499</vt:lpwstr>
      </vt:variant>
      <vt:variant>
        <vt:i4>1179703</vt:i4>
      </vt:variant>
      <vt:variant>
        <vt:i4>26</vt:i4>
      </vt:variant>
      <vt:variant>
        <vt:i4>0</vt:i4>
      </vt:variant>
      <vt:variant>
        <vt:i4>5</vt:i4>
      </vt:variant>
      <vt:variant>
        <vt:lpwstr/>
      </vt:variant>
      <vt:variant>
        <vt:lpwstr>_Toc285642498</vt:lpwstr>
      </vt:variant>
      <vt:variant>
        <vt:i4>1179703</vt:i4>
      </vt:variant>
      <vt:variant>
        <vt:i4>20</vt:i4>
      </vt:variant>
      <vt:variant>
        <vt:i4>0</vt:i4>
      </vt:variant>
      <vt:variant>
        <vt:i4>5</vt:i4>
      </vt:variant>
      <vt:variant>
        <vt:lpwstr/>
      </vt:variant>
      <vt:variant>
        <vt:lpwstr>_Toc285642497</vt:lpwstr>
      </vt:variant>
      <vt:variant>
        <vt:i4>1179703</vt:i4>
      </vt:variant>
      <vt:variant>
        <vt:i4>14</vt:i4>
      </vt:variant>
      <vt:variant>
        <vt:i4>0</vt:i4>
      </vt:variant>
      <vt:variant>
        <vt:i4>5</vt:i4>
      </vt:variant>
      <vt:variant>
        <vt:lpwstr/>
      </vt:variant>
      <vt:variant>
        <vt:lpwstr>_Toc285642496</vt:lpwstr>
      </vt:variant>
      <vt:variant>
        <vt:i4>1179703</vt:i4>
      </vt:variant>
      <vt:variant>
        <vt:i4>8</vt:i4>
      </vt:variant>
      <vt:variant>
        <vt:i4>0</vt:i4>
      </vt:variant>
      <vt:variant>
        <vt:i4>5</vt:i4>
      </vt:variant>
      <vt:variant>
        <vt:lpwstr/>
      </vt:variant>
      <vt:variant>
        <vt:lpwstr>_Toc285642495</vt:lpwstr>
      </vt:variant>
      <vt:variant>
        <vt:i4>1179703</vt:i4>
      </vt:variant>
      <vt:variant>
        <vt:i4>2</vt:i4>
      </vt:variant>
      <vt:variant>
        <vt:i4>0</vt:i4>
      </vt:variant>
      <vt:variant>
        <vt:i4>5</vt:i4>
      </vt:variant>
      <vt:variant>
        <vt:lpwstr/>
      </vt:variant>
      <vt:variant>
        <vt:lpwstr>_Toc285642494</vt:lpwstr>
      </vt:variant>
      <vt:variant>
        <vt:i4>3735641</vt:i4>
      </vt:variant>
      <vt:variant>
        <vt:i4>3</vt:i4>
      </vt:variant>
      <vt:variant>
        <vt:i4>0</vt:i4>
      </vt:variant>
      <vt:variant>
        <vt:i4>5</vt:i4>
      </vt:variant>
      <vt:variant>
        <vt:lpwstr>mailto:Christian.Groves@nteczone.com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H-Sup.2 “H.248.x sub-series packages guide – Release 16” (Rev.): Output draft (Geneva, 9-20 February 2015)</dc:title>
  <dc:creator/>
  <cp:keywords>3/16</cp:keywords>
  <dc:description>TD 234 R1 (WP 1/16)  For: Geneva, 9-20 February 2015_x000d_Document date: _x000d_Saved by ITU51010667 at 21:45:20 on 16/02/2015</dc:description>
  <cp:lastModifiedBy/>
  <cp:revision>1</cp:revision>
  <dcterms:created xsi:type="dcterms:W3CDTF">2015-05-27T06:29:00Z</dcterms:created>
  <dcterms:modified xsi:type="dcterms:W3CDTF">2015-05-30T23:54:00Z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234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9-20 February 2015</vt:lpwstr>
  </property>
  <property fmtid="{D5CDD505-2E9C-101B-9397-08002B2CF9AE}" pid="7" name="Docauthor">
    <vt:lpwstr>Editor H.Sup.2</vt:lpwstr>
  </property>
</Properties>
</file>