
<file path=[Content_Types].xml><?xml version="1.0" encoding="utf-8"?>
<Types xmlns="http://schemas.openxmlformats.org/package/2006/content-type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7B6848" w:rsidRPr="008467B6" w14:paraId="67D579CB" w14:textId="77777777" w:rsidTr="004B3F76">
        <w:tc>
          <w:tcPr>
            <w:tcW w:w="6408" w:type="dxa"/>
          </w:tcPr>
          <w:p w14:paraId="5D8C6689" w14:textId="49EB7C4A" w:rsidR="007B6848" w:rsidRPr="008467B6" w:rsidRDefault="007B6848" w:rsidP="004B3F76">
            <w:pPr>
              <w:tabs>
                <w:tab w:val="left" w:pos="7200"/>
              </w:tabs>
              <w:spacing w:before="0"/>
              <w:rPr>
                <w:b/>
                <w:szCs w:val="22"/>
              </w:rPr>
            </w:pPr>
            <w:r w:rsidRPr="008467B6">
              <w:rPr>
                <w:b/>
                <w:szCs w:val="22"/>
              </w:rPr>
              <w:t>Joint Collaborative Team on Video Coding (JCT-VC)</w:t>
            </w:r>
          </w:p>
          <w:p w14:paraId="6E46875C" w14:textId="77777777" w:rsidR="007B6848" w:rsidRPr="008467B6" w:rsidRDefault="007B6848" w:rsidP="004B3F76">
            <w:pPr>
              <w:tabs>
                <w:tab w:val="left" w:pos="7200"/>
              </w:tabs>
              <w:spacing w:before="0"/>
              <w:rPr>
                <w:b/>
                <w:szCs w:val="22"/>
              </w:rPr>
            </w:pPr>
            <w:r w:rsidRPr="008467B6">
              <w:rPr>
                <w:b/>
                <w:szCs w:val="22"/>
              </w:rPr>
              <w:t>of ITU-T SG 16 WP 3 and ISO/IEC JTC 1/SC 29/WG 11</w:t>
            </w:r>
          </w:p>
          <w:p w14:paraId="22C3BC59" w14:textId="77777777" w:rsidR="007B6848" w:rsidRPr="008467B6" w:rsidRDefault="007B6848" w:rsidP="004B3F76">
            <w:pPr>
              <w:tabs>
                <w:tab w:val="left" w:pos="7200"/>
              </w:tabs>
              <w:spacing w:before="0"/>
              <w:rPr>
                <w:b/>
                <w:szCs w:val="22"/>
              </w:rPr>
            </w:pPr>
            <w:r w:rsidRPr="008467B6">
              <w:t>25th Meeting: Chengdu, CH, 14–21 October 2016</w:t>
            </w:r>
          </w:p>
        </w:tc>
        <w:tc>
          <w:tcPr>
            <w:tcW w:w="3168" w:type="dxa"/>
          </w:tcPr>
          <w:p w14:paraId="4A1D79C6" w14:textId="77777777" w:rsidR="007B6848" w:rsidRPr="008467B6" w:rsidRDefault="007B6848" w:rsidP="004B3F76">
            <w:pPr>
              <w:tabs>
                <w:tab w:val="left" w:pos="7200"/>
              </w:tabs>
              <w:rPr>
                <w:u w:val="single"/>
              </w:rPr>
            </w:pPr>
            <w:r w:rsidRPr="008467B6">
              <w:t>Document: JCTVC-Y1012</w:t>
            </w:r>
          </w:p>
        </w:tc>
      </w:tr>
    </w:tbl>
    <w:p w14:paraId="03AE4AEC" w14:textId="77777777" w:rsidR="007B6848" w:rsidRPr="008467B6" w:rsidRDefault="007B6848" w:rsidP="007B6848">
      <w:pPr>
        <w:spacing w:before="0"/>
      </w:pPr>
    </w:p>
    <w:tbl>
      <w:tblPr>
        <w:tblW w:w="0" w:type="auto"/>
        <w:tblLayout w:type="fixed"/>
        <w:tblLook w:val="0000" w:firstRow="0" w:lastRow="0" w:firstColumn="0" w:lastColumn="0" w:noHBand="0" w:noVBand="0"/>
      </w:tblPr>
      <w:tblGrid>
        <w:gridCol w:w="1458"/>
        <w:gridCol w:w="3895"/>
        <w:gridCol w:w="851"/>
        <w:gridCol w:w="3372"/>
      </w:tblGrid>
      <w:tr w:rsidR="007B6848" w:rsidRPr="008467B6" w14:paraId="26F7DCBC" w14:textId="77777777" w:rsidTr="004B3F76">
        <w:tc>
          <w:tcPr>
            <w:tcW w:w="1458" w:type="dxa"/>
          </w:tcPr>
          <w:p w14:paraId="507D01F8" w14:textId="77777777" w:rsidR="007B6848" w:rsidRPr="008467B6" w:rsidRDefault="007B6848" w:rsidP="004B3F76">
            <w:pPr>
              <w:spacing w:before="60" w:after="60"/>
              <w:rPr>
                <w:i/>
                <w:szCs w:val="22"/>
              </w:rPr>
            </w:pPr>
            <w:r w:rsidRPr="008467B6">
              <w:rPr>
                <w:i/>
                <w:szCs w:val="22"/>
              </w:rPr>
              <w:t>Title:</w:t>
            </w:r>
          </w:p>
        </w:tc>
        <w:tc>
          <w:tcPr>
            <w:tcW w:w="8118" w:type="dxa"/>
            <w:gridSpan w:val="3"/>
          </w:tcPr>
          <w:p w14:paraId="66C176CF" w14:textId="537D6B69" w:rsidR="007B6848" w:rsidRPr="008467B6" w:rsidRDefault="007B6848" w:rsidP="004B3F76">
            <w:pPr>
              <w:spacing w:before="60" w:after="60"/>
              <w:rPr>
                <w:b/>
                <w:szCs w:val="22"/>
              </w:rPr>
            </w:pPr>
            <w:r w:rsidRPr="008467B6">
              <w:rPr>
                <w:b/>
                <w:szCs w:val="22"/>
              </w:rPr>
              <w:t>Signalling, Backward Compatibility and Display Adaptation for HDR/WCG Video Coding</w:t>
            </w:r>
            <w:r w:rsidR="00A464EA">
              <w:rPr>
                <w:b/>
                <w:szCs w:val="22"/>
              </w:rPr>
              <w:t>,</w:t>
            </w:r>
            <w:r w:rsidRPr="008467B6">
              <w:rPr>
                <w:b/>
                <w:szCs w:val="22"/>
              </w:rPr>
              <w:t xml:space="preserve"> Draft 1</w:t>
            </w:r>
          </w:p>
        </w:tc>
      </w:tr>
      <w:tr w:rsidR="007B6848" w:rsidRPr="008467B6" w14:paraId="5F0A4290" w14:textId="77777777" w:rsidTr="004B3F76">
        <w:tc>
          <w:tcPr>
            <w:tcW w:w="1458" w:type="dxa"/>
          </w:tcPr>
          <w:p w14:paraId="0DDBE39A" w14:textId="77777777" w:rsidR="007B6848" w:rsidRPr="008467B6" w:rsidRDefault="007B6848" w:rsidP="004B3F76">
            <w:pPr>
              <w:spacing w:before="60" w:after="60"/>
              <w:rPr>
                <w:i/>
                <w:szCs w:val="22"/>
              </w:rPr>
            </w:pPr>
            <w:r w:rsidRPr="008467B6">
              <w:rPr>
                <w:i/>
                <w:szCs w:val="22"/>
              </w:rPr>
              <w:t>Status:</w:t>
            </w:r>
          </w:p>
        </w:tc>
        <w:tc>
          <w:tcPr>
            <w:tcW w:w="8118" w:type="dxa"/>
            <w:gridSpan w:val="3"/>
          </w:tcPr>
          <w:p w14:paraId="47B7537A" w14:textId="7B959060" w:rsidR="007B6848" w:rsidRPr="008467B6" w:rsidRDefault="00A464EA" w:rsidP="004B3F76">
            <w:pPr>
              <w:spacing w:before="60" w:after="60"/>
              <w:rPr>
                <w:szCs w:val="22"/>
              </w:rPr>
            </w:pPr>
            <w:r>
              <w:t>Approved</w:t>
            </w:r>
          </w:p>
        </w:tc>
      </w:tr>
      <w:tr w:rsidR="007B6848" w:rsidRPr="008467B6" w14:paraId="51181F8F" w14:textId="77777777" w:rsidTr="004B3F76">
        <w:tc>
          <w:tcPr>
            <w:tcW w:w="1458" w:type="dxa"/>
          </w:tcPr>
          <w:p w14:paraId="27A886F3" w14:textId="77777777" w:rsidR="007B6848" w:rsidRPr="008467B6" w:rsidRDefault="007B6848" w:rsidP="004B3F76">
            <w:pPr>
              <w:spacing w:before="60" w:after="60"/>
              <w:rPr>
                <w:i/>
                <w:szCs w:val="22"/>
              </w:rPr>
            </w:pPr>
            <w:r w:rsidRPr="008467B6">
              <w:rPr>
                <w:i/>
                <w:szCs w:val="22"/>
              </w:rPr>
              <w:t>Purpose:</w:t>
            </w:r>
          </w:p>
        </w:tc>
        <w:tc>
          <w:tcPr>
            <w:tcW w:w="8118" w:type="dxa"/>
            <w:gridSpan w:val="3"/>
          </w:tcPr>
          <w:p w14:paraId="074DDCB1" w14:textId="521DB185" w:rsidR="007B6848" w:rsidRPr="008467B6" w:rsidRDefault="007B6848" w:rsidP="004B3F76">
            <w:pPr>
              <w:spacing w:before="60" w:after="60"/>
              <w:rPr>
                <w:szCs w:val="22"/>
              </w:rPr>
            </w:pPr>
            <w:r w:rsidRPr="008467B6">
              <w:t xml:space="preserve">Output </w:t>
            </w:r>
            <w:r w:rsidR="00A464EA">
              <w:t>draft text of technical report</w:t>
            </w:r>
          </w:p>
        </w:tc>
      </w:tr>
      <w:tr w:rsidR="007B6848" w:rsidRPr="008467B6" w14:paraId="678F6100" w14:textId="77777777" w:rsidTr="004B3F76">
        <w:tc>
          <w:tcPr>
            <w:tcW w:w="1458" w:type="dxa"/>
          </w:tcPr>
          <w:p w14:paraId="257F7FB3" w14:textId="77777777" w:rsidR="007B6848" w:rsidRPr="008467B6" w:rsidRDefault="007B6848" w:rsidP="004B3F76">
            <w:pPr>
              <w:spacing w:before="60" w:after="60"/>
              <w:rPr>
                <w:i/>
                <w:szCs w:val="22"/>
              </w:rPr>
            </w:pPr>
            <w:r w:rsidRPr="008467B6">
              <w:rPr>
                <w:i/>
                <w:szCs w:val="22"/>
              </w:rPr>
              <w:t>Author(s) or</w:t>
            </w:r>
            <w:r w:rsidRPr="008467B6">
              <w:rPr>
                <w:i/>
                <w:szCs w:val="22"/>
              </w:rPr>
              <w:br/>
              <w:t>Contact(s):</w:t>
            </w:r>
          </w:p>
        </w:tc>
        <w:tc>
          <w:tcPr>
            <w:tcW w:w="3895" w:type="dxa"/>
          </w:tcPr>
          <w:p w14:paraId="2752CC32" w14:textId="31C60DFD" w:rsidR="007B6848" w:rsidRPr="008467B6" w:rsidRDefault="007B6848" w:rsidP="004B3F76">
            <w:pPr>
              <w:spacing w:before="60" w:after="60"/>
              <w:rPr>
                <w:szCs w:val="22"/>
              </w:rPr>
            </w:pPr>
            <w:r w:rsidRPr="008467B6">
              <w:rPr>
                <w:szCs w:val="22"/>
              </w:rPr>
              <w:t>Edouard François</w:t>
            </w:r>
            <w:r w:rsidRPr="008467B6">
              <w:rPr>
                <w:szCs w:val="22"/>
              </w:rPr>
              <w:br/>
              <w:t>Dmytro Rusanovskyy</w:t>
            </w:r>
            <w:r w:rsidRPr="008467B6">
              <w:rPr>
                <w:szCs w:val="22"/>
              </w:rPr>
              <w:br/>
              <w:t>Peng Yin</w:t>
            </w:r>
            <w:r w:rsidRPr="008467B6">
              <w:rPr>
                <w:szCs w:val="22"/>
              </w:rPr>
              <w:br/>
              <w:t>Pankaj Topiwala</w:t>
            </w:r>
            <w:r w:rsidRPr="008467B6">
              <w:rPr>
                <w:szCs w:val="22"/>
              </w:rPr>
              <w:br/>
              <w:t xml:space="preserve">Gary </w:t>
            </w:r>
            <w:r w:rsidR="00A464EA">
              <w:rPr>
                <w:szCs w:val="22"/>
              </w:rPr>
              <w:t xml:space="preserve">J. </w:t>
            </w:r>
            <w:r w:rsidRPr="008467B6">
              <w:rPr>
                <w:szCs w:val="22"/>
              </w:rPr>
              <w:t>Sullivan</w:t>
            </w:r>
            <w:r w:rsidRPr="008467B6">
              <w:rPr>
                <w:szCs w:val="22"/>
              </w:rPr>
              <w:br/>
              <w:t>Matteo Naccari</w:t>
            </w:r>
          </w:p>
        </w:tc>
        <w:tc>
          <w:tcPr>
            <w:tcW w:w="851" w:type="dxa"/>
          </w:tcPr>
          <w:p w14:paraId="2E706FA9" w14:textId="77777777" w:rsidR="007B6848" w:rsidRPr="008467B6" w:rsidRDefault="007B6848" w:rsidP="004B3F76">
            <w:pPr>
              <w:spacing w:before="60" w:after="60"/>
              <w:rPr>
                <w:szCs w:val="22"/>
              </w:rPr>
            </w:pPr>
            <w:r w:rsidRPr="008467B6">
              <w:rPr>
                <w:szCs w:val="22"/>
              </w:rPr>
              <w:t>Email:</w:t>
            </w:r>
          </w:p>
        </w:tc>
        <w:tc>
          <w:tcPr>
            <w:tcW w:w="3372" w:type="dxa"/>
          </w:tcPr>
          <w:p w14:paraId="2A78638A" w14:textId="77777777" w:rsidR="007B6848" w:rsidRPr="008467B6" w:rsidRDefault="002A7852" w:rsidP="004B3F76">
            <w:pPr>
              <w:spacing w:before="60" w:after="60"/>
              <w:rPr>
                <w:szCs w:val="22"/>
              </w:rPr>
            </w:pPr>
            <w:hyperlink r:id="rId8" w:history="1">
              <w:r w:rsidR="007B6848" w:rsidRPr="008467B6">
                <w:rPr>
                  <w:rStyle w:val="Hyperlink"/>
                  <w:szCs w:val="22"/>
                </w:rPr>
                <w:t>edouard.francois@technicolor.com</w:t>
              </w:r>
            </w:hyperlink>
            <w:r w:rsidR="007B6848" w:rsidRPr="008467B6">
              <w:rPr>
                <w:rStyle w:val="Hyperlink"/>
                <w:szCs w:val="22"/>
              </w:rPr>
              <w:br/>
            </w:r>
            <w:hyperlink r:id="rId9" w:history="1">
              <w:r w:rsidR="007B6848" w:rsidRPr="008467B6">
                <w:rPr>
                  <w:rStyle w:val="Hyperlink"/>
                  <w:szCs w:val="22"/>
                </w:rPr>
                <w:t>dmytror@qti.qualcomm.com</w:t>
              </w:r>
            </w:hyperlink>
            <w:r w:rsidR="007B6848" w:rsidRPr="008467B6">
              <w:rPr>
                <w:rStyle w:val="Hyperlink"/>
                <w:szCs w:val="22"/>
              </w:rPr>
              <w:br/>
            </w:r>
            <w:hyperlink r:id="rId10" w:history="1">
              <w:r w:rsidR="007B6848" w:rsidRPr="008467B6">
                <w:rPr>
                  <w:rStyle w:val="Hyperlink"/>
                  <w:szCs w:val="22"/>
                </w:rPr>
                <w:t>pyin@dolby.com</w:t>
              </w:r>
            </w:hyperlink>
            <w:r w:rsidR="007B6848" w:rsidRPr="008467B6">
              <w:rPr>
                <w:rStyle w:val="Hyperlink"/>
                <w:szCs w:val="22"/>
              </w:rPr>
              <w:br/>
            </w:r>
            <w:hyperlink r:id="rId11" w:history="1">
              <w:r w:rsidR="007B6848" w:rsidRPr="002D1492">
                <w:rPr>
                  <w:rStyle w:val="Hyperlink"/>
                  <w:szCs w:val="22"/>
                </w:rPr>
                <w:t>pankaj@fastvdo.com</w:t>
              </w:r>
            </w:hyperlink>
            <w:r w:rsidR="007B6848" w:rsidRPr="008467B6">
              <w:rPr>
                <w:rStyle w:val="Hyperlink"/>
                <w:szCs w:val="22"/>
              </w:rPr>
              <w:br/>
            </w:r>
            <w:hyperlink r:id="rId12" w:history="1">
              <w:r w:rsidR="007B6848" w:rsidRPr="008467B6">
                <w:rPr>
                  <w:rStyle w:val="Hyperlink"/>
                  <w:szCs w:val="22"/>
                </w:rPr>
                <w:t>garysull@microsoft.com</w:t>
              </w:r>
            </w:hyperlink>
            <w:r w:rsidR="007B6848" w:rsidRPr="008467B6">
              <w:rPr>
                <w:rStyle w:val="Hyperlink"/>
                <w:szCs w:val="22"/>
              </w:rPr>
              <w:br/>
            </w:r>
            <w:hyperlink r:id="rId13" w:history="1">
              <w:r w:rsidR="007B6848" w:rsidRPr="008467B6">
                <w:rPr>
                  <w:rStyle w:val="Hyperlink"/>
                </w:rPr>
                <w:t>matteo.naccari@bbc.co.uk</w:t>
              </w:r>
            </w:hyperlink>
          </w:p>
        </w:tc>
      </w:tr>
      <w:tr w:rsidR="007B6848" w:rsidRPr="008467B6" w14:paraId="232AED5C" w14:textId="77777777" w:rsidTr="004B3F76">
        <w:tc>
          <w:tcPr>
            <w:tcW w:w="1458" w:type="dxa"/>
          </w:tcPr>
          <w:p w14:paraId="02891BDD" w14:textId="77777777" w:rsidR="007B6848" w:rsidRPr="008467B6" w:rsidRDefault="007B6848" w:rsidP="004B3F76">
            <w:pPr>
              <w:spacing w:before="60" w:after="60"/>
              <w:rPr>
                <w:i/>
                <w:szCs w:val="22"/>
              </w:rPr>
            </w:pPr>
            <w:r w:rsidRPr="008467B6">
              <w:rPr>
                <w:i/>
                <w:szCs w:val="22"/>
              </w:rPr>
              <w:t>Source:</w:t>
            </w:r>
          </w:p>
        </w:tc>
        <w:tc>
          <w:tcPr>
            <w:tcW w:w="8118" w:type="dxa"/>
            <w:gridSpan w:val="3"/>
          </w:tcPr>
          <w:p w14:paraId="60FE9F1C" w14:textId="57C25AC8" w:rsidR="007B6848" w:rsidRPr="008467B6" w:rsidRDefault="00A464EA" w:rsidP="004B3F76">
            <w:pPr>
              <w:spacing w:before="60" w:after="60"/>
              <w:rPr>
                <w:szCs w:val="22"/>
              </w:rPr>
            </w:pPr>
            <w:r>
              <w:rPr>
                <w:szCs w:val="22"/>
              </w:rPr>
              <w:t>JCT-VC</w:t>
            </w:r>
          </w:p>
        </w:tc>
      </w:tr>
    </w:tbl>
    <w:p w14:paraId="40E0BA63" w14:textId="77777777" w:rsidR="007B6848" w:rsidRPr="008467B6" w:rsidRDefault="007B6848" w:rsidP="007B6848">
      <w:pPr>
        <w:tabs>
          <w:tab w:val="left" w:pos="1800"/>
          <w:tab w:val="right" w:pos="9360"/>
        </w:tabs>
        <w:spacing w:before="120" w:after="240"/>
        <w:jc w:val="center"/>
        <w:rPr>
          <w:szCs w:val="22"/>
        </w:rPr>
      </w:pPr>
      <w:r w:rsidRPr="008467B6">
        <w:rPr>
          <w:szCs w:val="22"/>
          <w:u w:val="single"/>
        </w:rPr>
        <w:t>_____________________________</w:t>
      </w:r>
    </w:p>
    <w:p w14:paraId="085B4B40" w14:textId="77777777" w:rsidR="007B6848" w:rsidRPr="008467B6" w:rsidRDefault="007B6848" w:rsidP="007B6848">
      <w:pPr>
        <w:pStyle w:val="Heading1"/>
        <w:numPr>
          <w:ilvl w:val="0"/>
          <w:numId w:val="0"/>
        </w:numPr>
        <w:ind w:left="432" w:hanging="432"/>
        <w:rPr>
          <w:rFonts w:cs="Times New Roman"/>
        </w:rPr>
      </w:pPr>
      <w:bookmarkStart w:id="0" w:name="_Toc452455845"/>
      <w:bookmarkStart w:id="1" w:name="_Toc454454583"/>
      <w:bookmarkStart w:id="2" w:name="_Toc467226071"/>
      <w:r w:rsidRPr="008467B6">
        <w:rPr>
          <w:rFonts w:cs="Times New Roman"/>
        </w:rPr>
        <w:t>Abstract</w:t>
      </w:r>
      <w:bookmarkEnd w:id="0"/>
      <w:bookmarkEnd w:id="1"/>
      <w:bookmarkEnd w:id="2"/>
    </w:p>
    <w:p w14:paraId="31627D37" w14:textId="2F446F60" w:rsidR="007B6848" w:rsidRPr="00980878" w:rsidRDefault="007B6848" w:rsidP="007B6848">
      <w:r w:rsidRPr="008467B6">
        <w:t xml:space="preserve">This document </w:t>
      </w:r>
      <w:r>
        <w:t xml:space="preserve">is a </w:t>
      </w:r>
      <w:bookmarkStart w:id="3" w:name="_GoBack"/>
      <w:bookmarkEnd w:id="3"/>
      <w:r w:rsidRPr="00D703E2">
        <w:t xml:space="preserve">draft of a technical report on </w:t>
      </w:r>
      <w:r w:rsidRPr="00AC254C">
        <w:rPr>
          <w:szCs w:val="22"/>
        </w:rPr>
        <w:t xml:space="preserve">Signalling, Backward Compatibility and Display Adaptation for HDR/WCG Video Coding. </w:t>
      </w:r>
      <w:r w:rsidRPr="00980878">
        <w:t xml:space="preserve">This report </w:t>
      </w:r>
      <w:r>
        <w:t>complements and extends work in</w:t>
      </w:r>
      <w:r w:rsidRPr="00980878">
        <w:t xml:space="preserve"> another report, “Conversion and Coding Practices for HDR/WCG </w:t>
      </w:r>
      <w:r w:rsidRPr="00980878">
        <w:rPr>
          <w:rFonts w:hint="eastAsia"/>
        </w:rPr>
        <w:t>Y</w:t>
      </w:r>
      <w:r>
        <w:rPr>
          <w:rFonts w:cs="Arial"/>
          <w:noProof/>
        </w:rPr>
        <w:t>′</w:t>
      </w:r>
      <w:r w:rsidRPr="00980878">
        <w:rPr>
          <w:rFonts w:hint="eastAsia"/>
        </w:rPr>
        <w:t>CbCr</w:t>
      </w:r>
      <w:r w:rsidRPr="00980878">
        <w:t xml:space="preserve"> 4:2:0 Video with PQ Transfer Characteristics”.</w:t>
      </w:r>
      <w:r>
        <w:t xml:space="preserve"> Specifically, this report expands on the application of IC</w:t>
      </w:r>
      <w:r w:rsidRPr="00AC254C">
        <w:rPr>
          <w:vertAlign w:val="subscript"/>
        </w:rPr>
        <w:t>T</w:t>
      </w:r>
      <w:r>
        <w:t>C</w:t>
      </w:r>
      <w:r w:rsidRPr="00AC254C">
        <w:rPr>
          <w:vertAlign w:val="subscript"/>
        </w:rPr>
        <w:t>P</w:t>
      </w:r>
      <w:r>
        <w:t>, HLG and SEI messages in the coding of HDR/WCG video.</w:t>
      </w:r>
    </w:p>
    <w:p w14:paraId="2A6A6BD7" w14:textId="77777777" w:rsidR="007B6848" w:rsidRDefault="007B6848" w:rsidP="007B6848">
      <w:pPr>
        <w:tabs>
          <w:tab w:val="clear" w:pos="792"/>
          <w:tab w:val="clear" w:pos="1195"/>
          <w:tab w:val="clear" w:pos="1584"/>
          <w:tab w:val="clear" w:pos="1987"/>
          <w:tab w:val="clear" w:pos="4853"/>
          <w:tab w:val="clear" w:pos="9691"/>
        </w:tabs>
        <w:spacing w:before="0"/>
        <w:jc w:val="left"/>
      </w:pPr>
      <w:r>
        <w:br w:type="page"/>
      </w:r>
    </w:p>
    <w:p w14:paraId="4FB7EE2C" w14:textId="77777777" w:rsidR="007B6848" w:rsidRPr="00AC254C" w:rsidRDefault="007B6848" w:rsidP="007B6848">
      <w:pPr>
        <w:pStyle w:val="Headingb"/>
        <w:rPr>
          <w:sz w:val="24"/>
          <w:szCs w:val="22"/>
          <w:lang w:val="en-CA"/>
        </w:rPr>
      </w:pPr>
      <w:r>
        <w:rPr>
          <w:sz w:val="24"/>
          <w:lang w:val="en-CA"/>
        </w:rPr>
        <w:lastRenderedPageBreak/>
        <w:t>Summary</w:t>
      </w:r>
    </w:p>
    <w:p w14:paraId="5E38EA5F" w14:textId="77777777" w:rsidR="007B6848" w:rsidRPr="00980878" w:rsidRDefault="007B6848" w:rsidP="007B6848">
      <w:r w:rsidRPr="008467B6">
        <w:t>This document relates to high dynamic range (HDR) and wide color gamut (WCG) video distribution, based on H.265/HEVC</w:t>
      </w:r>
      <w:r>
        <w:t>, and when applicable</w:t>
      </w:r>
      <w:r w:rsidRPr="00AE216F">
        <w:t xml:space="preserve"> </w:t>
      </w:r>
      <w:r w:rsidRPr="008467B6">
        <w:t>on H.26</w:t>
      </w:r>
      <w:r>
        <w:t>4</w:t>
      </w:r>
      <w:r w:rsidRPr="008467B6">
        <w:t>/</w:t>
      </w:r>
      <w:r>
        <w:t>AV</w:t>
      </w:r>
      <w:r w:rsidRPr="008467B6">
        <w:t>C</w:t>
      </w:r>
      <w:r>
        <w:t xml:space="preserve">, using either </w:t>
      </w:r>
      <w:r w:rsidRPr="008467B6">
        <w:t xml:space="preserve">single-layer or dual-layer coding. </w:t>
      </w:r>
      <w:r>
        <w:t xml:space="preserve">This document serves several purposes. </w:t>
      </w:r>
      <w:r w:rsidRPr="008467B6">
        <w:t>It</w:t>
      </w:r>
      <w:r>
        <w:t xml:space="preserve"> covers some use cases</w:t>
      </w:r>
      <w:r w:rsidRPr="008467B6">
        <w:t xml:space="preserve"> of HDR/WCG video content</w:t>
      </w:r>
      <w:r>
        <w:t>.</w:t>
      </w:r>
      <w:r w:rsidRPr="008467B6">
        <w:t xml:space="preserve"> </w:t>
      </w:r>
      <w:r>
        <w:t>It reviews</w:t>
      </w:r>
      <w:r w:rsidRPr="008467B6">
        <w:t xml:space="preserve"> approaches</w:t>
      </w:r>
      <w:r>
        <w:t>, using SEI messages,</w:t>
      </w:r>
      <w:r w:rsidRPr="008467B6">
        <w:t xml:space="preserve"> to enable </w:t>
      </w:r>
      <w:r>
        <w:t xml:space="preserve">backward </w:t>
      </w:r>
      <w:r w:rsidRPr="008467B6">
        <w:t>compatibility with legacy decoding systems that do not have the ability to detect</w:t>
      </w:r>
      <w:r>
        <w:t>, decode,</w:t>
      </w:r>
      <w:r w:rsidRPr="008467B6">
        <w:t xml:space="preserve"> </w:t>
      </w:r>
      <w:r>
        <w:t>or</w:t>
      </w:r>
      <w:r w:rsidRPr="008467B6">
        <w:t xml:space="preserve"> properly display HDR/WCG video content</w:t>
      </w:r>
      <w:r>
        <w:t xml:space="preserve">. It also </w:t>
      </w:r>
      <w:r w:rsidRPr="008467B6">
        <w:t>describe</w:t>
      </w:r>
      <w:r>
        <w:t>s</w:t>
      </w:r>
      <w:r w:rsidRPr="008467B6">
        <w:t xml:space="preserve"> methods for adapting HDR/WCG video content for use with display technolog</w:t>
      </w:r>
      <w:r>
        <w:t>ies</w:t>
      </w:r>
      <w:r w:rsidRPr="008467B6">
        <w:t xml:space="preserve"> </w:t>
      </w:r>
      <w:r>
        <w:t>in which the</w:t>
      </w:r>
      <w:r w:rsidRPr="008467B6">
        <w:t xml:space="preserve"> dynamic range and colour gamut capability</w:t>
      </w:r>
      <w:r>
        <w:t xml:space="preserve"> differs from the original content</w:t>
      </w:r>
      <w:r w:rsidRPr="008467B6">
        <w:t>. The document surveys the signalling mechanisms for handling HDR/WCG video with HEVC</w:t>
      </w:r>
      <w:r>
        <w:t xml:space="preserve">, </w:t>
      </w:r>
      <w:r w:rsidRPr="008467B6">
        <w:t>and when applicable</w:t>
      </w:r>
      <w:r>
        <w:t>,</w:t>
      </w:r>
      <w:r w:rsidRPr="008467B6">
        <w:t xml:space="preserve"> </w:t>
      </w:r>
      <w:r>
        <w:t xml:space="preserve">with </w:t>
      </w:r>
      <w:r w:rsidRPr="008467B6">
        <w:t xml:space="preserve">AVC. Indicators </w:t>
      </w:r>
      <w:r>
        <w:t xml:space="preserve">are provided </w:t>
      </w:r>
      <w:r w:rsidRPr="008467B6">
        <w:t>for usage of the IC</w:t>
      </w:r>
      <w:r w:rsidRPr="008467B6">
        <w:rPr>
          <w:vertAlign w:val="subscript"/>
        </w:rPr>
        <w:t>T</w:t>
      </w:r>
      <w:r w:rsidRPr="008467B6">
        <w:t>C</w:t>
      </w:r>
      <w:r w:rsidRPr="008467B6">
        <w:rPr>
          <w:vertAlign w:val="subscript"/>
        </w:rPr>
        <w:t>P</w:t>
      </w:r>
      <w:r w:rsidRPr="008467B6">
        <w:t xml:space="preserve"> colour representation, the hybrid log</w:t>
      </w:r>
      <w:r>
        <w:t>-</w:t>
      </w:r>
      <w:r w:rsidRPr="008467B6">
        <w:t>gamma (HLG) and Perceptual Quantiz</w:t>
      </w:r>
      <w:r>
        <w:t>er</w:t>
      </w:r>
      <w:r w:rsidRPr="008467B6">
        <w:t xml:space="preserve"> (PQ) transfer functions, and usage of different specific SEI messages for SDR backward compatibility and display adaptation functionalities. A dual-layer coding approach using the Scalable Main 10 profile of HEVC for backward compatibility with standard dynamic range (SDR) systems is also documented.</w:t>
      </w:r>
    </w:p>
    <w:p w14:paraId="488416ED" w14:textId="77777777" w:rsidR="007B6848" w:rsidRPr="008467B6" w:rsidRDefault="007B6848" w:rsidP="007B6848">
      <w:r w:rsidRPr="00980878">
        <w:t xml:space="preserve">This report </w:t>
      </w:r>
      <w:r>
        <w:t>complements the material provided in</w:t>
      </w:r>
      <w:r w:rsidRPr="00980878">
        <w:t xml:space="preserve"> another report, “Conversion and Coding Practices for HDR/WCG </w:t>
      </w:r>
      <w:r w:rsidRPr="00980878">
        <w:rPr>
          <w:rFonts w:hint="eastAsia"/>
        </w:rPr>
        <w:t>Y</w:t>
      </w:r>
      <w:r>
        <w:rPr>
          <w:rFonts w:cs="Arial"/>
          <w:noProof/>
        </w:rPr>
        <w:t>′</w:t>
      </w:r>
      <w:r w:rsidRPr="00980878">
        <w:rPr>
          <w:rFonts w:hint="eastAsia"/>
        </w:rPr>
        <w:t>CbCr</w:t>
      </w:r>
      <w:r w:rsidRPr="00980878">
        <w:t xml:space="preserve"> 4:2:0 Video with PQ Transfer Characteristics”</w:t>
      </w:r>
      <w:r>
        <w:t xml:space="preserve"> [1]</w:t>
      </w:r>
      <w:r w:rsidRPr="00980878">
        <w:t>.</w:t>
      </w:r>
      <w:r>
        <w:t xml:space="preserve"> In brief, it reviews the use of certain SEI messages to achieve the capabilities mentioned above.</w:t>
      </w:r>
    </w:p>
    <w:p w14:paraId="0E7068D4" w14:textId="77777777" w:rsidR="007B6848" w:rsidRPr="008467B6" w:rsidRDefault="007B6848" w:rsidP="007B6848">
      <w:pPr>
        <w:pStyle w:val="Heading1"/>
      </w:pPr>
      <w:bookmarkStart w:id="4" w:name="_Toc467225393"/>
      <w:bookmarkStart w:id="5" w:name="_Toc467226072"/>
      <w:bookmarkStart w:id="6" w:name="_Toc467225394"/>
      <w:bookmarkStart w:id="7" w:name="_Toc467226073"/>
      <w:bookmarkStart w:id="8" w:name="_Toc467226074"/>
      <w:bookmarkEnd w:id="4"/>
      <w:bookmarkEnd w:id="5"/>
      <w:bookmarkEnd w:id="6"/>
      <w:bookmarkEnd w:id="7"/>
      <w:r w:rsidRPr="008467B6">
        <w:t>Scope</w:t>
      </w:r>
      <w:bookmarkEnd w:id="8"/>
    </w:p>
    <w:p w14:paraId="0972419E" w14:textId="77777777" w:rsidR="007B6848" w:rsidRPr="008467B6" w:rsidRDefault="007B6848" w:rsidP="007B6848">
      <w:pPr>
        <w:rPr>
          <w:rFonts w:eastAsia="SimSun"/>
        </w:rPr>
      </w:pPr>
      <w:r w:rsidRPr="008467B6">
        <w:t xml:space="preserve">This document relates to high dynamic range (HDR) and wide color gamut (WCG) video coding and distribution, using single-layer or dual-layer coding, with </w:t>
      </w:r>
      <w:r>
        <w:t>H.265/</w:t>
      </w:r>
      <w:r w:rsidRPr="008467B6">
        <w:t>HEVC (and when applicable</w:t>
      </w:r>
      <w:r>
        <w:t>,</w:t>
      </w:r>
      <w:r w:rsidRPr="008467B6">
        <w:t xml:space="preserve"> </w:t>
      </w:r>
      <w:r>
        <w:t>H.264/</w:t>
      </w:r>
      <w:r w:rsidRPr="008467B6">
        <w:t>AVC) signalling. It provides a review of identified VUI syntax elements and SEI messages applicable for HDR</w:t>
      </w:r>
      <w:r>
        <w:t>/</w:t>
      </w:r>
      <w:r w:rsidRPr="008467B6">
        <w:t xml:space="preserve">WCG video </w:t>
      </w:r>
      <w:r>
        <w:t>distribution</w:t>
      </w:r>
      <w:r w:rsidRPr="008467B6">
        <w:t>. Guidance for usage of IC</w:t>
      </w:r>
      <w:r w:rsidRPr="008467B6">
        <w:rPr>
          <w:vertAlign w:val="subscript"/>
        </w:rPr>
        <w:t>T</w:t>
      </w:r>
      <w:r w:rsidRPr="008467B6">
        <w:t>C</w:t>
      </w:r>
      <w:r w:rsidRPr="008467B6">
        <w:rPr>
          <w:vertAlign w:val="subscript"/>
        </w:rPr>
        <w:t>P</w:t>
      </w:r>
      <w:r w:rsidRPr="008467B6">
        <w:t xml:space="preserve"> colour representation and usage of hybrid log</w:t>
      </w:r>
      <w:r>
        <w:t>-</w:t>
      </w:r>
      <w:r w:rsidRPr="008467B6">
        <w:t>gamma (HLG) transfer function are provided. Usage of colour remapping information (CRI) and tone mapping information (TMI) SEI messages for support of SDR backward compatibility and display adaptation functionalities is also documented</w:t>
      </w:r>
      <w:r w:rsidRPr="008467B6">
        <w:rPr>
          <w:rFonts w:eastAsia="SimSun"/>
        </w:rPr>
        <w:t xml:space="preserve">. </w:t>
      </w:r>
    </w:p>
    <w:p w14:paraId="7F4C1180" w14:textId="77777777" w:rsidR="007B6848" w:rsidRPr="008467B6" w:rsidRDefault="007B6848" w:rsidP="007B6848">
      <w:pPr>
        <w:rPr>
          <w:rFonts w:eastAsia="SimSun"/>
        </w:rPr>
      </w:pPr>
      <w:r w:rsidRPr="008467B6">
        <w:rPr>
          <w:rFonts w:eastAsia="SimSun"/>
          <w:b/>
        </w:rPr>
        <w:t>SDR backward compatibility</w:t>
      </w:r>
      <w:r w:rsidRPr="008467B6">
        <w:rPr>
          <w:rFonts w:eastAsia="SimSun"/>
        </w:rPr>
        <w:t xml:space="preserve"> relates to the ability of HDR/WCG video coding and distribution systems to produce a video signal suitable for SDR-only capable rendering devices (e.g. UHD SDR display with Rec. ITU-R BT.2020 color primaries </w:t>
      </w:r>
      <w:r w:rsidRPr="00275358">
        <w:rPr>
          <w:rFonts w:eastAsia="SimSun"/>
        </w:rPr>
        <w:fldChar w:fldCharType="begin"/>
      </w:r>
      <w:r w:rsidRPr="008467B6">
        <w:rPr>
          <w:rFonts w:eastAsia="SimSun"/>
        </w:rPr>
        <w:instrText xml:space="preserve"> REF _Ref461013904 \r \h </w:instrText>
      </w:r>
      <w:r w:rsidRPr="00275358">
        <w:rPr>
          <w:rFonts w:eastAsia="SimSun"/>
        </w:rPr>
      </w:r>
      <w:r w:rsidRPr="00275358">
        <w:rPr>
          <w:rFonts w:eastAsia="SimSun"/>
        </w:rPr>
        <w:fldChar w:fldCharType="separate"/>
      </w:r>
      <w:r>
        <w:rPr>
          <w:rFonts w:eastAsia="SimSun"/>
        </w:rPr>
        <w:t>[3]</w:t>
      </w:r>
      <w:r w:rsidRPr="00275358">
        <w:rPr>
          <w:rFonts w:eastAsia="SimSun"/>
        </w:rPr>
        <w:fldChar w:fldCharType="end"/>
      </w:r>
      <w:r w:rsidRPr="008467B6">
        <w:rPr>
          <w:rFonts w:eastAsia="SimSun"/>
        </w:rPr>
        <w:t>). It can be defined in two modes:</w:t>
      </w:r>
    </w:p>
    <w:p w14:paraId="24486A2A" w14:textId="77777777" w:rsidR="007B6848" w:rsidRPr="008467B6" w:rsidRDefault="007B6848" w:rsidP="007B6848">
      <w:pPr>
        <w:pStyle w:val="ListParagraph"/>
        <w:numPr>
          <w:ilvl w:val="0"/>
          <w:numId w:val="11"/>
        </w:numPr>
        <w:contextualSpacing w:val="0"/>
        <w:rPr>
          <w:rFonts w:eastAsia="SimSun"/>
        </w:rPr>
      </w:pPr>
      <w:r w:rsidRPr="008467B6">
        <w:rPr>
          <w:rFonts w:eastAsia="SimSun"/>
        </w:rPr>
        <w:t xml:space="preserve">In HDR/WCG distribution systems that support </w:t>
      </w:r>
      <w:r w:rsidRPr="008467B6">
        <w:rPr>
          <w:rFonts w:eastAsia="SimSun"/>
          <w:b/>
        </w:rPr>
        <w:t xml:space="preserve">bitstream </w:t>
      </w:r>
      <w:r w:rsidRPr="008467B6">
        <w:rPr>
          <w:rFonts w:eastAsia="SimSun"/>
        </w:rPr>
        <w:t xml:space="preserve">SDR backward compatibility, the decoded video signal from a standard-compliant decoder (e.g. HEVC Main 10 decoder) can be directly displayed on </w:t>
      </w:r>
      <w:r>
        <w:rPr>
          <w:rFonts w:eastAsia="SimSun"/>
        </w:rPr>
        <w:t xml:space="preserve">an </w:t>
      </w:r>
      <w:r w:rsidRPr="008467B6">
        <w:rPr>
          <w:rFonts w:eastAsia="SimSun"/>
        </w:rPr>
        <w:t xml:space="preserve">SDR-capable display without adaptation. Two categories of </w:t>
      </w:r>
      <w:r w:rsidRPr="008467B6">
        <w:rPr>
          <w:rFonts w:eastAsia="SimSun"/>
          <w:b/>
        </w:rPr>
        <w:t xml:space="preserve">bitstream </w:t>
      </w:r>
      <w:r w:rsidRPr="008467B6">
        <w:rPr>
          <w:rFonts w:eastAsia="SimSun"/>
        </w:rPr>
        <w:t>SDR backward compatibility can be considered:</w:t>
      </w:r>
    </w:p>
    <w:p w14:paraId="091DA11B" w14:textId="77777777" w:rsidR="007B6848" w:rsidRPr="008467B6" w:rsidRDefault="007B6848" w:rsidP="007B6848">
      <w:pPr>
        <w:pStyle w:val="ListParagraph"/>
        <w:numPr>
          <w:ilvl w:val="1"/>
          <w:numId w:val="20"/>
        </w:numPr>
        <w:contextualSpacing w:val="0"/>
        <w:rPr>
          <w:rFonts w:eastAsia="SimSun"/>
        </w:rPr>
      </w:pPr>
      <w:r w:rsidRPr="008467B6">
        <w:rPr>
          <w:rFonts w:eastAsia="SimSun"/>
        </w:rPr>
        <w:t xml:space="preserve">In </w:t>
      </w:r>
      <w:r w:rsidRPr="008467B6">
        <w:rPr>
          <w:rFonts w:eastAsia="SimSun"/>
          <w:b/>
        </w:rPr>
        <w:t>“</w:t>
      </w:r>
      <w:r>
        <w:rPr>
          <w:rFonts w:eastAsia="SimSun"/>
          <w:b/>
        </w:rPr>
        <w:t>static</w:t>
      </w:r>
      <w:r w:rsidRPr="008467B6">
        <w:rPr>
          <w:rFonts w:eastAsia="SimSun"/>
          <w:b/>
        </w:rPr>
        <w:t xml:space="preserve">” bitstream </w:t>
      </w:r>
      <w:r w:rsidRPr="008467B6">
        <w:rPr>
          <w:rFonts w:eastAsia="SimSun"/>
        </w:rPr>
        <w:t>SDR backward compatibility, the decoded video is an HDR signal (for instance, Y</w:t>
      </w:r>
      <w:r w:rsidRPr="008467B6">
        <w:sym w:font="Symbol" w:char="F0A2"/>
      </w:r>
      <w:r w:rsidRPr="008467B6">
        <w:rPr>
          <w:rFonts w:eastAsia="SimSun"/>
        </w:rPr>
        <w:t>CbCr 4:2:0 10</w:t>
      </w:r>
      <w:r>
        <w:rPr>
          <w:rFonts w:eastAsia="SimSun"/>
        </w:rPr>
        <w:t>-</w:t>
      </w:r>
      <w:r w:rsidRPr="008467B6">
        <w:rPr>
          <w:rFonts w:eastAsia="SimSun"/>
        </w:rPr>
        <w:t xml:space="preserve">bits with Rec. ITU-R BT.2100 HLG transfer function </w:t>
      </w:r>
      <w:r w:rsidRPr="00980878">
        <w:rPr>
          <w:rFonts w:eastAsia="SimSun"/>
        </w:rPr>
        <w:fldChar w:fldCharType="begin"/>
      </w:r>
      <w:r w:rsidRPr="008467B6">
        <w:rPr>
          <w:rFonts w:eastAsia="SimSun"/>
        </w:rPr>
        <w:instrText xml:space="preserve"> REF _Ref461013792 \r \h </w:instrText>
      </w:r>
      <w:r w:rsidRPr="00980878">
        <w:rPr>
          <w:rFonts w:eastAsia="SimSun"/>
        </w:rPr>
      </w:r>
      <w:r w:rsidRPr="00980878">
        <w:rPr>
          <w:rFonts w:eastAsia="SimSun"/>
        </w:rPr>
        <w:fldChar w:fldCharType="separate"/>
      </w:r>
      <w:r>
        <w:rPr>
          <w:rFonts w:eastAsia="SimSun"/>
        </w:rPr>
        <w:t>[2]</w:t>
      </w:r>
      <w:r w:rsidRPr="00980878">
        <w:rPr>
          <w:rFonts w:eastAsia="SimSun"/>
        </w:rPr>
        <w:fldChar w:fldCharType="end"/>
      </w:r>
      <w:r w:rsidRPr="008467B6">
        <w:rPr>
          <w:rFonts w:eastAsia="SimSun"/>
        </w:rPr>
        <w:t xml:space="preserve"> and Rec. ITU-R BT.2020 and Rec. ITU-R BT.2100 colour primaries) that can be directly displayed on an HDR-capable display or an SDR-capable display, without adaptation. </w:t>
      </w:r>
      <w:r>
        <w:rPr>
          <w:rFonts w:eastAsia="SimSun"/>
        </w:rPr>
        <w:t>In this context, the HDR processing chain is a fixed function, not dependent on the input video data.</w:t>
      </w:r>
    </w:p>
    <w:p w14:paraId="50BA4619" w14:textId="77777777" w:rsidR="007B6848" w:rsidRPr="008467B6" w:rsidRDefault="007B6848" w:rsidP="007B6848">
      <w:pPr>
        <w:pStyle w:val="ListParagraph"/>
        <w:numPr>
          <w:ilvl w:val="1"/>
          <w:numId w:val="20"/>
        </w:numPr>
        <w:contextualSpacing w:val="0"/>
        <w:rPr>
          <w:rFonts w:eastAsia="SimSun"/>
        </w:rPr>
      </w:pPr>
      <w:r w:rsidRPr="008467B6">
        <w:rPr>
          <w:rFonts w:eastAsia="SimSun"/>
        </w:rPr>
        <w:t xml:space="preserve">In </w:t>
      </w:r>
      <w:r w:rsidRPr="008467B6">
        <w:rPr>
          <w:rFonts w:eastAsia="SimSun"/>
          <w:b/>
        </w:rPr>
        <w:t>“</w:t>
      </w:r>
      <w:r>
        <w:rPr>
          <w:rFonts w:eastAsia="SimSun"/>
          <w:b/>
        </w:rPr>
        <w:t>dynamic</w:t>
      </w:r>
      <w:r w:rsidRPr="008467B6">
        <w:rPr>
          <w:rFonts w:eastAsia="SimSun"/>
          <w:b/>
        </w:rPr>
        <w:t>”</w:t>
      </w:r>
      <w:r w:rsidRPr="008467B6">
        <w:rPr>
          <w:rFonts w:eastAsia="SimSun"/>
        </w:rPr>
        <w:t xml:space="preserve"> </w:t>
      </w:r>
      <w:r w:rsidRPr="008467B6">
        <w:rPr>
          <w:rFonts w:eastAsia="SimSun"/>
          <w:b/>
        </w:rPr>
        <w:t xml:space="preserve">bitstream </w:t>
      </w:r>
      <w:r w:rsidRPr="008467B6">
        <w:rPr>
          <w:rFonts w:eastAsia="SimSun"/>
        </w:rPr>
        <w:t xml:space="preserve">SDR backward compatibility, the decoded video is </w:t>
      </w:r>
      <w:r>
        <w:rPr>
          <w:rFonts w:eastAsia="SimSun"/>
        </w:rPr>
        <w:t xml:space="preserve">an </w:t>
      </w:r>
      <w:r w:rsidRPr="008467B6">
        <w:rPr>
          <w:rFonts w:eastAsia="SimSun"/>
        </w:rPr>
        <w:t>SDR</w:t>
      </w:r>
      <w:r>
        <w:rPr>
          <w:rFonts w:eastAsia="SimSun"/>
        </w:rPr>
        <w:t xml:space="preserve"> signal</w:t>
      </w:r>
      <w:r w:rsidRPr="008467B6">
        <w:rPr>
          <w:rFonts w:eastAsia="SimSun"/>
        </w:rPr>
        <w:t xml:space="preserve">. A post-processing step can be further used to reconstruct an HDR signal, e.g. using information conveyed in CRI </w:t>
      </w:r>
      <w:r>
        <w:rPr>
          <w:rFonts w:eastAsia="SimSun"/>
        </w:rPr>
        <w:t xml:space="preserve">or TMI </w:t>
      </w:r>
      <w:r w:rsidRPr="008467B6">
        <w:rPr>
          <w:rFonts w:eastAsia="SimSun"/>
        </w:rPr>
        <w:t xml:space="preserve">SEI messages. </w:t>
      </w:r>
      <w:r>
        <w:rPr>
          <w:rFonts w:eastAsia="SimSun"/>
        </w:rPr>
        <w:t>In this context, the HDR processing chain is dynamic, and adapts to the input video data.</w:t>
      </w:r>
    </w:p>
    <w:p w14:paraId="15201D41" w14:textId="77777777" w:rsidR="007B6848" w:rsidRPr="008467B6" w:rsidRDefault="007B6848" w:rsidP="007B6848">
      <w:pPr>
        <w:pStyle w:val="ListParagraph"/>
        <w:numPr>
          <w:ilvl w:val="0"/>
          <w:numId w:val="11"/>
        </w:numPr>
        <w:contextualSpacing w:val="0"/>
        <w:rPr>
          <w:rFonts w:eastAsia="SimSun"/>
        </w:rPr>
      </w:pPr>
      <w:r w:rsidRPr="008467B6">
        <w:rPr>
          <w:rFonts w:eastAsia="SimSun"/>
        </w:rPr>
        <w:t xml:space="preserve">In HDR/WCG distribution systems that support </w:t>
      </w:r>
      <w:r w:rsidRPr="008467B6">
        <w:rPr>
          <w:rFonts w:eastAsia="SimSun"/>
          <w:b/>
        </w:rPr>
        <w:t>display</w:t>
      </w:r>
      <w:r w:rsidRPr="008467B6">
        <w:rPr>
          <w:rFonts w:eastAsia="SimSun"/>
        </w:rPr>
        <w:t xml:space="preserve"> SDR backward compatibility, the decoded video signal from a standard-compliant decoder (e.g. HEVC Main 10 decoder) is an HDR signal (for instance, Y</w:t>
      </w:r>
      <w:r w:rsidRPr="008467B6">
        <w:sym w:font="Symbol" w:char="F0A2"/>
      </w:r>
      <w:r w:rsidRPr="008467B6">
        <w:rPr>
          <w:rFonts w:eastAsia="SimSun"/>
        </w:rPr>
        <w:t>CbCr 4:2:0 10</w:t>
      </w:r>
      <w:r>
        <w:rPr>
          <w:rFonts w:eastAsia="SimSun"/>
        </w:rPr>
        <w:t>-</w:t>
      </w:r>
      <w:r w:rsidRPr="008467B6">
        <w:rPr>
          <w:rFonts w:eastAsia="SimSun"/>
        </w:rPr>
        <w:t xml:space="preserve">bits with Rec. ITU-R BT.2100 PQ transfer function </w:t>
      </w:r>
      <w:r w:rsidRPr="00980878">
        <w:rPr>
          <w:rFonts w:eastAsia="SimSun"/>
        </w:rPr>
        <w:fldChar w:fldCharType="begin"/>
      </w:r>
      <w:r w:rsidRPr="008467B6">
        <w:rPr>
          <w:rFonts w:eastAsia="SimSun"/>
        </w:rPr>
        <w:instrText xml:space="preserve"> REF _Ref461013792 \r \h </w:instrText>
      </w:r>
      <w:r w:rsidRPr="00980878">
        <w:rPr>
          <w:rFonts w:eastAsia="SimSun"/>
        </w:rPr>
      </w:r>
      <w:r w:rsidRPr="00980878">
        <w:rPr>
          <w:rFonts w:eastAsia="SimSun"/>
        </w:rPr>
        <w:fldChar w:fldCharType="separate"/>
      </w:r>
      <w:r>
        <w:rPr>
          <w:rFonts w:eastAsia="SimSun"/>
        </w:rPr>
        <w:t>[2]</w:t>
      </w:r>
      <w:r w:rsidRPr="00980878">
        <w:rPr>
          <w:rFonts w:eastAsia="SimSun"/>
        </w:rPr>
        <w:fldChar w:fldCharType="end"/>
      </w:r>
      <w:r w:rsidRPr="008467B6">
        <w:rPr>
          <w:rFonts w:eastAsia="SimSun"/>
        </w:rPr>
        <w:t xml:space="preserve"> and Rec. ITU-R BT.2020 and Rec. ITU-R BT.2100 colour primaries). A post-decoding adaptation process is applied to the decoded video signal to produce an SDR video signal that can be displayed on an SDR-capable display. The adaptation process can use metadata, conveyed </w:t>
      </w:r>
      <w:r>
        <w:rPr>
          <w:rFonts w:eastAsia="SimSun"/>
        </w:rPr>
        <w:t xml:space="preserve">for example </w:t>
      </w:r>
      <w:r w:rsidRPr="008467B6">
        <w:rPr>
          <w:rFonts w:eastAsia="SimSun"/>
        </w:rPr>
        <w:t>in CRI SEI messages, to perform this conversion.</w:t>
      </w:r>
    </w:p>
    <w:p w14:paraId="0C0EF6DF" w14:textId="77777777" w:rsidR="007B6848" w:rsidRPr="008467B6" w:rsidRDefault="007B6848" w:rsidP="007B6848">
      <w:pPr>
        <w:rPr>
          <w:rFonts w:eastAsia="SimSun"/>
        </w:rPr>
      </w:pPr>
      <w:r w:rsidRPr="008467B6">
        <w:rPr>
          <w:rFonts w:eastAsia="SimSun"/>
          <w:b/>
        </w:rPr>
        <w:t>Display adaptation</w:t>
      </w:r>
      <w:r w:rsidRPr="008467B6">
        <w:rPr>
          <w:rFonts w:eastAsia="SimSun"/>
        </w:rPr>
        <w:t xml:space="preserve"> is a generic term covering techniques of video signal processing </w:t>
      </w:r>
      <w:r>
        <w:rPr>
          <w:rFonts w:eastAsia="SimSun"/>
        </w:rPr>
        <w:t>which adapts</w:t>
      </w:r>
      <w:r w:rsidRPr="008467B6">
        <w:rPr>
          <w:rFonts w:eastAsia="SimSun"/>
        </w:rPr>
        <w:t xml:space="preserve"> the decoded video signal to a target display. Techniques providing display SDR backward compatibility can be considered as a subset of display adaptation. Display adaptation techniques aim at converting an HDR/WCG video signal, </w:t>
      </w:r>
      <w:r>
        <w:rPr>
          <w:rFonts w:eastAsia="SimSun"/>
        </w:rPr>
        <w:t xml:space="preserve">originally produced for a reference display capable to display a certain </w:t>
      </w:r>
      <w:r w:rsidRPr="008467B6">
        <w:rPr>
          <w:rFonts w:eastAsia="SimSun"/>
        </w:rPr>
        <w:t xml:space="preserve">colour volume (dynamic range and colour gamut), to a video signal suitable to a target rendering device of </w:t>
      </w:r>
      <w:r>
        <w:rPr>
          <w:rFonts w:eastAsia="SimSun"/>
        </w:rPr>
        <w:t xml:space="preserve">different (from reference display) </w:t>
      </w:r>
      <w:r w:rsidRPr="008467B6">
        <w:rPr>
          <w:rFonts w:eastAsia="SimSun"/>
        </w:rPr>
        <w:t xml:space="preserve">colour volume capabilities. For instance, it can be used to convert a </w:t>
      </w:r>
      <w:r w:rsidRPr="008467B6">
        <w:rPr>
          <w:lang w:eastAsia="de-DE"/>
        </w:rPr>
        <w:t>non-constant luminance (NCL)</w:t>
      </w:r>
      <w:r w:rsidRPr="008467B6">
        <w:rPr>
          <w:lang w:eastAsia="zh-CN"/>
        </w:rPr>
        <w:t xml:space="preserve"> </w:t>
      </w:r>
      <w:r w:rsidRPr="008467B6">
        <w:rPr>
          <w:rFonts w:eastAsia="SimSun"/>
        </w:rPr>
        <w:t>Y</w:t>
      </w:r>
      <w:r w:rsidRPr="008467B6">
        <w:sym w:font="Symbol" w:char="F0A2"/>
      </w:r>
      <w:r w:rsidRPr="008467B6">
        <w:rPr>
          <w:rFonts w:eastAsia="SimSun"/>
        </w:rPr>
        <w:t>CbCr</w:t>
      </w:r>
      <w:r w:rsidRPr="008467B6">
        <w:rPr>
          <w:lang w:eastAsia="zh-CN"/>
        </w:rPr>
        <w:t xml:space="preserve"> 4:2:0 10-bits Rec. ITU-R BT.2100 PQ </w:t>
      </w:r>
      <w:r w:rsidRPr="008467B6">
        <w:rPr>
          <w:rFonts w:eastAsia="SimSun"/>
        </w:rPr>
        <w:t>signal (denoted PQ10 in the present document) whose master was produced on a display with a given peak luminance, to a lower peak luminance capable display</w:t>
      </w:r>
      <w:r>
        <w:rPr>
          <w:rFonts w:eastAsia="SimSun"/>
        </w:rPr>
        <w:t xml:space="preserve"> (e.g., 1000 c</w:t>
      </w:r>
      <w:r w:rsidRPr="00980878">
        <w:t>andelas per square metre</w:t>
      </w:r>
      <w:r>
        <w:t xml:space="preserve"> (</w:t>
      </w:r>
      <w:r w:rsidRPr="00980878">
        <w:t>cd/m</w:t>
      </w:r>
      <w:r w:rsidRPr="00980878">
        <w:rPr>
          <w:vertAlign w:val="superscript"/>
        </w:rPr>
        <w:t>2</w:t>
      </w:r>
      <w:r w:rsidRPr="008467B6">
        <w:rPr>
          <w:szCs w:val="22"/>
        </w:rPr>
        <w:t>)</w:t>
      </w:r>
      <w:r>
        <w:rPr>
          <w:rFonts w:eastAsia="SimSun"/>
        </w:rPr>
        <w:t xml:space="preserve"> to 100 </w:t>
      </w:r>
      <w:r w:rsidRPr="00980878">
        <w:t>cd/m</w:t>
      </w:r>
      <w:r w:rsidRPr="00980878">
        <w:rPr>
          <w:vertAlign w:val="superscript"/>
        </w:rPr>
        <w:t>2</w:t>
      </w:r>
      <w:r>
        <w:rPr>
          <w:rFonts w:eastAsia="SimSun"/>
        </w:rPr>
        <w:t>)</w:t>
      </w:r>
      <w:r w:rsidRPr="008467B6">
        <w:rPr>
          <w:rFonts w:eastAsia="SimSun"/>
        </w:rPr>
        <w:t xml:space="preserve">. </w:t>
      </w:r>
      <w:r>
        <w:rPr>
          <w:rFonts w:eastAsia="SimSun"/>
        </w:rPr>
        <w:t xml:space="preserve">Display adaptation could also increase the colour volume, if </w:t>
      </w:r>
      <w:r>
        <w:rPr>
          <w:rFonts w:eastAsia="SimSun"/>
        </w:rPr>
        <w:lastRenderedPageBreak/>
        <w:t xml:space="preserve">desired. Another term used in the industry for display adaptation is regrading. </w:t>
      </w:r>
      <w:r w:rsidRPr="008467B6">
        <w:rPr>
          <w:rFonts w:eastAsia="SimSun"/>
        </w:rPr>
        <w:t>Display adaptation can be driven by metadata transmitted along with the video bitstream, typically using SEI messages.</w:t>
      </w:r>
    </w:p>
    <w:p w14:paraId="35217B97" w14:textId="77777777" w:rsidR="007B6848" w:rsidRPr="008467B6" w:rsidRDefault="007B6848" w:rsidP="007B6848">
      <w:pPr>
        <w:spacing w:before="60"/>
        <w:ind w:left="288"/>
        <w:rPr>
          <w:sz w:val="18"/>
        </w:rPr>
      </w:pPr>
      <w:r w:rsidRPr="008467B6">
        <w:rPr>
          <w:sz w:val="18"/>
        </w:rPr>
        <w:t>NOTE – Conversion and coding practices related to produc</w:t>
      </w:r>
      <w:r>
        <w:rPr>
          <w:sz w:val="18"/>
        </w:rPr>
        <w:t>tion</w:t>
      </w:r>
      <w:r w:rsidRPr="008467B6">
        <w:rPr>
          <w:sz w:val="18"/>
        </w:rPr>
        <w:t xml:space="preserve"> and compression of HDR/WCG video signal represented with </w:t>
      </w:r>
      <w:r w:rsidRPr="008467B6">
        <w:rPr>
          <w:sz w:val="18"/>
          <w:szCs w:val="18"/>
        </w:rPr>
        <w:t xml:space="preserve">NCL </w:t>
      </w:r>
      <w:r w:rsidRPr="008467B6">
        <w:rPr>
          <w:rFonts w:eastAsia="SimSun"/>
          <w:sz w:val="18"/>
          <w:szCs w:val="18"/>
        </w:rPr>
        <w:t>Y</w:t>
      </w:r>
      <w:r w:rsidRPr="008467B6">
        <w:rPr>
          <w:sz w:val="18"/>
          <w:szCs w:val="18"/>
        </w:rPr>
        <w:sym w:font="Symbol" w:char="F0A2"/>
      </w:r>
      <w:r w:rsidRPr="008467B6">
        <w:rPr>
          <w:rFonts w:eastAsia="SimSun"/>
          <w:sz w:val="18"/>
          <w:szCs w:val="18"/>
        </w:rPr>
        <w:t>CbCr</w:t>
      </w:r>
      <w:r w:rsidRPr="008467B6">
        <w:rPr>
          <w:sz w:val="18"/>
          <w:szCs w:val="18"/>
        </w:rPr>
        <w:t xml:space="preserve"> 4:2</w:t>
      </w:r>
      <w:r w:rsidRPr="008467B6">
        <w:rPr>
          <w:sz w:val="18"/>
        </w:rPr>
        <w:t xml:space="preserve">:0 video with Rec. ITU-R BT.2100 PQ transfer characteristics are outside of scope of this document. These aspects are specifically addressed in </w:t>
      </w:r>
      <w:r w:rsidRPr="00275358">
        <w:rPr>
          <w:sz w:val="18"/>
        </w:rPr>
        <w:fldChar w:fldCharType="begin"/>
      </w:r>
      <w:r w:rsidRPr="008467B6">
        <w:rPr>
          <w:sz w:val="18"/>
        </w:rPr>
        <w:instrText xml:space="preserve"> REF _Ref448495076 \r \h </w:instrText>
      </w:r>
      <w:r w:rsidRPr="00275358">
        <w:rPr>
          <w:sz w:val="18"/>
        </w:rPr>
      </w:r>
      <w:r w:rsidRPr="00275358">
        <w:rPr>
          <w:sz w:val="18"/>
        </w:rPr>
        <w:fldChar w:fldCharType="separate"/>
      </w:r>
      <w:r>
        <w:rPr>
          <w:sz w:val="18"/>
        </w:rPr>
        <w:t>[1]</w:t>
      </w:r>
      <w:r w:rsidRPr="00275358">
        <w:rPr>
          <w:sz w:val="18"/>
        </w:rPr>
        <w:fldChar w:fldCharType="end"/>
      </w:r>
      <w:r w:rsidRPr="008467B6">
        <w:rPr>
          <w:sz w:val="18"/>
        </w:rPr>
        <w:t>.</w:t>
      </w:r>
    </w:p>
    <w:p w14:paraId="608F1AA2" w14:textId="77777777" w:rsidR="007B6848" w:rsidRPr="008467B6" w:rsidRDefault="007B6848" w:rsidP="007B6848">
      <w:pPr>
        <w:pStyle w:val="Heading1"/>
      </w:pPr>
      <w:bookmarkStart w:id="9" w:name="_Toc467225396"/>
      <w:bookmarkStart w:id="10" w:name="_Toc467226075"/>
      <w:bookmarkStart w:id="11" w:name="_Toc467225397"/>
      <w:bookmarkStart w:id="12" w:name="_Toc467226076"/>
      <w:bookmarkStart w:id="13" w:name="_Toc467225398"/>
      <w:bookmarkStart w:id="14" w:name="_Toc467226077"/>
      <w:bookmarkStart w:id="15" w:name="_Toc467225399"/>
      <w:bookmarkStart w:id="16" w:name="_Toc467226078"/>
      <w:bookmarkStart w:id="17" w:name="_Toc467226079"/>
      <w:bookmarkEnd w:id="9"/>
      <w:bookmarkEnd w:id="10"/>
      <w:bookmarkEnd w:id="11"/>
      <w:bookmarkEnd w:id="12"/>
      <w:bookmarkEnd w:id="13"/>
      <w:bookmarkEnd w:id="14"/>
      <w:bookmarkEnd w:id="15"/>
      <w:bookmarkEnd w:id="16"/>
      <w:r w:rsidRPr="008467B6">
        <w:t>Definitions</w:t>
      </w:r>
      <w:bookmarkEnd w:id="17"/>
    </w:p>
    <w:p w14:paraId="6CFD9D54" w14:textId="77777777" w:rsidR="007B6848" w:rsidRPr="008467B6" w:rsidRDefault="007B6848" w:rsidP="007B6848">
      <w:r w:rsidRPr="008467B6">
        <w:t>This document defines the following terms:</w:t>
      </w:r>
    </w:p>
    <w:p w14:paraId="58898F9B" w14:textId="77777777" w:rsidR="007B6848" w:rsidRPr="00980878" w:rsidRDefault="007B6848" w:rsidP="007B6848">
      <w:pPr>
        <w:pStyle w:val="NormalH2"/>
        <w:rPr>
          <w:lang w:val="en-US"/>
        </w:rPr>
      </w:pPr>
      <w:r w:rsidRPr="00980878">
        <w:rPr>
          <w:b/>
          <w:lang w:val="en-US"/>
        </w:rPr>
        <w:t>dynamic range adaptation</w:t>
      </w:r>
      <w:r w:rsidRPr="00980878">
        <w:rPr>
          <w:lang w:val="en-US"/>
        </w:rPr>
        <w:t>: A mapping process of a content from one colour volume to another colour volume</w:t>
      </w:r>
      <w:r>
        <w:rPr>
          <w:lang w:val="en-US"/>
        </w:rPr>
        <w:t>.</w:t>
      </w:r>
    </w:p>
    <w:p w14:paraId="30572352" w14:textId="77777777" w:rsidR="007B6848" w:rsidRPr="00980878" w:rsidRDefault="007B6848" w:rsidP="007B6848">
      <w:pPr>
        <w:pStyle w:val="NormalH2"/>
        <w:rPr>
          <w:lang w:val="en-US"/>
        </w:rPr>
      </w:pPr>
      <w:r w:rsidRPr="00980878">
        <w:rPr>
          <w:b/>
          <w:lang w:val="en-US"/>
        </w:rPr>
        <w:t>hybrid log</w:t>
      </w:r>
      <w:r>
        <w:rPr>
          <w:b/>
          <w:lang w:val="en-US"/>
        </w:rPr>
        <w:t>-</w:t>
      </w:r>
      <w:r w:rsidRPr="00980878">
        <w:rPr>
          <w:b/>
          <w:lang w:val="en-US"/>
        </w:rPr>
        <w:t>gamma</w:t>
      </w:r>
      <w:r w:rsidRPr="00980878">
        <w:rPr>
          <w:lang w:val="en-US"/>
        </w:rPr>
        <w:t xml:space="preserve">: One of the two transfer functions, specified in recommendation </w:t>
      </w:r>
      <w:r w:rsidRPr="008467B6">
        <w:rPr>
          <w:rFonts w:eastAsia="SimSun"/>
        </w:rPr>
        <w:t xml:space="preserve">Rec. ITU-R </w:t>
      </w:r>
      <w:r w:rsidRPr="00980878">
        <w:rPr>
          <w:lang w:val="en-US"/>
        </w:rPr>
        <w:t>BT.2100</w:t>
      </w:r>
      <w:r>
        <w:rPr>
          <w:lang w:val="en-US"/>
        </w:rPr>
        <w:t xml:space="preserve"> </w:t>
      </w:r>
      <w:r w:rsidRPr="00980878">
        <w:rPr>
          <w:rFonts w:eastAsia="SimSun"/>
        </w:rPr>
        <w:fldChar w:fldCharType="begin"/>
      </w:r>
      <w:r w:rsidRPr="008467B6">
        <w:rPr>
          <w:rFonts w:eastAsia="SimSun"/>
        </w:rPr>
        <w:instrText xml:space="preserve"> REF _Ref461013792 \r \h </w:instrText>
      </w:r>
      <w:r w:rsidRPr="00980878">
        <w:rPr>
          <w:rFonts w:eastAsia="SimSun"/>
        </w:rPr>
      </w:r>
      <w:r w:rsidRPr="00980878">
        <w:rPr>
          <w:rFonts w:eastAsia="SimSun"/>
        </w:rPr>
        <w:fldChar w:fldCharType="separate"/>
      </w:r>
      <w:r>
        <w:rPr>
          <w:rFonts w:eastAsia="SimSun"/>
        </w:rPr>
        <w:t>[2]</w:t>
      </w:r>
      <w:r w:rsidRPr="00980878">
        <w:rPr>
          <w:rFonts w:eastAsia="SimSun"/>
        </w:rPr>
        <w:fldChar w:fldCharType="end"/>
      </w:r>
      <w:r>
        <w:rPr>
          <w:lang w:val="en-US"/>
        </w:rPr>
        <w:t>.</w:t>
      </w:r>
    </w:p>
    <w:p w14:paraId="19F2DDDA" w14:textId="77777777" w:rsidR="007B6848" w:rsidRPr="00980878" w:rsidRDefault="007B6848" w:rsidP="007B6848">
      <w:pPr>
        <w:pStyle w:val="NormalH2"/>
        <w:keepNext w:val="0"/>
        <w:keepLines w:val="0"/>
        <w:rPr>
          <w:lang w:val="en-US"/>
        </w:rPr>
      </w:pPr>
      <w:r w:rsidRPr="00980878">
        <w:rPr>
          <w:b/>
          <w:lang w:val="en-US"/>
        </w:rPr>
        <w:t xml:space="preserve">inverse transfer function: </w:t>
      </w:r>
      <w:r w:rsidRPr="00980878">
        <w:rPr>
          <w:lang w:val="en-US"/>
        </w:rPr>
        <w:t xml:space="preserve">The </w:t>
      </w:r>
      <w:r>
        <w:rPr>
          <w:lang w:val="en-US"/>
        </w:rPr>
        <w:t xml:space="preserve">inverse or either the camera </w:t>
      </w:r>
      <w:r w:rsidRPr="008467B6">
        <w:t>Opto-Electr</w:t>
      </w:r>
      <w:r>
        <w:t>onic</w:t>
      </w:r>
      <w:r w:rsidRPr="008467B6">
        <w:t xml:space="preserve"> Transfer Function</w:t>
      </w:r>
      <w:r>
        <w:rPr>
          <w:lang w:val="en-US"/>
        </w:rPr>
        <w:t xml:space="preserve"> or the display </w:t>
      </w:r>
      <w:r w:rsidRPr="008467B6">
        <w:t>Electro-Optical Transfer Function</w:t>
      </w:r>
      <w:r>
        <w:t xml:space="preserve">. Note, the </w:t>
      </w:r>
      <w:r w:rsidRPr="008467B6">
        <w:t>Opto-Electr</w:t>
      </w:r>
      <w:r>
        <w:t>onic</w:t>
      </w:r>
      <w:r w:rsidRPr="008467B6">
        <w:t xml:space="preserve"> Transfer Function</w:t>
      </w:r>
      <w:r>
        <w:rPr>
          <w:lang w:val="en-US"/>
        </w:rPr>
        <w:t xml:space="preserve"> </w:t>
      </w:r>
      <w:r>
        <w:t xml:space="preserve">and the </w:t>
      </w:r>
      <w:r w:rsidRPr="008467B6">
        <w:t>Electro-Optical Transfer Function</w:t>
      </w:r>
      <w:r>
        <w:t xml:space="preserve"> are not the inverse of one another.</w:t>
      </w:r>
    </w:p>
    <w:p w14:paraId="1535BE9A" w14:textId="77777777" w:rsidR="007B6848" w:rsidRPr="00980878" w:rsidRDefault="007B6848" w:rsidP="007B6848">
      <w:pPr>
        <w:pStyle w:val="NormalH2"/>
        <w:keepNext w:val="0"/>
        <w:keepLines w:val="0"/>
        <w:rPr>
          <w:lang w:val="en-US"/>
        </w:rPr>
      </w:pPr>
      <w:r w:rsidRPr="00980878">
        <w:rPr>
          <w:b/>
          <w:lang w:val="en-US"/>
        </w:rPr>
        <w:t>narrow range:</w:t>
      </w:r>
      <w:r w:rsidRPr="00980878">
        <w:rPr>
          <w:lang w:val="en-US"/>
        </w:rPr>
        <w:t xml:space="preserve"> A range in a fixed-point (integer) representation that does not span the full range of values that could be expressed with that bit depth. In this document the range from 64 (black) to 940 (peak white) is used for Y</w:t>
      </w:r>
      <w:r w:rsidRPr="00980878">
        <w:rPr>
          <w:lang w:val="en-US"/>
        </w:rPr>
        <w:sym w:font="Symbol" w:char="F0A2"/>
      </w:r>
      <w:r w:rsidRPr="00980878">
        <w:rPr>
          <w:lang w:val="en-US"/>
        </w:rPr>
        <w:t xml:space="preserve">, and the range from 64 to 960 is used for Cb and Cr for 10 bit representations, which is aligned with </w:t>
      </w:r>
      <w:r w:rsidRPr="00980878">
        <w:rPr>
          <w:lang w:val="en-US"/>
        </w:rPr>
        <w:fldChar w:fldCharType="begin"/>
      </w:r>
      <w:r w:rsidRPr="00980878">
        <w:rPr>
          <w:lang w:val="en-US"/>
        </w:rPr>
        <w:instrText xml:space="preserve"> REF _Ref461013792 \r \h </w:instrText>
      </w:r>
      <w:r w:rsidRPr="00980878">
        <w:rPr>
          <w:lang w:val="en-US"/>
        </w:rPr>
      </w:r>
      <w:r w:rsidRPr="00980878">
        <w:rPr>
          <w:lang w:val="en-US"/>
        </w:rPr>
        <w:fldChar w:fldCharType="separate"/>
      </w:r>
      <w:r>
        <w:rPr>
          <w:lang w:val="en-US"/>
        </w:rPr>
        <w:t>[2]</w:t>
      </w:r>
      <w:r w:rsidRPr="00980878">
        <w:rPr>
          <w:lang w:val="en-US"/>
        </w:rPr>
        <w:fldChar w:fldCharType="end"/>
      </w:r>
      <w:r w:rsidRPr="00980878">
        <w:rPr>
          <w:lang w:val="en-US"/>
        </w:rPr>
        <w:t>. Narrow range is in some applications called by synonyms such as: “limited range”, “video range”, “legal range”, “SMPTE range” or “standard range.”</w:t>
      </w:r>
    </w:p>
    <w:p w14:paraId="49DDDB95" w14:textId="77777777" w:rsidR="007B6848" w:rsidRPr="00980878" w:rsidRDefault="007B6848" w:rsidP="007B6848">
      <w:pPr>
        <w:pStyle w:val="NormalH2"/>
        <w:keepNext w:val="0"/>
        <w:keepLines w:val="0"/>
        <w:rPr>
          <w:lang w:val="en-US"/>
        </w:rPr>
      </w:pPr>
      <w:r w:rsidRPr="00980878">
        <w:rPr>
          <w:b/>
          <w:lang w:val="en-US"/>
        </w:rPr>
        <w:t xml:space="preserve">full range: </w:t>
      </w:r>
      <w:r w:rsidRPr="00980878">
        <w:rPr>
          <w:lang w:val="en-US"/>
        </w:rPr>
        <w:t xml:space="preserve">A range in a fixed-point (integer) representation that spans the full range of values that could be expressed with that bit depth. For 10-bit signals, black corresponds to code 0 and peak white corresponds to code 1023 </w:t>
      </w:r>
      <w:r w:rsidRPr="00980878">
        <w:rPr>
          <w:lang w:val="en-US"/>
        </w:rPr>
        <w:fldChar w:fldCharType="begin"/>
      </w:r>
      <w:r w:rsidRPr="00980878">
        <w:rPr>
          <w:lang w:val="en-US"/>
        </w:rPr>
        <w:instrText xml:space="preserve"> REF _Ref461013792 \r \h </w:instrText>
      </w:r>
      <w:r w:rsidRPr="00980878">
        <w:rPr>
          <w:lang w:val="en-US"/>
        </w:rPr>
      </w:r>
      <w:r w:rsidRPr="00980878">
        <w:rPr>
          <w:lang w:val="en-US"/>
        </w:rPr>
        <w:fldChar w:fldCharType="separate"/>
      </w:r>
      <w:r>
        <w:rPr>
          <w:lang w:val="en-US"/>
        </w:rPr>
        <w:t>[2]</w:t>
      </w:r>
      <w:r w:rsidRPr="00980878">
        <w:rPr>
          <w:lang w:val="en-US"/>
        </w:rPr>
        <w:fldChar w:fldCharType="end"/>
      </w:r>
      <w:r w:rsidRPr="00980878">
        <w:rPr>
          <w:lang w:val="en-US"/>
        </w:rPr>
        <w:t>.</w:t>
      </w:r>
    </w:p>
    <w:p w14:paraId="5F3DC176" w14:textId="77777777" w:rsidR="007B6848" w:rsidRPr="00980878" w:rsidRDefault="007B6848" w:rsidP="007B6848">
      <w:pPr>
        <w:pStyle w:val="NormalH2"/>
        <w:rPr>
          <w:lang w:val="en-US"/>
        </w:rPr>
      </w:pPr>
      <w:r w:rsidRPr="00980878">
        <w:rPr>
          <w:b/>
          <w:lang w:val="en-US"/>
        </w:rPr>
        <w:t>perceptual quantizer</w:t>
      </w:r>
      <w:r w:rsidRPr="00980878">
        <w:rPr>
          <w:lang w:val="en-US"/>
        </w:rPr>
        <w:t xml:space="preserve">: One of the two transfer functions, specified in recommendation </w:t>
      </w:r>
      <w:r w:rsidRPr="008467B6">
        <w:rPr>
          <w:rFonts w:eastAsia="SimSun"/>
        </w:rPr>
        <w:t xml:space="preserve">Rec. ITU-R </w:t>
      </w:r>
      <w:r w:rsidRPr="00980878">
        <w:rPr>
          <w:lang w:val="en-US"/>
        </w:rPr>
        <w:t>BT.2100</w:t>
      </w:r>
      <w:r>
        <w:rPr>
          <w:lang w:val="en-US"/>
        </w:rPr>
        <w:t xml:space="preserve"> </w:t>
      </w:r>
      <w:r w:rsidRPr="00980878">
        <w:rPr>
          <w:rFonts w:eastAsia="SimSun"/>
        </w:rPr>
        <w:fldChar w:fldCharType="begin"/>
      </w:r>
      <w:r w:rsidRPr="008467B6">
        <w:rPr>
          <w:rFonts w:eastAsia="SimSun"/>
        </w:rPr>
        <w:instrText xml:space="preserve"> REF _Ref461013792 \r \h </w:instrText>
      </w:r>
      <w:r w:rsidRPr="00980878">
        <w:rPr>
          <w:rFonts w:eastAsia="SimSun"/>
        </w:rPr>
      </w:r>
      <w:r w:rsidRPr="00980878">
        <w:rPr>
          <w:rFonts w:eastAsia="SimSun"/>
        </w:rPr>
        <w:fldChar w:fldCharType="separate"/>
      </w:r>
      <w:r>
        <w:rPr>
          <w:rFonts w:eastAsia="SimSun"/>
        </w:rPr>
        <w:t>[2]</w:t>
      </w:r>
      <w:r w:rsidRPr="00980878">
        <w:rPr>
          <w:rFonts w:eastAsia="SimSun"/>
        </w:rPr>
        <w:fldChar w:fldCharType="end"/>
      </w:r>
      <w:r>
        <w:rPr>
          <w:lang w:val="en-US"/>
        </w:rPr>
        <w:t>.</w:t>
      </w:r>
    </w:p>
    <w:p w14:paraId="5F33C001" w14:textId="77777777" w:rsidR="007B6848" w:rsidRPr="00980878" w:rsidRDefault="007B6848" w:rsidP="007B6848">
      <w:pPr>
        <w:pStyle w:val="NormalH2"/>
        <w:keepNext w:val="0"/>
        <w:keepLines w:val="0"/>
        <w:rPr>
          <w:lang w:val="en-US"/>
        </w:rPr>
      </w:pPr>
      <w:r w:rsidRPr="00980878">
        <w:rPr>
          <w:b/>
          <w:lang w:val="en-US"/>
        </w:rPr>
        <w:t>transfer function:</w:t>
      </w:r>
      <w:r w:rsidRPr="00980878">
        <w:rPr>
          <w:lang w:val="en-US"/>
        </w:rPr>
        <w:t xml:space="preserve"> The function used </w:t>
      </w:r>
      <w:r>
        <w:rPr>
          <w:lang w:val="en-US"/>
        </w:rPr>
        <w:t xml:space="preserve">to convert between linear light (linear color value) and non-linear electrical signals (or non-linear codeword value) in either the pre-encoding process or post-encoding process. For scene referred systems (e.g. hybrid log-gamma, BT.709, BT.601) the camera </w:t>
      </w:r>
      <w:r w:rsidRPr="008467B6">
        <w:t>Opto-Electr</w:t>
      </w:r>
      <w:r>
        <w:t>onic</w:t>
      </w:r>
      <w:r w:rsidRPr="008467B6">
        <w:t xml:space="preserve"> Transfer Function</w:t>
      </w:r>
      <w:r>
        <w:t xml:space="preserve"> (OETF)</w:t>
      </w:r>
      <w:r>
        <w:rPr>
          <w:lang w:val="en-US"/>
        </w:rPr>
        <w:t xml:space="preserve"> has primacy. In display referred systems (e.g. perceptual quantizer) the display </w:t>
      </w:r>
      <w:r w:rsidRPr="008467B6">
        <w:t>Electro-Optical Transfer Function</w:t>
      </w:r>
      <w:r>
        <w:t xml:space="preserve"> (EOTF) has primacy.</w:t>
      </w:r>
    </w:p>
    <w:p w14:paraId="5F59D508" w14:textId="77777777" w:rsidR="007B6848" w:rsidRPr="008467B6" w:rsidRDefault="007B6848" w:rsidP="007B6848">
      <w:pPr>
        <w:pStyle w:val="Heading1"/>
      </w:pPr>
      <w:bookmarkStart w:id="18" w:name="_Toc467226080"/>
      <w:r w:rsidRPr="008467B6">
        <w:t>Abbreviations and acronyms</w:t>
      </w:r>
      <w:bookmarkEnd w:id="18"/>
    </w:p>
    <w:p w14:paraId="144E789D" w14:textId="77777777" w:rsidR="007B6848" w:rsidRPr="008467B6" w:rsidRDefault="007B6848" w:rsidP="007B6848">
      <w:r w:rsidRPr="008467B6">
        <w:t>This document uses the following abbreviations and acronyms:</w:t>
      </w:r>
    </w:p>
    <w:p w14:paraId="2175D74F" w14:textId="77777777" w:rsidR="007B6848" w:rsidRPr="008467B6" w:rsidRDefault="007B6848" w:rsidP="007B6848">
      <w:pPr>
        <w:tabs>
          <w:tab w:val="clear" w:pos="792"/>
          <w:tab w:val="left" w:pos="900"/>
        </w:tabs>
      </w:pPr>
      <w:r w:rsidRPr="008467B6">
        <w:t>AVC</w:t>
      </w:r>
      <w:r w:rsidRPr="008467B6">
        <w:tab/>
      </w:r>
      <w:r w:rsidRPr="008467B6">
        <w:tab/>
        <w:t>Advanced Video Coding</w:t>
      </w:r>
    </w:p>
    <w:p w14:paraId="40D1B4FC" w14:textId="77777777" w:rsidR="007B6848" w:rsidRPr="008467B6" w:rsidRDefault="007B6848" w:rsidP="007B6848">
      <w:pPr>
        <w:tabs>
          <w:tab w:val="clear" w:pos="792"/>
          <w:tab w:val="left" w:pos="900"/>
        </w:tabs>
      </w:pPr>
      <w:r w:rsidRPr="008467B6">
        <w:t>CL</w:t>
      </w:r>
      <w:r w:rsidRPr="008467B6">
        <w:tab/>
      </w:r>
      <w:r w:rsidRPr="008467B6">
        <w:tab/>
        <w:t>Constant Luminance</w:t>
      </w:r>
    </w:p>
    <w:p w14:paraId="481905BB" w14:textId="77777777" w:rsidR="007B6848" w:rsidRDefault="007B6848" w:rsidP="007B6848">
      <w:pPr>
        <w:tabs>
          <w:tab w:val="clear" w:pos="792"/>
          <w:tab w:val="left" w:pos="900"/>
        </w:tabs>
      </w:pPr>
      <w:r w:rsidRPr="008467B6">
        <w:t>CI</w:t>
      </w:r>
      <w:r w:rsidRPr="008467B6">
        <w:tab/>
      </w:r>
      <w:r w:rsidRPr="008467B6">
        <w:tab/>
        <w:t>Constant Intensity</w:t>
      </w:r>
    </w:p>
    <w:p w14:paraId="02FDBD24" w14:textId="77777777" w:rsidR="007B6848" w:rsidRPr="008467B6" w:rsidRDefault="007B6848" w:rsidP="007B6848">
      <w:pPr>
        <w:tabs>
          <w:tab w:val="clear" w:pos="792"/>
          <w:tab w:val="left" w:pos="900"/>
        </w:tabs>
      </w:pPr>
      <w:r>
        <w:t>CLVS</w:t>
      </w:r>
      <w:r>
        <w:tab/>
      </w:r>
      <w:r>
        <w:tab/>
        <w:t>Coded Layer-wise Video Sequence</w:t>
      </w:r>
    </w:p>
    <w:p w14:paraId="5B4DB843" w14:textId="77777777" w:rsidR="007B6848" w:rsidRPr="008467B6" w:rsidRDefault="007B6848" w:rsidP="007B6848">
      <w:pPr>
        <w:tabs>
          <w:tab w:val="clear" w:pos="792"/>
          <w:tab w:val="left" w:pos="900"/>
        </w:tabs>
      </w:pPr>
      <w:r w:rsidRPr="008467B6">
        <w:t>CRI</w:t>
      </w:r>
      <w:r w:rsidRPr="008467B6">
        <w:tab/>
      </w:r>
      <w:r w:rsidRPr="008467B6">
        <w:tab/>
        <w:t xml:space="preserve">Colour </w:t>
      </w:r>
      <w:r>
        <w:t>r</w:t>
      </w:r>
      <w:r w:rsidRPr="008467B6">
        <w:t xml:space="preserve">emapping </w:t>
      </w:r>
      <w:r>
        <w:t>i</w:t>
      </w:r>
      <w:r w:rsidRPr="008467B6">
        <w:t>nformation SEI message</w:t>
      </w:r>
    </w:p>
    <w:p w14:paraId="4FA2C64C" w14:textId="77777777" w:rsidR="007B6848" w:rsidRPr="008467B6" w:rsidRDefault="007B6848" w:rsidP="007B6848">
      <w:pPr>
        <w:tabs>
          <w:tab w:val="clear" w:pos="792"/>
          <w:tab w:val="left" w:pos="900"/>
        </w:tabs>
        <w:ind w:left="1200" w:hanging="1200"/>
      </w:pPr>
      <w:r w:rsidRPr="008467B6">
        <w:t>DRA</w:t>
      </w:r>
      <w:r w:rsidRPr="008467B6">
        <w:tab/>
      </w:r>
      <w:r w:rsidRPr="008467B6">
        <w:tab/>
        <w:t>Dynamic Range Adaptation</w:t>
      </w:r>
    </w:p>
    <w:p w14:paraId="329E27EE" w14:textId="77777777" w:rsidR="007B6848" w:rsidRPr="008467B6" w:rsidRDefault="007B6848" w:rsidP="007B6848">
      <w:pPr>
        <w:tabs>
          <w:tab w:val="clear" w:pos="792"/>
          <w:tab w:val="left" w:pos="900"/>
        </w:tabs>
      </w:pPr>
      <w:r w:rsidRPr="008467B6">
        <w:t>EOTF</w:t>
      </w:r>
      <w:r w:rsidRPr="008467B6">
        <w:tab/>
      </w:r>
      <w:r w:rsidRPr="008467B6">
        <w:tab/>
        <w:t>Electro-Optical Transfer Function</w:t>
      </w:r>
    </w:p>
    <w:p w14:paraId="786E9286" w14:textId="77777777" w:rsidR="007B6848" w:rsidRPr="008467B6" w:rsidRDefault="007B6848" w:rsidP="007B6848">
      <w:pPr>
        <w:tabs>
          <w:tab w:val="clear" w:pos="792"/>
          <w:tab w:val="left" w:pos="900"/>
        </w:tabs>
      </w:pPr>
      <w:r w:rsidRPr="008467B6">
        <w:t>HDR</w:t>
      </w:r>
      <w:r w:rsidRPr="008467B6">
        <w:tab/>
      </w:r>
      <w:r w:rsidRPr="008467B6">
        <w:tab/>
        <w:t>High Dynamic Range</w:t>
      </w:r>
    </w:p>
    <w:p w14:paraId="44F8204E" w14:textId="77777777" w:rsidR="007B6848" w:rsidRPr="008467B6" w:rsidRDefault="007B6848" w:rsidP="007B6848">
      <w:pPr>
        <w:tabs>
          <w:tab w:val="clear" w:pos="792"/>
          <w:tab w:val="left" w:pos="900"/>
        </w:tabs>
      </w:pPr>
      <w:r w:rsidRPr="008467B6">
        <w:t>HEVC</w:t>
      </w:r>
      <w:r w:rsidRPr="008467B6">
        <w:tab/>
      </w:r>
      <w:r w:rsidRPr="008467B6">
        <w:tab/>
        <w:t>High Efficiency Video Coding</w:t>
      </w:r>
    </w:p>
    <w:p w14:paraId="7DFC3376" w14:textId="77777777" w:rsidR="007B6848" w:rsidRPr="008467B6" w:rsidRDefault="007B6848" w:rsidP="007B6848">
      <w:pPr>
        <w:tabs>
          <w:tab w:val="clear" w:pos="792"/>
          <w:tab w:val="left" w:pos="900"/>
        </w:tabs>
      </w:pPr>
      <w:r w:rsidRPr="008467B6">
        <w:t>HLG</w:t>
      </w:r>
      <w:r w:rsidRPr="008467B6">
        <w:tab/>
      </w:r>
      <w:r w:rsidRPr="008467B6">
        <w:tab/>
        <w:t>Hybrid Log</w:t>
      </w:r>
      <w:r>
        <w:t>-</w:t>
      </w:r>
      <w:r w:rsidRPr="008467B6">
        <w:t>Gamma</w:t>
      </w:r>
    </w:p>
    <w:p w14:paraId="4F4F41FC" w14:textId="77777777" w:rsidR="007B6848" w:rsidRPr="008467B6" w:rsidRDefault="007B6848" w:rsidP="007B6848">
      <w:pPr>
        <w:tabs>
          <w:tab w:val="clear" w:pos="792"/>
          <w:tab w:val="left" w:pos="900"/>
        </w:tabs>
        <w:ind w:left="1200" w:hanging="1200"/>
      </w:pPr>
      <w:r w:rsidRPr="008467B6">
        <w:t>IC</w:t>
      </w:r>
      <w:r w:rsidRPr="008467B6">
        <w:rPr>
          <w:vertAlign w:val="subscript"/>
        </w:rPr>
        <w:t>T</w:t>
      </w:r>
      <w:r w:rsidRPr="008467B6">
        <w:t>C</w:t>
      </w:r>
      <w:r w:rsidRPr="008467B6">
        <w:rPr>
          <w:vertAlign w:val="subscript"/>
        </w:rPr>
        <w:t>P</w:t>
      </w:r>
      <w:r w:rsidRPr="008467B6">
        <w:tab/>
      </w:r>
      <w:r w:rsidRPr="008467B6">
        <w:tab/>
        <w:t xml:space="preserve">Alternate colour space representation to </w:t>
      </w:r>
      <w:r w:rsidRPr="008467B6">
        <w:rPr>
          <w:rFonts w:eastAsia="SimSun"/>
        </w:rPr>
        <w:t>Y</w:t>
      </w:r>
      <w:r w:rsidRPr="008467B6">
        <w:sym w:font="Symbol" w:char="F0A2"/>
      </w:r>
      <w:r w:rsidRPr="008467B6">
        <w:rPr>
          <w:rFonts w:eastAsia="SimSun"/>
        </w:rPr>
        <w:t>CbCr</w:t>
      </w:r>
      <w:r w:rsidRPr="008467B6">
        <w:t xml:space="preserve">, specified in recommendation </w:t>
      </w:r>
      <w:r w:rsidRPr="008467B6">
        <w:rPr>
          <w:rFonts w:eastAsia="SimSun"/>
        </w:rPr>
        <w:t xml:space="preserve">Rec. ITU-R </w:t>
      </w:r>
      <w:r w:rsidRPr="008467B6">
        <w:t>BT.2100</w:t>
      </w:r>
    </w:p>
    <w:p w14:paraId="2EA32DCD" w14:textId="77777777" w:rsidR="007B6848" w:rsidRPr="008467B6" w:rsidRDefault="007B6848" w:rsidP="007B6848">
      <w:pPr>
        <w:tabs>
          <w:tab w:val="clear" w:pos="792"/>
          <w:tab w:val="left" w:pos="900"/>
        </w:tabs>
        <w:ind w:left="1200" w:hanging="1200"/>
        <w:rPr>
          <w:lang w:eastAsia="zh-CN"/>
        </w:rPr>
      </w:pPr>
      <w:r w:rsidRPr="008467B6">
        <w:rPr>
          <w:lang w:eastAsia="zh-CN"/>
        </w:rPr>
        <w:t>LMS</w:t>
      </w:r>
      <w:r w:rsidRPr="008467B6">
        <w:rPr>
          <w:lang w:eastAsia="zh-CN"/>
        </w:rPr>
        <w:tab/>
      </w:r>
      <w:r w:rsidRPr="008467B6">
        <w:rPr>
          <w:lang w:eastAsia="zh-CN"/>
        </w:rPr>
        <w:tab/>
        <w:t>Color space represented by the response of the three types of cones of the human eye, named after their responsivity (sensitivity) at long, medium and short wavelengths</w:t>
      </w:r>
    </w:p>
    <w:p w14:paraId="4520CF5D" w14:textId="77777777" w:rsidR="007B6848" w:rsidRPr="007C37A2" w:rsidRDefault="007B6848" w:rsidP="007B6848">
      <w:pPr>
        <w:tabs>
          <w:tab w:val="clear" w:pos="792"/>
          <w:tab w:val="left" w:pos="900"/>
        </w:tabs>
      </w:pPr>
      <w:r>
        <w:t>LUT</w:t>
      </w:r>
      <w:r>
        <w:tab/>
      </w:r>
      <w:r>
        <w:tab/>
        <w:t>Look-up Table</w:t>
      </w:r>
    </w:p>
    <w:p w14:paraId="16BFFDFA" w14:textId="77777777" w:rsidR="007B6848" w:rsidRPr="008467B6" w:rsidRDefault="007B6848" w:rsidP="007B6848">
      <w:pPr>
        <w:tabs>
          <w:tab w:val="clear" w:pos="792"/>
          <w:tab w:val="left" w:pos="900"/>
        </w:tabs>
      </w:pPr>
      <w:r w:rsidRPr="008467B6">
        <w:t>NCL</w:t>
      </w:r>
      <w:r w:rsidRPr="008467B6">
        <w:tab/>
      </w:r>
      <w:r w:rsidRPr="008467B6">
        <w:tab/>
        <w:t>Non-Constant Luminance</w:t>
      </w:r>
    </w:p>
    <w:p w14:paraId="5E7F1578" w14:textId="77777777" w:rsidR="007B6848" w:rsidRPr="008467B6" w:rsidRDefault="007B6848" w:rsidP="007B6848">
      <w:pPr>
        <w:tabs>
          <w:tab w:val="clear" w:pos="792"/>
          <w:tab w:val="left" w:pos="900"/>
        </w:tabs>
      </w:pPr>
      <w:r w:rsidRPr="008467B6">
        <w:lastRenderedPageBreak/>
        <w:t>PQ</w:t>
      </w:r>
      <w:r w:rsidRPr="008467B6">
        <w:tab/>
      </w:r>
      <w:r w:rsidRPr="008467B6">
        <w:tab/>
        <w:t>Perceptual Quantizer</w:t>
      </w:r>
    </w:p>
    <w:p w14:paraId="4C677888" w14:textId="77777777" w:rsidR="007B6848" w:rsidRPr="008467B6" w:rsidRDefault="007B6848" w:rsidP="007B6848">
      <w:pPr>
        <w:tabs>
          <w:tab w:val="clear" w:pos="792"/>
          <w:tab w:val="left" w:pos="900"/>
        </w:tabs>
        <w:ind w:left="1200" w:hanging="1200"/>
      </w:pPr>
      <w:r w:rsidRPr="008467B6">
        <w:rPr>
          <w:lang w:eastAsia="zh-CN"/>
        </w:rPr>
        <w:t>PQ10</w:t>
      </w:r>
      <w:r w:rsidRPr="008467B6">
        <w:tab/>
      </w:r>
      <w:r w:rsidRPr="008467B6">
        <w:tab/>
        <w:t xml:space="preserve">HDR content representation that utilizes the HEVC Main 10 codec, </w:t>
      </w:r>
      <w:r w:rsidRPr="008467B6">
        <w:rPr>
          <w:rFonts w:eastAsia="SimSun"/>
        </w:rPr>
        <w:t xml:space="preserve">Rec. ITU-R </w:t>
      </w:r>
      <w:r w:rsidRPr="008467B6">
        <w:t>BT.2020 colour primaries, the</w:t>
      </w:r>
      <w:r w:rsidRPr="008467B6">
        <w:br/>
      </w:r>
      <w:r w:rsidRPr="008467B6">
        <w:rPr>
          <w:rFonts w:eastAsia="SimSun"/>
        </w:rPr>
        <w:t xml:space="preserve">Rec. ITU-R </w:t>
      </w:r>
      <w:r w:rsidRPr="008467B6">
        <w:t xml:space="preserve">BT.2100 PQ transfer function (PQ), and non-constant luminance </w:t>
      </w:r>
      <w:r w:rsidRPr="008467B6">
        <w:rPr>
          <w:rFonts w:eastAsia="SimSun"/>
        </w:rPr>
        <w:t>Y</w:t>
      </w:r>
      <w:r w:rsidRPr="008467B6">
        <w:sym w:font="Symbol" w:char="F0A2"/>
      </w:r>
      <w:r w:rsidRPr="008467B6">
        <w:rPr>
          <w:rFonts w:eastAsia="SimSun"/>
        </w:rPr>
        <w:t xml:space="preserve">CbCr </w:t>
      </w:r>
      <w:r w:rsidRPr="008467B6">
        <w:t>encoding</w:t>
      </w:r>
    </w:p>
    <w:p w14:paraId="3887CE60" w14:textId="77777777" w:rsidR="007B6848" w:rsidRPr="008467B6" w:rsidRDefault="007B6848" w:rsidP="007B6848">
      <w:pPr>
        <w:tabs>
          <w:tab w:val="clear" w:pos="792"/>
          <w:tab w:val="left" w:pos="900"/>
        </w:tabs>
      </w:pPr>
      <w:r w:rsidRPr="008467B6">
        <w:t>RGB</w:t>
      </w:r>
      <w:r w:rsidRPr="008467B6">
        <w:tab/>
      </w:r>
      <w:r w:rsidRPr="008467B6">
        <w:tab/>
        <w:t>Colour System using Red, Green, and Blue components</w:t>
      </w:r>
    </w:p>
    <w:p w14:paraId="4D0511F7" w14:textId="77777777" w:rsidR="007B6848" w:rsidRPr="00980878" w:rsidRDefault="007B6848" w:rsidP="007B6848">
      <w:pPr>
        <w:tabs>
          <w:tab w:val="clear" w:pos="792"/>
          <w:tab w:val="left" w:pos="900"/>
        </w:tabs>
      </w:pPr>
      <w:r w:rsidRPr="00980878">
        <w:t>SDR</w:t>
      </w:r>
      <w:r w:rsidRPr="00980878">
        <w:tab/>
      </w:r>
      <w:r w:rsidRPr="00980878">
        <w:tab/>
        <w:t>Standard Dynamic Range</w:t>
      </w:r>
    </w:p>
    <w:p w14:paraId="568F0972" w14:textId="77777777" w:rsidR="007B6848" w:rsidRPr="00980878" w:rsidRDefault="007B6848" w:rsidP="007B6848">
      <w:pPr>
        <w:tabs>
          <w:tab w:val="clear" w:pos="792"/>
          <w:tab w:val="left" w:pos="900"/>
        </w:tabs>
      </w:pPr>
      <w:r w:rsidRPr="00980878">
        <w:t>SEI</w:t>
      </w:r>
      <w:r w:rsidRPr="00980878">
        <w:tab/>
      </w:r>
      <w:r w:rsidRPr="00980878">
        <w:tab/>
        <w:t>Supplemental Enhancement Information</w:t>
      </w:r>
    </w:p>
    <w:p w14:paraId="486A36A7" w14:textId="77777777" w:rsidR="007B6848" w:rsidRPr="008467B6" w:rsidRDefault="007B6848" w:rsidP="007B6848">
      <w:pPr>
        <w:tabs>
          <w:tab w:val="clear" w:pos="792"/>
          <w:tab w:val="left" w:pos="900"/>
        </w:tabs>
      </w:pPr>
      <w:r w:rsidRPr="008467B6">
        <w:t>OETF</w:t>
      </w:r>
      <w:r w:rsidRPr="008467B6">
        <w:tab/>
      </w:r>
      <w:r w:rsidRPr="008467B6">
        <w:tab/>
        <w:t>Opto-Electr</w:t>
      </w:r>
      <w:r>
        <w:t>onic</w:t>
      </w:r>
      <w:r w:rsidRPr="008467B6">
        <w:t xml:space="preserve"> Transfer Function</w:t>
      </w:r>
    </w:p>
    <w:p w14:paraId="2DBF6F26" w14:textId="77777777" w:rsidR="007B6848" w:rsidRPr="008467B6" w:rsidRDefault="007B6848" w:rsidP="007B6848">
      <w:pPr>
        <w:tabs>
          <w:tab w:val="clear" w:pos="792"/>
          <w:tab w:val="left" w:pos="900"/>
        </w:tabs>
      </w:pPr>
      <w:r w:rsidRPr="008467B6">
        <w:t>OOTF</w:t>
      </w:r>
      <w:r w:rsidRPr="008467B6">
        <w:tab/>
      </w:r>
      <w:r w:rsidRPr="008467B6">
        <w:tab/>
        <w:t>Opto-optic</w:t>
      </w:r>
      <w:r>
        <w:t>al</w:t>
      </w:r>
      <w:r w:rsidRPr="008467B6">
        <w:t xml:space="preserve"> Transfer Function; in general OOTF is concatenation of OETF, artistic adjustments and EOTF</w:t>
      </w:r>
    </w:p>
    <w:p w14:paraId="2417CD6A" w14:textId="77777777" w:rsidR="007B6848" w:rsidRPr="008467B6" w:rsidRDefault="007B6848" w:rsidP="007B6848">
      <w:pPr>
        <w:tabs>
          <w:tab w:val="clear" w:pos="792"/>
          <w:tab w:val="left" w:pos="900"/>
        </w:tabs>
      </w:pPr>
      <w:r w:rsidRPr="008467B6">
        <w:t>TF</w:t>
      </w:r>
      <w:r w:rsidRPr="008467B6">
        <w:tab/>
      </w:r>
      <w:r w:rsidRPr="008467B6">
        <w:tab/>
        <w:t>Transfer Function</w:t>
      </w:r>
    </w:p>
    <w:p w14:paraId="40300F5C" w14:textId="77777777" w:rsidR="007B6848" w:rsidRPr="008467B6" w:rsidRDefault="007B6848" w:rsidP="007B6848">
      <w:pPr>
        <w:tabs>
          <w:tab w:val="clear" w:pos="792"/>
          <w:tab w:val="left" w:pos="900"/>
        </w:tabs>
      </w:pPr>
      <w:r w:rsidRPr="008467B6">
        <w:t>TMI</w:t>
      </w:r>
      <w:r w:rsidRPr="008467B6">
        <w:tab/>
      </w:r>
      <w:r w:rsidRPr="008467B6">
        <w:tab/>
        <w:t xml:space="preserve">Tone </w:t>
      </w:r>
      <w:r>
        <w:t>m</w:t>
      </w:r>
      <w:r w:rsidRPr="008467B6">
        <w:t xml:space="preserve">apping </w:t>
      </w:r>
      <w:r>
        <w:t>i</w:t>
      </w:r>
      <w:r w:rsidRPr="008467B6">
        <w:t>nformation SEI message</w:t>
      </w:r>
    </w:p>
    <w:p w14:paraId="0ECA0A93" w14:textId="77777777" w:rsidR="007B6848" w:rsidRPr="008467B6" w:rsidRDefault="007B6848" w:rsidP="007B6848">
      <w:pPr>
        <w:tabs>
          <w:tab w:val="clear" w:pos="792"/>
          <w:tab w:val="left" w:pos="900"/>
        </w:tabs>
      </w:pPr>
      <w:r w:rsidRPr="008467B6">
        <w:t>VUI</w:t>
      </w:r>
      <w:r w:rsidRPr="008467B6">
        <w:tab/>
      </w:r>
      <w:r w:rsidRPr="008467B6">
        <w:tab/>
        <w:t>Video Usability Information</w:t>
      </w:r>
    </w:p>
    <w:p w14:paraId="78046E2F" w14:textId="77777777" w:rsidR="007B6848" w:rsidRPr="008467B6" w:rsidRDefault="007B6848" w:rsidP="007B6848">
      <w:pPr>
        <w:tabs>
          <w:tab w:val="clear" w:pos="792"/>
          <w:tab w:val="left" w:pos="900"/>
        </w:tabs>
      </w:pPr>
      <w:r w:rsidRPr="008467B6">
        <w:t>WCG</w:t>
      </w:r>
      <w:r w:rsidRPr="008467B6">
        <w:tab/>
      </w:r>
      <w:r w:rsidRPr="008467B6">
        <w:tab/>
        <w:t>Wide Colour Gamut</w:t>
      </w:r>
    </w:p>
    <w:p w14:paraId="5D03F789" w14:textId="77777777" w:rsidR="007B6848" w:rsidRPr="008467B6" w:rsidRDefault="007B6848" w:rsidP="007B6848">
      <w:pPr>
        <w:tabs>
          <w:tab w:val="clear" w:pos="792"/>
          <w:tab w:val="left" w:pos="900"/>
        </w:tabs>
        <w:ind w:left="1200" w:hanging="1200"/>
      </w:pPr>
      <w:r w:rsidRPr="008467B6">
        <w:t>Y</w:t>
      </w:r>
      <w:r w:rsidRPr="008467B6">
        <w:sym w:font="Symbol" w:char="F0A2"/>
      </w:r>
      <w:r w:rsidRPr="008467B6">
        <w:t>CbCr</w:t>
      </w:r>
      <w:r w:rsidRPr="008467B6">
        <w:tab/>
      </w:r>
      <w:r w:rsidRPr="008467B6">
        <w:tab/>
        <w:t>Colour space representation commonly used for video/image distribution as a away of encoding RGB information. Also commonly expressed as YCbCr. Relationship between Y</w:t>
      </w:r>
      <w:r w:rsidRPr="008467B6">
        <w:sym w:font="Symbol" w:char="F0A2"/>
      </w:r>
      <w:r w:rsidRPr="008467B6">
        <w:t>CbCr and RGB is dictated by certain signal parameters, such as colour primaries, transfer characteristics, and matrix coefficients. Unlike the Y in the XYZ representation, Y</w:t>
      </w:r>
      <w:r w:rsidRPr="008467B6">
        <w:sym w:font="Symbol" w:char="F0A2"/>
      </w:r>
      <w:r w:rsidRPr="008467B6">
        <w:t xml:space="preserve"> in this representation might not be representing the same quantity, and is commonly referred to as luma</w:t>
      </w:r>
    </w:p>
    <w:p w14:paraId="7C3C2359" w14:textId="77777777" w:rsidR="007B6848" w:rsidRPr="008467B6" w:rsidRDefault="007B6848" w:rsidP="007B6848">
      <w:pPr>
        <w:pStyle w:val="Heading1"/>
      </w:pPr>
      <w:bookmarkStart w:id="19" w:name="_Toc467226081"/>
      <w:r w:rsidRPr="008467B6">
        <w:t>Conventions</w:t>
      </w:r>
      <w:bookmarkEnd w:id="19"/>
    </w:p>
    <w:p w14:paraId="2A2512B5" w14:textId="77777777" w:rsidR="007B6848" w:rsidRPr="008467B6" w:rsidRDefault="007B6848" w:rsidP="007B6848">
      <w:pPr>
        <w:pStyle w:val="Heading2"/>
      </w:pPr>
      <w:bookmarkStart w:id="20" w:name="_Toc467226082"/>
      <w:r w:rsidRPr="008467B6">
        <w:t>General</w:t>
      </w:r>
      <w:bookmarkEnd w:id="20"/>
    </w:p>
    <w:p w14:paraId="6B4B6984" w14:textId="77777777" w:rsidR="007B6848" w:rsidRPr="00980878" w:rsidRDefault="007B6848" w:rsidP="007B6848">
      <w:pPr>
        <w:pStyle w:val="Note1"/>
        <w:ind w:left="432"/>
        <w:rPr>
          <w:rFonts w:eastAsia="Malgun Gothic"/>
          <w:lang w:val="en-US"/>
        </w:rPr>
      </w:pPr>
      <w:r w:rsidRPr="00980878">
        <w:rPr>
          <w:lang w:val="en-US"/>
        </w:rPr>
        <w:t>NOTE – 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471BDCE5" w14:textId="77777777" w:rsidR="007B6848" w:rsidRPr="008467B6" w:rsidRDefault="007B6848" w:rsidP="007B6848">
      <w:pPr>
        <w:pStyle w:val="Heading2"/>
      </w:pPr>
      <w:bookmarkStart w:id="21" w:name="_Toc467226083"/>
      <w:r w:rsidRPr="008467B6">
        <w:t>Arithmetic operators</w:t>
      </w:r>
      <w:bookmarkEnd w:id="21"/>
    </w:p>
    <w:p w14:paraId="12F6256B" w14:textId="77777777" w:rsidR="007B6848" w:rsidRPr="008467B6" w:rsidRDefault="007B6848" w:rsidP="007B6848">
      <w:r w:rsidRPr="008467B6">
        <w:t>The following arithmetic operators are defined as follows:</w:t>
      </w:r>
      <w:r w:rsidRPr="008467B6" w:rsidDel="009E3028">
        <w:rPr>
          <w:rFonts w:eastAsia="Malgun Gothic"/>
        </w:rPr>
        <w:t xml:space="preserve"> </w:t>
      </w:r>
    </w:p>
    <w:tbl>
      <w:tblPr>
        <w:tblStyle w:val="TableGrid"/>
        <w:tblW w:w="4680" w:type="pct"/>
        <w:tblInd w:w="6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9" w:type="dxa"/>
          <w:left w:w="115" w:type="dxa"/>
          <w:bottom w:w="29" w:type="dxa"/>
          <w:right w:w="115" w:type="dxa"/>
        </w:tblCellMar>
        <w:tblLook w:val="04A0" w:firstRow="1" w:lastRow="0" w:firstColumn="1" w:lastColumn="0" w:noHBand="0" w:noVBand="1"/>
      </w:tblPr>
      <w:tblGrid>
        <w:gridCol w:w="989"/>
        <w:gridCol w:w="8635"/>
      </w:tblGrid>
      <w:tr w:rsidR="007B6848" w:rsidRPr="008467B6" w14:paraId="4BCE15B0" w14:textId="77777777" w:rsidTr="004B3F76">
        <w:tc>
          <w:tcPr>
            <w:tcW w:w="514" w:type="pct"/>
            <w:vAlign w:val="center"/>
          </w:tcPr>
          <w:p w14:paraId="080646C0"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rFonts w:ascii="Symbol" w:hAnsi="Symbol" w:cs="Symbol"/>
                <w:lang w:val="en-US"/>
              </w:rPr>
              <w:t></w:t>
            </w:r>
          </w:p>
        </w:tc>
        <w:tc>
          <w:tcPr>
            <w:tcW w:w="4486" w:type="pct"/>
            <w:vAlign w:val="center"/>
          </w:tcPr>
          <w:p w14:paraId="73D4F529"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Addition</w:t>
            </w:r>
          </w:p>
        </w:tc>
      </w:tr>
      <w:tr w:rsidR="007B6848" w:rsidRPr="008467B6" w14:paraId="1F49E5AF" w14:textId="77777777" w:rsidTr="004B3F76">
        <w:tc>
          <w:tcPr>
            <w:tcW w:w="514" w:type="pct"/>
            <w:vAlign w:val="center"/>
          </w:tcPr>
          <w:p w14:paraId="3C22DB14"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w:t>
            </w:r>
          </w:p>
        </w:tc>
        <w:tc>
          <w:tcPr>
            <w:tcW w:w="4486" w:type="pct"/>
            <w:vAlign w:val="center"/>
          </w:tcPr>
          <w:p w14:paraId="203B5573"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Subtraction (as a two-argument operator) or negation (as a unary prefix operator)</w:t>
            </w:r>
          </w:p>
        </w:tc>
      </w:tr>
      <w:tr w:rsidR="007B6848" w:rsidRPr="008467B6" w14:paraId="7E25AEEF" w14:textId="77777777" w:rsidTr="004B3F76">
        <w:tc>
          <w:tcPr>
            <w:tcW w:w="514" w:type="pct"/>
            <w:vAlign w:val="center"/>
          </w:tcPr>
          <w:p w14:paraId="70FD3A4C"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w:t>
            </w:r>
          </w:p>
        </w:tc>
        <w:tc>
          <w:tcPr>
            <w:tcW w:w="4486" w:type="pct"/>
            <w:vAlign w:val="center"/>
          </w:tcPr>
          <w:p w14:paraId="3DB259A4"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Multiplication, including matrix multiplication</w:t>
            </w:r>
          </w:p>
        </w:tc>
      </w:tr>
      <w:tr w:rsidR="007B6848" w:rsidRPr="008467B6" w14:paraId="3582EAB7" w14:textId="77777777" w:rsidTr="004B3F76">
        <w:tc>
          <w:tcPr>
            <w:tcW w:w="514" w:type="pct"/>
            <w:vAlign w:val="center"/>
          </w:tcPr>
          <w:p w14:paraId="06B4F62C"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x</w:t>
            </w:r>
            <w:r w:rsidRPr="00980878">
              <w:rPr>
                <w:vertAlign w:val="superscript"/>
                <w:lang w:val="en-US"/>
              </w:rPr>
              <w:t>y</w:t>
            </w:r>
          </w:p>
        </w:tc>
        <w:tc>
          <w:tcPr>
            <w:tcW w:w="4486" w:type="pct"/>
            <w:vAlign w:val="center"/>
          </w:tcPr>
          <w:p w14:paraId="6754A676"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 xml:space="preserve">Exponentiation. Specifies </w:t>
            </w:r>
            <w:r w:rsidRPr="00980878">
              <w:rPr>
                <w:iCs/>
                <w:lang w:val="en-US"/>
              </w:rPr>
              <w:t>x</w:t>
            </w:r>
            <w:r w:rsidRPr="00980878">
              <w:rPr>
                <w:lang w:val="en-US"/>
              </w:rPr>
              <w:t xml:space="preserve"> to the power of </w:t>
            </w:r>
            <w:r w:rsidRPr="00980878">
              <w:rPr>
                <w:iCs/>
                <w:lang w:val="en-US"/>
              </w:rPr>
              <w:t>y</w:t>
            </w:r>
            <w:r w:rsidRPr="00980878">
              <w:rPr>
                <w:lang w:val="en-US"/>
              </w:rPr>
              <w:t>. In other contexts, such notation is used for superscripting not intended for interpretation as exponentiation.</w:t>
            </w:r>
          </w:p>
        </w:tc>
      </w:tr>
      <w:tr w:rsidR="007B6848" w:rsidRPr="008467B6" w14:paraId="7D3F7B45" w14:textId="77777777" w:rsidTr="004B3F76">
        <w:tc>
          <w:tcPr>
            <w:tcW w:w="514" w:type="pct"/>
            <w:vAlign w:val="center"/>
          </w:tcPr>
          <w:p w14:paraId="7A732CE4"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w:t>
            </w:r>
          </w:p>
        </w:tc>
        <w:tc>
          <w:tcPr>
            <w:tcW w:w="4486" w:type="pct"/>
            <w:vAlign w:val="center"/>
          </w:tcPr>
          <w:p w14:paraId="2F8E32CC"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Integer division with truncation of the result toward zero. For example, 7 / 4 and (−7) / (−4) are truncated to 1 and (−7) / 4 and 7 / (−4) are truncated to −1.</w:t>
            </w:r>
          </w:p>
        </w:tc>
      </w:tr>
      <w:tr w:rsidR="007B6848" w:rsidRPr="008467B6" w14:paraId="5AC038E7" w14:textId="77777777" w:rsidTr="004B3F76">
        <w:tc>
          <w:tcPr>
            <w:tcW w:w="514" w:type="pct"/>
            <w:vAlign w:val="center"/>
          </w:tcPr>
          <w:p w14:paraId="07690AFE"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w:t>
            </w:r>
          </w:p>
        </w:tc>
        <w:tc>
          <w:tcPr>
            <w:tcW w:w="4486" w:type="pct"/>
            <w:vAlign w:val="center"/>
          </w:tcPr>
          <w:p w14:paraId="63D76EBD"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Used to denote division in mathematical equations where no truncation or rounding is intended.</w:t>
            </w:r>
          </w:p>
        </w:tc>
      </w:tr>
      <w:tr w:rsidR="007B6848" w:rsidRPr="008467B6" w14:paraId="008394BB" w14:textId="77777777" w:rsidTr="004B3F76">
        <w:tc>
          <w:tcPr>
            <w:tcW w:w="514" w:type="pct"/>
            <w:vAlign w:val="center"/>
          </w:tcPr>
          <w:p w14:paraId="1B53D382" w14:textId="77777777" w:rsidR="007B6848" w:rsidRPr="00980878" w:rsidRDefault="002A7852" w:rsidP="004B3F76">
            <w:pPr>
              <w:pStyle w:val="enumlev1"/>
              <w:tabs>
                <w:tab w:val="clear" w:pos="794"/>
                <w:tab w:val="clear" w:pos="1191"/>
                <w:tab w:val="left" w:pos="1418"/>
              </w:tabs>
              <w:spacing w:before="0"/>
              <w:ind w:left="0" w:firstLine="0"/>
              <w:jc w:val="center"/>
              <w:rPr>
                <w:lang w:val="en-US"/>
              </w:rPr>
            </w:pPr>
            <m:oMathPara>
              <m:oMathParaPr>
                <m:jc m:val="left"/>
              </m:oMathParaPr>
              <m:oMath>
                <m:f>
                  <m:fPr>
                    <m:ctrlPr>
                      <w:rPr>
                        <w:rFonts w:ascii="Cambria Math" w:hAnsi="Cambria Math"/>
                        <w:lang w:val="en-US"/>
                      </w:rPr>
                    </m:ctrlPr>
                  </m:fPr>
                  <m:num>
                    <m:r>
                      <m:rPr>
                        <m:sty m:val="p"/>
                      </m:rPr>
                      <w:rPr>
                        <w:rFonts w:ascii="Cambria Math" w:hAnsi="Cambria Math"/>
                        <w:lang w:val="en-US"/>
                      </w:rPr>
                      <m:t>x</m:t>
                    </m:r>
                  </m:num>
                  <m:den>
                    <m:r>
                      <m:rPr>
                        <m:sty m:val="p"/>
                      </m:rPr>
                      <w:rPr>
                        <w:rFonts w:ascii="Cambria Math" w:hAnsi="Cambria Math"/>
                        <w:lang w:val="en-US"/>
                      </w:rPr>
                      <m:t>y</m:t>
                    </m:r>
                  </m:den>
                </m:f>
              </m:oMath>
            </m:oMathPara>
          </w:p>
        </w:tc>
        <w:tc>
          <w:tcPr>
            <w:tcW w:w="4486" w:type="pct"/>
            <w:vAlign w:val="center"/>
          </w:tcPr>
          <w:p w14:paraId="79E5D0AE"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Used to denote division in mathematical equations where no truncation or rounding is intended.</w:t>
            </w:r>
          </w:p>
        </w:tc>
      </w:tr>
      <w:tr w:rsidR="007B6848" w:rsidRPr="008467B6" w14:paraId="40A14A49" w14:textId="77777777" w:rsidTr="004B3F76">
        <w:tc>
          <w:tcPr>
            <w:tcW w:w="514" w:type="pct"/>
            <w:vAlign w:val="center"/>
          </w:tcPr>
          <w:p w14:paraId="52ED849A" w14:textId="77777777" w:rsidR="007B6848" w:rsidRPr="00980878" w:rsidRDefault="002A7852" w:rsidP="004B3F76">
            <w:pPr>
              <w:pStyle w:val="enumlev1"/>
              <w:tabs>
                <w:tab w:val="clear" w:pos="794"/>
                <w:tab w:val="clear" w:pos="1191"/>
                <w:tab w:val="left" w:pos="1418"/>
              </w:tabs>
              <w:spacing w:before="0"/>
              <w:ind w:left="0" w:firstLine="0"/>
              <w:jc w:val="center"/>
              <w:rPr>
                <w:lang w:val="en-US"/>
              </w:rPr>
            </w:pPr>
            <m:oMathPara>
              <m:oMathParaPr>
                <m:jc m:val="left"/>
              </m:oMathParaPr>
              <m:oMath>
                <m:nary>
                  <m:naryPr>
                    <m:chr m:val="∑"/>
                    <m:limLoc m:val="undOvr"/>
                    <m:ctrlPr>
                      <w:rPr>
                        <w:rFonts w:ascii="Cambria Math" w:hAnsi="Cambria Math"/>
                        <w:i/>
                        <w:lang w:val="en-US"/>
                      </w:rPr>
                    </m:ctrlPr>
                  </m:naryPr>
                  <m:sub>
                    <m:r>
                      <w:rPr>
                        <w:rFonts w:ascii="Cambria Math" w:hAnsi="Cambria Math"/>
                        <w:lang w:val="en-US"/>
                      </w:rPr>
                      <m:t>i=</m:t>
                    </m:r>
                    <m:r>
                      <m:rPr>
                        <m:sty m:val="p"/>
                      </m:rPr>
                      <w:rPr>
                        <w:rFonts w:ascii="Cambria Math" w:hAnsi="Cambria Math"/>
                        <w:lang w:val="en-US"/>
                      </w:rPr>
                      <m:t>x</m:t>
                    </m:r>
                  </m:sub>
                  <m:sup>
                    <m:r>
                      <m:rPr>
                        <m:sty m:val="p"/>
                      </m:rPr>
                      <w:rPr>
                        <w:rFonts w:ascii="Cambria Math" w:hAnsi="Cambria Math"/>
                        <w:lang w:val="en-US"/>
                      </w:rPr>
                      <m:t>y</m:t>
                    </m:r>
                  </m:sup>
                  <m:e>
                    <m:r>
                      <w:rPr>
                        <w:rFonts w:ascii="Cambria Math" w:hAnsi="Cambria Math"/>
                        <w:lang w:val="en-US"/>
                      </w:rPr>
                      <m:t>f(i)</m:t>
                    </m:r>
                  </m:e>
                </m:nary>
              </m:oMath>
            </m:oMathPara>
          </w:p>
        </w:tc>
        <w:tc>
          <w:tcPr>
            <w:tcW w:w="4486" w:type="pct"/>
            <w:vAlign w:val="center"/>
          </w:tcPr>
          <w:p w14:paraId="7D04EA66"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 xml:space="preserve">The summation of </w:t>
            </w:r>
            <w:r w:rsidRPr="00980878">
              <w:rPr>
                <w:iCs/>
                <w:lang w:val="en-US"/>
              </w:rPr>
              <w:t>f</w:t>
            </w:r>
            <w:r w:rsidRPr="00980878">
              <w:rPr>
                <w:lang w:val="en-US"/>
              </w:rPr>
              <w:t>( </w:t>
            </w:r>
            <w:r w:rsidRPr="00980878">
              <w:rPr>
                <w:iCs/>
                <w:lang w:val="en-US"/>
              </w:rPr>
              <w:t>i </w:t>
            </w:r>
            <w:r w:rsidRPr="00980878">
              <w:rPr>
                <w:lang w:val="en-US"/>
              </w:rPr>
              <w:t xml:space="preserve">) with </w:t>
            </w:r>
            <w:r w:rsidRPr="00980878">
              <w:rPr>
                <w:iCs/>
                <w:lang w:val="en-US"/>
              </w:rPr>
              <w:t>i</w:t>
            </w:r>
            <w:r w:rsidRPr="00980878">
              <w:rPr>
                <w:lang w:val="en-US"/>
              </w:rPr>
              <w:t xml:space="preserve"> taking all integer values from </w:t>
            </w:r>
            <w:r w:rsidRPr="00980878">
              <w:rPr>
                <w:iCs/>
                <w:lang w:val="en-US"/>
              </w:rPr>
              <w:t>x</w:t>
            </w:r>
            <w:r w:rsidRPr="00980878">
              <w:rPr>
                <w:lang w:val="en-US"/>
              </w:rPr>
              <w:t xml:space="preserve"> up to and including </w:t>
            </w:r>
            <w:r w:rsidRPr="00980878">
              <w:rPr>
                <w:iCs/>
                <w:lang w:val="en-US"/>
              </w:rPr>
              <w:t>y</w:t>
            </w:r>
            <w:r w:rsidRPr="00980878">
              <w:rPr>
                <w:lang w:val="en-US"/>
              </w:rPr>
              <w:t>.</w:t>
            </w:r>
          </w:p>
        </w:tc>
      </w:tr>
      <w:tr w:rsidR="007B6848" w:rsidRPr="008467B6" w14:paraId="6D320508" w14:textId="77777777" w:rsidTr="004B3F76">
        <w:tc>
          <w:tcPr>
            <w:tcW w:w="514" w:type="pct"/>
            <w:vAlign w:val="center"/>
          </w:tcPr>
          <w:p w14:paraId="06AB967C"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lang w:val="en-US"/>
              </w:rPr>
              <w:t>x % y</w:t>
            </w:r>
          </w:p>
        </w:tc>
        <w:tc>
          <w:tcPr>
            <w:tcW w:w="4486" w:type="pct"/>
            <w:vAlign w:val="center"/>
          </w:tcPr>
          <w:p w14:paraId="7FB8BCDA"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 xml:space="preserve">Modulus. Remainder of </w:t>
            </w:r>
            <w:r w:rsidRPr="00980878">
              <w:rPr>
                <w:iCs/>
                <w:lang w:val="en-US"/>
              </w:rPr>
              <w:t>x</w:t>
            </w:r>
            <w:r w:rsidRPr="00980878">
              <w:rPr>
                <w:lang w:val="en-US"/>
              </w:rPr>
              <w:t xml:space="preserve"> divided by </w:t>
            </w:r>
            <w:r w:rsidRPr="00980878">
              <w:rPr>
                <w:iCs/>
                <w:lang w:val="en-US"/>
              </w:rPr>
              <w:t>y</w:t>
            </w:r>
            <w:r w:rsidRPr="00980878">
              <w:rPr>
                <w:lang w:val="en-US"/>
              </w:rPr>
              <w:t xml:space="preserve">, defined only for integers x and y with </w:t>
            </w:r>
            <w:r w:rsidRPr="00980878">
              <w:rPr>
                <w:iCs/>
                <w:lang w:val="en-US"/>
              </w:rPr>
              <w:t>x</w:t>
            </w:r>
            <w:r w:rsidRPr="00980878">
              <w:rPr>
                <w:lang w:val="en-US"/>
              </w:rPr>
              <w:t xml:space="preserve">  &gt;=  0 and </w:t>
            </w:r>
            <w:r w:rsidRPr="00980878">
              <w:rPr>
                <w:iCs/>
                <w:lang w:val="en-US"/>
              </w:rPr>
              <w:t>y</w:t>
            </w:r>
            <w:r w:rsidRPr="00980878">
              <w:rPr>
                <w:lang w:val="en-US"/>
              </w:rPr>
              <w:t xml:space="preserve"> &gt; 0.</w:t>
            </w:r>
          </w:p>
        </w:tc>
      </w:tr>
    </w:tbl>
    <w:p w14:paraId="32F7FE44" w14:textId="77777777" w:rsidR="007B6848" w:rsidRPr="008467B6" w:rsidRDefault="007B6848" w:rsidP="007B6848">
      <w:pPr>
        <w:pStyle w:val="Heading2"/>
      </w:pPr>
      <w:bookmarkStart w:id="22" w:name="_Toc467226084"/>
      <w:r w:rsidRPr="008467B6">
        <w:t>Bit-wise operators</w:t>
      </w:r>
      <w:bookmarkEnd w:id="22"/>
    </w:p>
    <w:p w14:paraId="6EE24201" w14:textId="77777777" w:rsidR="007B6848" w:rsidRPr="008467B6" w:rsidRDefault="007B6848" w:rsidP="007B6848">
      <w:r w:rsidRPr="008467B6">
        <w:t>The following bit-wise operators are defined as follows:</w:t>
      </w:r>
    </w:p>
    <w:tbl>
      <w:tblPr>
        <w:tblStyle w:val="TableGrid"/>
        <w:tblW w:w="0" w:type="auto"/>
        <w:tblInd w:w="6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9" w:type="dxa"/>
          <w:left w:w="115" w:type="dxa"/>
          <w:bottom w:w="29" w:type="dxa"/>
          <w:right w:w="115" w:type="dxa"/>
        </w:tblCellMar>
        <w:tblLook w:val="04A0" w:firstRow="1" w:lastRow="0" w:firstColumn="1" w:lastColumn="0" w:noHBand="0" w:noVBand="1"/>
      </w:tblPr>
      <w:tblGrid>
        <w:gridCol w:w="990"/>
        <w:gridCol w:w="8634"/>
      </w:tblGrid>
      <w:tr w:rsidR="007B6848" w:rsidRPr="008467B6" w14:paraId="36419F0E" w14:textId="77777777" w:rsidTr="004B3F76">
        <w:tc>
          <w:tcPr>
            <w:tcW w:w="990" w:type="dxa"/>
            <w:vAlign w:val="center"/>
          </w:tcPr>
          <w:p w14:paraId="790B0F41"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lastRenderedPageBreak/>
              <w:t>&amp;</w:t>
            </w:r>
          </w:p>
        </w:tc>
        <w:tc>
          <w:tcPr>
            <w:tcW w:w="8634" w:type="dxa"/>
            <w:vAlign w:val="center"/>
          </w:tcPr>
          <w:p w14:paraId="38552A39"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B6848" w:rsidRPr="008467B6" w14:paraId="3B27880F" w14:textId="77777777" w:rsidTr="004B3F76">
        <w:tc>
          <w:tcPr>
            <w:tcW w:w="990" w:type="dxa"/>
            <w:vAlign w:val="center"/>
          </w:tcPr>
          <w:p w14:paraId="0E7FA778"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w:t>
            </w:r>
          </w:p>
        </w:tc>
        <w:tc>
          <w:tcPr>
            <w:tcW w:w="8634" w:type="dxa"/>
            <w:vAlign w:val="center"/>
          </w:tcPr>
          <w:p w14:paraId="52484FBB"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B6848" w:rsidRPr="008467B6" w14:paraId="522EFC9F" w14:textId="77777777" w:rsidTr="004B3F76">
        <w:tc>
          <w:tcPr>
            <w:tcW w:w="990" w:type="dxa"/>
            <w:vAlign w:val="center"/>
          </w:tcPr>
          <w:p w14:paraId="769B7A18"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w:t>
            </w:r>
          </w:p>
        </w:tc>
        <w:tc>
          <w:tcPr>
            <w:tcW w:w="8634" w:type="dxa"/>
            <w:vAlign w:val="center"/>
          </w:tcPr>
          <w:p w14:paraId="45A7D1F8"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B6848" w:rsidRPr="008467B6" w14:paraId="68D087F9" w14:textId="77777777" w:rsidTr="004B3F76">
        <w:tc>
          <w:tcPr>
            <w:tcW w:w="990" w:type="dxa"/>
            <w:vAlign w:val="center"/>
          </w:tcPr>
          <w:p w14:paraId="6F9E3E52"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x  &gt;&gt;  y</w:t>
            </w:r>
          </w:p>
        </w:tc>
        <w:tc>
          <w:tcPr>
            <w:tcW w:w="8634" w:type="dxa"/>
            <w:vAlign w:val="center"/>
          </w:tcPr>
          <w:p w14:paraId="24C9B279"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Arithmetic right shift of a two's complement integer representation of x by y binary digits. This function is defined only for non-negative integer values of y. Bits shifted into the MSBs as a result of the right shift have a value equal to the MSB of x prior to the shift operation.</w:t>
            </w:r>
          </w:p>
        </w:tc>
      </w:tr>
      <w:tr w:rsidR="007B6848" w:rsidRPr="008467B6" w14:paraId="7A4727E1" w14:textId="77777777" w:rsidTr="004B3F76">
        <w:tc>
          <w:tcPr>
            <w:tcW w:w="990" w:type="dxa"/>
            <w:vAlign w:val="center"/>
          </w:tcPr>
          <w:p w14:paraId="22FD4841"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x  &lt;&lt;  y</w:t>
            </w:r>
          </w:p>
        </w:tc>
        <w:tc>
          <w:tcPr>
            <w:tcW w:w="8634" w:type="dxa"/>
            <w:vAlign w:val="center"/>
          </w:tcPr>
          <w:p w14:paraId="69C9B58F"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Arithmetic left shift of a two's complement integer representation of x by y binary digits. This function is defined only for non-negative integer values of y. Bits shifted into the LSBs as a result of the left shift have a value equal to 0.</w:t>
            </w:r>
          </w:p>
        </w:tc>
      </w:tr>
    </w:tbl>
    <w:p w14:paraId="16D1E963" w14:textId="77777777" w:rsidR="007B6848" w:rsidRPr="008467B6" w:rsidRDefault="007B6848" w:rsidP="007B6848">
      <w:pPr>
        <w:pStyle w:val="Heading2"/>
      </w:pPr>
      <w:bookmarkStart w:id="23" w:name="_Toc467226085"/>
      <w:r w:rsidRPr="008467B6">
        <w:t>Assignment operators</w:t>
      </w:r>
      <w:bookmarkEnd w:id="23"/>
    </w:p>
    <w:p w14:paraId="0DF33E2E" w14:textId="77777777" w:rsidR="007B6848" w:rsidRPr="008467B6" w:rsidRDefault="007B6848" w:rsidP="007B6848">
      <w:r w:rsidRPr="008467B6">
        <w:t>The following arithmetic operators are defined as follows:</w:t>
      </w:r>
    </w:p>
    <w:tbl>
      <w:tblPr>
        <w:tblStyle w:val="TableGrid"/>
        <w:tblW w:w="0" w:type="auto"/>
        <w:tblInd w:w="6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9" w:type="dxa"/>
          <w:left w:w="115" w:type="dxa"/>
          <w:bottom w:w="29" w:type="dxa"/>
          <w:right w:w="115" w:type="dxa"/>
        </w:tblCellMar>
        <w:tblLook w:val="04A0" w:firstRow="1" w:lastRow="0" w:firstColumn="1" w:lastColumn="0" w:noHBand="0" w:noVBand="1"/>
      </w:tblPr>
      <w:tblGrid>
        <w:gridCol w:w="990"/>
        <w:gridCol w:w="8634"/>
      </w:tblGrid>
      <w:tr w:rsidR="007B6848" w:rsidRPr="008467B6" w14:paraId="5FF23663" w14:textId="77777777" w:rsidTr="004B3F76">
        <w:tc>
          <w:tcPr>
            <w:tcW w:w="990" w:type="dxa"/>
            <w:vAlign w:val="center"/>
          </w:tcPr>
          <w:p w14:paraId="47A51B90"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rFonts w:ascii="Symbol" w:hAnsi="Symbol" w:cs="Symbol"/>
                <w:lang w:val="en-US"/>
              </w:rPr>
              <w:t></w:t>
            </w:r>
          </w:p>
        </w:tc>
        <w:tc>
          <w:tcPr>
            <w:tcW w:w="8634" w:type="dxa"/>
            <w:vAlign w:val="center"/>
          </w:tcPr>
          <w:p w14:paraId="241F4DA3"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outlineLvl w:val="8"/>
              <w:rPr>
                <w:lang w:val="en-US"/>
              </w:rPr>
            </w:pPr>
            <w:r w:rsidRPr="00980878">
              <w:rPr>
                <w:lang w:val="en-US"/>
              </w:rPr>
              <w:t>Assignment operator</w:t>
            </w:r>
          </w:p>
        </w:tc>
      </w:tr>
      <w:tr w:rsidR="007B6848" w:rsidRPr="008467B6" w14:paraId="420901B8" w14:textId="77777777" w:rsidTr="004B3F76">
        <w:tc>
          <w:tcPr>
            <w:tcW w:w="990" w:type="dxa"/>
            <w:vAlign w:val="center"/>
          </w:tcPr>
          <w:p w14:paraId="6A1D5B70" w14:textId="77777777" w:rsidR="007B6848" w:rsidRPr="00980878" w:rsidRDefault="007B6848" w:rsidP="004B3F76">
            <w:pPr>
              <w:pStyle w:val="enumlev1"/>
              <w:tabs>
                <w:tab w:val="clear" w:pos="794"/>
                <w:tab w:val="clear" w:pos="1191"/>
                <w:tab w:val="left" w:pos="1418"/>
              </w:tabs>
              <w:spacing w:before="0"/>
              <w:ind w:left="0" w:firstLine="0"/>
              <w:jc w:val="left"/>
              <w:rPr>
                <w:lang w:val="en-US"/>
              </w:rPr>
            </w:pPr>
            <w:r w:rsidRPr="00980878">
              <w:rPr>
                <w:rFonts w:ascii="Symbol" w:hAnsi="Symbol" w:cs="Symbol"/>
                <w:lang w:val="en-US"/>
              </w:rPr>
              <w:t></w:t>
            </w:r>
            <w:r w:rsidRPr="00980878">
              <w:rPr>
                <w:sz w:val="8"/>
                <w:szCs w:val="8"/>
                <w:lang w:val="en-US"/>
              </w:rPr>
              <w:t xml:space="preserve"> </w:t>
            </w:r>
            <w:r w:rsidRPr="00980878">
              <w:rPr>
                <w:rFonts w:ascii="Symbol" w:hAnsi="Symbol" w:cs="Symbol"/>
                <w:lang w:val="en-US"/>
              </w:rPr>
              <w:t></w:t>
            </w:r>
          </w:p>
        </w:tc>
        <w:tc>
          <w:tcPr>
            <w:tcW w:w="8634" w:type="dxa"/>
            <w:vAlign w:val="center"/>
          </w:tcPr>
          <w:p w14:paraId="0349D1F9"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 xml:space="preserve">Increment, i.e., </w:t>
            </w:r>
            <w:r w:rsidRPr="00980878">
              <w:rPr>
                <w:iCs/>
                <w:lang w:val="en-US"/>
              </w:rPr>
              <w:t>x</w:t>
            </w:r>
            <w:r w:rsidRPr="00980878">
              <w:rPr>
                <w:rFonts w:ascii="Symbol" w:hAnsi="Symbol" w:cs="Symbol"/>
                <w:lang w:val="en-US"/>
              </w:rPr>
              <w:t></w:t>
            </w:r>
            <w:r w:rsidRPr="00980878">
              <w:rPr>
                <w:sz w:val="8"/>
                <w:szCs w:val="8"/>
                <w:lang w:val="en-US"/>
              </w:rPr>
              <w:t xml:space="preserve"> </w:t>
            </w:r>
            <w:r w:rsidRPr="00980878">
              <w:rPr>
                <w:rFonts w:ascii="Symbol" w:hAnsi="Symbol" w:cs="Symbol"/>
                <w:lang w:val="en-US"/>
              </w:rPr>
              <w:t></w:t>
            </w:r>
            <w:r w:rsidRPr="00980878">
              <w:rPr>
                <w:lang w:val="en-US"/>
              </w:rPr>
              <w:t xml:space="preserve"> is equivalent to </w:t>
            </w:r>
            <w:r w:rsidRPr="00980878">
              <w:rPr>
                <w:iCs/>
                <w:lang w:val="en-US"/>
              </w:rPr>
              <w:t>x</w:t>
            </w:r>
            <w:r w:rsidRPr="00980878">
              <w:rPr>
                <w:lang w:val="en-US"/>
              </w:rPr>
              <w:t xml:space="preserve"> </w:t>
            </w:r>
            <w:r w:rsidRPr="00980878">
              <w:rPr>
                <w:rFonts w:ascii="Symbol" w:hAnsi="Symbol" w:cs="Symbol"/>
                <w:lang w:val="en-US"/>
              </w:rPr>
              <w:t></w:t>
            </w:r>
            <w:r w:rsidRPr="00980878">
              <w:rPr>
                <w:lang w:val="en-US"/>
              </w:rPr>
              <w:t xml:space="preserve"> </w:t>
            </w:r>
            <w:r w:rsidRPr="00980878">
              <w:rPr>
                <w:iCs/>
                <w:lang w:val="en-US"/>
              </w:rPr>
              <w:t>x</w:t>
            </w:r>
            <w:r w:rsidRPr="00980878">
              <w:rPr>
                <w:lang w:val="en-US"/>
              </w:rPr>
              <w:t xml:space="preserve"> </w:t>
            </w:r>
            <w:r w:rsidRPr="00980878">
              <w:rPr>
                <w:rFonts w:ascii="Symbol" w:hAnsi="Symbol" w:cs="Symbol"/>
                <w:lang w:val="en-US"/>
              </w:rPr>
              <w:t></w:t>
            </w:r>
            <w:r w:rsidRPr="00980878">
              <w:rPr>
                <w:lang w:val="en-US"/>
              </w:rPr>
              <w:t xml:space="preserve"> 1; when used in an array index, evaluates to the value of the variable prior to the increment operation.</w:t>
            </w:r>
          </w:p>
        </w:tc>
      </w:tr>
      <w:tr w:rsidR="007B6848" w:rsidRPr="008467B6" w14:paraId="4BCA4DFC" w14:textId="77777777" w:rsidTr="004B3F76">
        <w:tc>
          <w:tcPr>
            <w:tcW w:w="990" w:type="dxa"/>
            <w:vAlign w:val="center"/>
          </w:tcPr>
          <w:p w14:paraId="6E93B587"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 −</w:t>
            </w:r>
          </w:p>
        </w:tc>
        <w:tc>
          <w:tcPr>
            <w:tcW w:w="8634" w:type="dxa"/>
            <w:vAlign w:val="center"/>
          </w:tcPr>
          <w:p w14:paraId="33A7EA0A" w14:textId="77777777" w:rsidR="007B6848" w:rsidRPr="00980878" w:rsidRDefault="007B6848" w:rsidP="004B3F76">
            <w:pPr>
              <w:pStyle w:val="enumlev1"/>
              <w:tabs>
                <w:tab w:val="clear" w:pos="794"/>
                <w:tab w:val="clear" w:pos="1191"/>
                <w:tab w:val="left" w:pos="1418"/>
              </w:tabs>
              <w:spacing w:before="0"/>
              <w:ind w:left="0" w:firstLine="0"/>
              <w:rPr>
                <w:lang w:val="en-US"/>
              </w:rPr>
            </w:pPr>
            <w:r w:rsidRPr="00980878">
              <w:rPr>
                <w:lang w:val="en-US"/>
              </w:rPr>
              <w:t xml:space="preserve">Decrement, i.e., </w:t>
            </w:r>
            <w:r w:rsidRPr="00980878">
              <w:rPr>
                <w:iCs/>
                <w:lang w:val="en-US"/>
              </w:rPr>
              <w:t>x</w:t>
            </w:r>
            <w:r w:rsidRPr="00980878">
              <w:rPr>
                <w:lang w:val="en-US"/>
              </w:rPr>
              <w:t xml:space="preserve">− − is equivalent to </w:t>
            </w:r>
            <w:r w:rsidRPr="00980878">
              <w:rPr>
                <w:iCs/>
                <w:lang w:val="en-US"/>
              </w:rPr>
              <w:t>x</w:t>
            </w:r>
            <w:r w:rsidRPr="00980878">
              <w:rPr>
                <w:lang w:val="en-US"/>
              </w:rPr>
              <w:t xml:space="preserve"> </w:t>
            </w:r>
            <w:r w:rsidRPr="00980878">
              <w:rPr>
                <w:rFonts w:ascii="Symbol" w:hAnsi="Symbol" w:cs="Symbol"/>
                <w:lang w:val="en-US"/>
              </w:rPr>
              <w:t></w:t>
            </w:r>
            <w:r w:rsidRPr="00980878">
              <w:rPr>
                <w:lang w:val="en-US"/>
              </w:rPr>
              <w:t xml:space="preserve"> </w:t>
            </w:r>
            <w:r w:rsidRPr="00980878">
              <w:rPr>
                <w:iCs/>
                <w:lang w:val="en-US"/>
              </w:rPr>
              <w:t>x</w:t>
            </w:r>
            <w:r w:rsidRPr="00980878">
              <w:rPr>
                <w:lang w:val="en-US"/>
              </w:rPr>
              <w:t xml:space="preserve"> − 1; when used in an array index, evaluates to the value of the variable prior to the decrement operation.</w:t>
            </w:r>
          </w:p>
        </w:tc>
      </w:tr>
      <w:tr w:rsidR="007B6848" w:rsidRPr="008467B6" w14:paraId="27AA2878" w14:textId="77777777" w:rsidTr="004B3F76">
        <w:tc>
          <w:tcPr>
            <w:tcW w:w="990" w:type="dxa"/>
            <w:vAlign w:val="center"/>
          </w:tcPr>
          <w:p w14:paraId="2B1E99E9"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w:t>
            </w:r>
          </w:p>
        </w:tc>
        <w:tc>
          <w:tcPr>
            <w:tcW w:w="8634" w:type="dxa"/>
            <w:vAlign w:val="center"/>
          </w:tcPr>
          <w:p w14:paraId="50033F8F"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outlineLvl w:val="8"/>
              <w:rPr>
                <w:lang w:val="en-US"/>
              </w:rPr>
            </w:pPr>
            <w:r w:rsidRPr="00980878">
              <w:rPr>
                <w:lang w:val="en-US"/>
              </w:rPr>
              <w:t>Increment by amount specified, i.e., x += 3 is equivalent to x = x + 3, and x += (−3) is equivalent to x = x + (−3).</w:t>
            </w:r>
          </w:p>
        </w:tc>
      </w:tr>
      <w:tr w:rsidR="007B6848" w:rsidRPr="008467B6" w14:paraId="642E2B42" w14:textId="77777777" w:rsidTr="004B3F76">
        <w:tc>
          <w:tcPr>
            <w:tcW w:w="990" w:type="dxa"/>
            <w:vAlign w:val="center"/>
          </w:tcPr>
          <w:p w14:paraId="45DF3D10"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jc w:val="left"/>
              <w:outlineLvl w:val="8"/>
              <w:rPr>
                <w:lang w:val="en-US"/>
              </w:rPr>
            </w:pPr>
            <w:r w:rsidRPr="00980878">
              <w:rPr>
                <w:lang w:val="en-US"/>
              </w:rPr>
              <w:t>−=</w:t>
            </w:r>
          </w:p>
        </w:tc>
        <w:tc>
          <w:tcPr>
            <w:tcW w:w="8634" w:type="dxa"/>
            <w:vAlign w:val="center"/>
          </w:tcPr>
          <w:p w14:paraId="203674DE" w14:textId="77777777" w:rsidR="007B6848" w:rsidRPr="00980878" w:rsidRDefault="007B6848" w:rsidP="004B3F76">
            <w:pPr>
              <w:pStyle w:val="enumlev1"/>
              <w:keepNext/>
              <w:tabs>
                <w:tab w:val="clear" w:pos="794"/>
                <w:tab w:val="clear" w:pos="1191"/>
                <w:tab w:val="left" w:pos="1418"/>
                <w:tab w:val="left" w:pos="1800"/>
                <w:tab w:val="left" w:pos="2160"/>
                <w:tab w:val="left" w:pos="2520"/>
                <w:tab w:val="left" w:pos="2880"/>
              </w:tabs>
              <w:spacing w:before="0" w:after="60"/>
              <w:ind w:left="0" w:firstLine="0"/>
              <w:outlineLvl w:val="8"/>
              <w:rPr>
                <w:lang w:val="en-US"/>
              </w:rPr>
            </w:pPr>
            <w:r w:rsidRPr="00980878">
              <w:rPr>
                <w:lang w:val="en-US"/>
              </w:rPr>
              <w:t>Decrement by amount specified, i.e., x −= 3 is equivalent to x = x − 3, and x −= (−3) is equivalent to x = x − (−3).</w:t>
            </w:r>
          </w:p>
        </w:tc>
      </w:tr>
    </w:tbl>
    <w:p w14:paraId="5A3E6F2C" w14:textId="77777777" w:rsidR="007B6848" w:rsidRPr="008467B6" w:rsidRDefault="007B6848" w:rsidP="007B6848">
      <w:pPr>
        <w:pStyle w:val="Heading2"/>
      </w:pPr>
      <w:bookmarkStart w:id="24" w:name="_Toc467226086"/>
      <w:r w:rsidRPr="008467B6">
        <w:t>Mathematical functions</w:t>
      </w:r>
      <w:bookmarkEnd w:id="24"/>
    </w:p>
    <w:p w14:paraId="283BCFEA" w14:textId="77777777" w:rsidR="007B6848" w:rsidRPr="007E6EDF" w:rsidRDefault="007B6848" w:rsidP="007B6848">
      <w:pPr>
        <w:pStyle w:val="enumlev1"/>
        <w:tabs>
          <w:tab w:val="clear" w:pos="794"/>
          <w:tab w:val="clear" w:pos="1191"/>
          <w:tab w:val="left" w:pos="1418"/>
        </w:tabs>
        <w:ind w:left="1418" w:hanging="851"/>
        <w:rPr>
          <w:lang w:val="en-US"/>
        </w:rPr>
      </w:pPr>
      <m:oMath>
        <m:r>
          <m:rPr>
            <m:sty m:val="p"/>
          </m:rPr>
          <w:rPr>
            <w:rFonts w:ascii="Cambria Math" w:hAnsi="Cambria Math"/>
            <w:lang w:val="en-US"/>
          </w:rPr>
          <m:t>Abs</m:t>
        </m:r>
        <m:d>
          <m:dPr>
            <m:ctrlPr>
              <w:rPr>
                <w:rFonts w:ascii="Cambria Math" w:hAnsi="Cambria Math"/>
                <w:lang w:val="en-US"/>
              </w:rPr>
            </m:ctrlPr>
          </m:dPr>
          <m:e>
            <m:r>
              <m:rPr>
                <m:sty m:val="p"/>
              </m:rPr>
              <w:rPr>
                <w:rFonts w:ascii="Cambria Math" w:hAnsi="Cambria Math"/>
                <w:lang w:val="en-US"/>
              </w:rPr>
              <m:t>x</m:t>
            </m:r>
          </m:e>
        </m:d>
        <m:r>
          <m:rPr>
            <m:sty m:val="p"/>
          </m:rPr>
          <w:rPr>
            <w:rFonts w:ascii="Cambria Math" w:hAnsi="Cambria Math"/>
            <w:lang w:val="en-US"/>
          </w:rPr>
          <m:t>=</m:t>
        </m:r>
        <m:d>
          <m:dPr>
            <m:begChr m:val="{"/>
            <m:endChr m:val=""/>
            <m:ctrlPr>
              <w:rPr>
                <w:rFonts w:ascii="Cambria Math" w:hAnsi="Cambria Math"/>
                <w:i/>
                <w:lang w:val="en-US"/>
              </w:rPr>
            </m:ctrlPr>
          </m:dPr>
          <m:e>
            <m:m>
              <m:mPr>
                <m:cGp m:val="16"/>
                <m:mcs>
                  <m:mc>
                    <m:mcPr>
                      <m:count m:val="1"/>
                      <m:mcJc m:val="right"/>
                    </m:mcPr>
                  </m:mc>
                  <m:mc>
                    <m:mcPr>
                      <m:count m:val="1"/>
                      <m:mcJc m:val="center"/>
                    </m:mcPr>
                  </m:mc>
                  <m:mc>
                    <m:mcPr>
                      <m:count m:val="1"/>
                      <m:mcJc m:val="left"/>
                    </m:mcPr>
                  </m:mc>
                </m:mcs>
                <m:ctrlPr>
                  <w:rPr>
                    <w:rFonts w:ascii="Cambria Math" w:hAnsi="Cambria Math"/>
                    <w:lang w:val="en-US"/>
                  </w:rPr>
                </m:ctrlPr>
              </m:mPr>
              <m:mr>
                <m:e>
                  <m:r>
                    <m:rPr>
                      <m:sty m:val="p"/>
                    </m:rPr>
                    <w:rPr>
                      <w:rFonts w:ascii="Cambria Math" w:hAnsi="Cambria Math"/>
                      <w:lang w:val="en-US"/>
                    </w:rPr>
                    <m:t>x</m:t>
                  </m:r>
                </m:e>
                <m:e>
                  <m:r>
                    <m:rPr>
                      <m:sty m:val="p"/>
                    </m:rPr>
                    <w:rPr>
                      <w:rFonts w:ascii="Cambria Math" w:hAnsi="Cambria Math"/>
                      <w:lang w:val="en-US"/>
                    </w:rPr>
                    <m:t>;</m:t>
                  </m:r>
                </m:e>
                <m:e>
                  <m:r>
                    <m:rPr>
                      <m:sty m:val="p"/>
                    </m:rPr>
                    <w:rPr>
                      <w:rFonts w:ascii="Cambria Math" w:hAnsi="Cambria Math"/>
                      <w:lang w:val="en-US"/>
                    </w:rPr>
                    <m:t>x≥0</m:t>
                  </m:r>
                </m:e>
              </m:mr>
              <m:mr>
                <m:e>
                  <m:r>
                    <m:rPr>
                      <m:sty m:val="p"/>
                    </m:rPr>
                    <w:rPr>
                      <w:rFonts w:ascii="Cambria Math" w:hAnsi="Cambria Math"/>
                      <w:lang w:val="en-US"/>
                    </w:rPr>
                    <m:t>-x</m:t>
                  </m:r>
                </m:e>
                <m:e>
                  <m:r>
                    <m:rPr>
                      <m:sty m:val="p"/>
                    </m:rPr>
                    <w:rPr>
                      <w:rFonts w:ascii="Cambria Math" w:hAnsi="Cambria Math"/>
                      <w:lang w:val="en-US"/>
                    </w:rPr>
                    <m:t>;</m:t>
                  </m:r>
                </m:e>
                <m:e>
                  <m:r>
                    <m:rPr>
                      <m:sty m:val="p"/>
                    </m:rPr>
                    <w:rPr>
                      <w:rFonts w:ascii="Cambria Math" w:hAnsi="Cambria Math"/>
                      <w:lang w:val="en-US"/>
                    </w:rPr>
                    <m:t>x&lt;0</m:t>
                  </m:r>
                </m:e>
              </m:mr>
            </m:m>
          </m:e>
        </m:d>
      </m:oMath>
      <w:r>
        <w:rPr>
          <w:lang w:val="en-US"/>
        </w:rPr>
        <w:t xml:space="preserve"> </w:t>
      </w:r>
    </w:p>
    <w:p w14:paraId="19A41130" w14:textId="77777777" w:rsidR="007B6848" w:rsidRPr="007E6EDF" w:rsidRDefault="007B6848" w:rsidP="007B6848">
      <w:pPr>
        <w:pStyle w:val="Equation"/>
        <w:tabs>
          <w:tab w:val="clear" w:pos="794"/>
          <w:tab w:val="clear" w:pos="1588"/>
          <w:tab w:val="left" w:pos="1418"/>
        </w:tabs>
        <w:ind w:left="1417" w:hanging="850"/>
        <w:rPr>
          <w:lang w:val="en-US"/>
        </w:rPr>
      </w:pPr>
      <m:oMath>
        <m:r>
          <m:rPr>
            <m:sty m:val="p"/>
          </m:rPr>
          <w:rPr>
            <w:rFonts w:ascii="Cambria Math" w:hAnsi="Cambria Math"/>
            <w:lang w:val="en-US"/>
          </w:rPr>
          <m:t xml:space="preserve">Clip3( x, y, z ) = </m:t>
        </m:r>
        <m:d>
          <m:dPr>
            <m:begChr m:val="{"/>
            <m:endChr m:val=""/>
            <m:ctrlPr>
              <w:rPr>
                <w:rFonts w:ascii="Cambria Math" w:hAnsi="Cambria Math"/>
                <w:lang w:val="en-US"/>
              </w:rPr>
            </m:ctrlPr>
          </m:dPr>
          <m:e>
            <m:m>
              <m:mPr>
                <m:mcs>
                  <m:mc>
                    <m:mcPr>
                      <m:count m:val="2"/>
                      <m:mcJc m:val="center"/>
                    </m:mcPr>
                  </m:mc>
                  <m:mc>
                    <m:mcPr>
                      <m:count m:val="1"/>
                      <m:mcJc m:val="left"/>
                    </m:mcPr>
                  </m:mc>
                </m:mcs>
                <m:ctrlPr>
                  <w:rPr>
                    <w:rFonts w:ascii="Cambria Math" w:hAnsi="Cambria Math"/>
                    <w:lang w:val="en-US"/>
                  </w:rPr>
                </m:ctrlPr>
              </m:mPr>
              <m:mr>
                <m:e>
                  <m:r>
                    <m:rPr>
                      <m:sty m:val="p"/>
                    </m:rPr>
                    <w:rPr>
                      <w:rFonts w:ascii="Cambria Math" w:hAnsi="Cambria Math"/>
                      <w:lang w:val="en-US"/>
                    </w:rPr>
                    <m:t>x</m:t>
                  </m:r>
                </m:e>
                <m:e>
                  <m:r>
                    <m:rPr>
                      <m:sty m:val="p"/>
                    </m:rPr>
                    <w:rPr>
                      <w:rFonts w:ascii="Cambria Math" w:hAnsi="Cambria Math"/>
                      <w:lang w:val="en-US"/>
                    </w:rPr>
                    <m:t>;</m:t>
                  </m:r>
                </m:e>
                <m:e>
                  <m:r>
                    <m:rPr>
                      <m:sty m:val="p"/>
                    </m:rPr>
                    <w:rPr>
                      <w:rFonts w:ascii="Cambria Math" w:hAnsi="Cambria Math"/>
                      <w:lang w:val="en-US"/>
                    </w:rPr>
                    <m:t>z&lt;x</m:t>
                  </m:r>
                </m:e>
              </m:mr>
              <m:mr>
                <m:e>
                  <m:r>
                    <m:rPr>
                      <m:sty m:val="p"/>
                    </m:rPr>
                    <w:rPr>
                      <w:rFonts w:ascii="Cambria Math" w:hAnsi="Cambria Math"/>
                      <w:lang w:val="en-US"/>
                    </w:rPr>
                    <m:t>y</m:t>
                  </m:r>
                </m:e>
                <m:e>
                  <m:r>
                    <m:rPr>
                      <m:sty m:val="p"/>
                    </m:rPr>
                    <w:rPr>
                      <w:rFonts w:ascii="Cambria Math" w:hAnsi="Cambria Math"/>
                      <w:lang w:val="en-US"/>
                    </w:rPr>
                    <m:t>;</m:t>
                  </m:r>
                </m:e>
                <m:e>
                  <m:r>
                    <m:rPr>
                      <m:sty m:val="p"/>
                    </m:rPr>
                    <w:rPr>
                      <w:rFonts w:ascii="Cambria Math" w:hAnsi="Cambria Math"/>
                      <w:lang w:val="en-US"/>
                    </w:rPr>
                    <m:t>z&gt;y</m:t>
                  </m:r>
                </m:e>
              </m:mr>
              <m:mr>
                <m:e>
                  <m:r>
                    <m:rPr>
                      <m:sty m:val="p"/>
                    </m:rPr>
                    <w:rPr>
                      <w:rFonts w:ascii="Cambria Math" w:hAnsi="Cambria Math"/>
                      <w:lang w:val="en-US"/>
                    </w:rPr>
                    <m:t>z</m:t>
                  </m:r>
                </m:e>
                <m:e>
                  <m:r>
                    <m:rPr>
                      <m:sty m:val="p"/>
                    </m:rPr>
                    <w:rPr>
                      <w:rFonts w:ascii="Cambria Math" w:hAnsi="Cambria Math"/>
                      <w:lang w:val="en-US"/>
                    </w:rPr>
                    <m:t>;</m:t>
                  </m:r>
                </m:e>
                <m:e>
                  <m:r>
                    <m:rPr>
                      <m:sty m:val="p"/>
                    </m:rPr>
                    <w:rPr>
                      <w:rFonts w:ascii="Cambria Math" w:hAnsi="Cambria Math"/>
                      <w:lang w:val="en-US"/>
                    </w:rPr>
                    <m:t>otherwise</m:t>
                  </m:r>
                </m:e>
              </m:mr>
            </m:m>
          </m:e>
        </m:d>
      </m:oMath>
      <w:r>
        <w:rPr>
          <w:lang w:val="en-US"/>
        </w:rPr>
        <w:t xml:space="preserve"> </w:t>
      </w:r>
    </w:p>
    <w:p w14:paraId="4634155C" w14:textId="77777777" w:rsidR="007B6848" w:rsidRDefault="007B6848" w:rsidP="007B6848">
      <w:pPr>
        <w:pStyle w:val="Equation"/>
        <w:tabs>
          <w:tab w:val="clear" w:pos="794"/>
          <w:tab w:val="clear" w:pos="1588"/>
          <w:tab w:val="left" w:pos="1418"/>
        </w:tabs>
        <w:ind w:left="1417" w:hanging="850"/>
        <w:rPr>
          <w:lang w:val="en-US"/>
        </w:rPr>
      </w:pPr>
      <w:r>
        <w:rPr>
          <w:lang w:val="en-US"/>
        </w:rPr>
        <w:t>EOTF</w:t>
      </w:r>
      <w:r w:rsidRPr="004B3F76">
        <w:rPr>
          <w:vertAlign w:val="subscript"/>
          <w:lang w:val="en-US"/>
        </w:rPr>
        <w:t>PQ</w:t>
      </w:r>
      <w:r w:rsidRPr="00980878">
        <w:rPr>
          <w:lang w:val="en-US"/>
        </w:rPr>
        <w:t xml:space="preserve">( </w:t>
      </w:r>
      <w:r w:rsidRPr="00980878">
        <w:rPr>
          <w:iCs/>
          <w:lang w:val="en-US"/>
        </w:rPr>
        <w:t>x</w:t>
      </w:r>
      <w:r>
        <w:rPr>
          <w:lang w:val="en-US"/>
        </w:rPr>
        <w:t xml:space="preserve"> ) </w:t>
      </w:r>
      <w:r>
        <w:rPr>
          <w:lang w:val="en-CA"/>
        </w:rPr>
        <w:t xml:space="preserve">the </w:t>
      </w:r>
      <w:r>
        <w:t xml:space="preserve">PQ </w:t>
      </w:r>
      <w:r w:rsidRPr="008467B6">
        <w:t>EOTF</w:t>
      </w:r>
      <w:r>
        <w:t xml:space="preserve"> </w:t>
      </w:r>
      <w:r>
        <w:rPr>
          <w:lang w:val="en-CA"/>
        </w:rPr>
        <w:t>used to convert a non-linear light PQ representation to a linear light representation.</w:t>
      </w:r>
    </w:p>
    <w:p w14:paraId="572449BB" w14:textId="77777777" w:rsidR="007B6848" w:rsidRDefault="007B6848" w:rsidP="007B6848">
      <w:pPr>
        <w:pStyle w:val="Equation"/>
        <w:tabs>
          <w:tab w:val="clear" w:pos="794"/>
          <w:tab w:val="clear" w:pos="1588"/>
          <w:tab w:val="left" w:pos="1418"/>
        </w:tabs>
        <w:ind w:left="1417" w:hanging="850"/>
        <w:rPr>
          <w:lang w:val="en-US"/>
        </w:rPr>
      </w:pPr>
      <w:r w:rsidRPr="00980878">
        <w:rPr>
          <w:lang w:val="en-US"/>
        </w:rPr>
        <w:t xml:space="preserve">Floor( </w:t>
      </w:r>
      <w:r w:rsidRPr="00980878">
        <w:rPr>
          <w:iCs/>
          <w:lang w:val="en-US"/>
        </w:rPr>
        <w:t>x</w:t>
      </w:r>
      <w:r w:rsidRPr="00980878">
        <w:rPr>
          <w:lang w:val="en-US"/>
        </w:rPr>
        <w:t xml:space="preserve"> )</w:t>
      </w:r>
      <w:r w:rsidRPr="00980878">
        <w:rPr>
          <w:lang w:val="en-US"/>
        </w:rPr>
        <w:tab/>
        <w:t xml:space="preserve">the largest integer less than or equal to </w:t>
      </w:r>
      <w:r w:rsidRPr="00980878">
        <w:rPr>
          <w:iCs/>
          <w:lang w:val="en-US"/>
        </w:rPr>
        <w:t>x</w:t>
      </w:r>
      <w:r w:rsidRPr="00980878">
        <w:rPr>
          <w:lang w:val="en-US"/>
        </w:rPr>
        <w:t>.</w:t>
      </w:r>
    </w:p>
    <w:p w14:paraId="262D6693" w14:textId="77777777" w:rsidR="007B6848" w:rsidRDefault="007B6848" w:rsidP="007B6848">
      <w:pPr>
        <w:pStyle w:val="Equation"/>
        <w:tabs>
          <w:tab w:val="clear" w:pos="794"/>
          <w:tab w:val="clear" w:pos="1588"/>
          <w:tab w:val="left" w:pos="1418"/>
        </w:tabs>
        <w:ind w:left="1417" w:hanging="850"/>
        <w:rPr>
          <w:lang w:val="en-US"/>
        </w:rPr>
      </w:pPr>
      <w:r>
        <w:rPr>
          <w:lang w:val="en-US"/>
        </w:rPr>
        <w:t>iEOTF</w:t>
      </w:r>
      <w:r w:rsidRPr="00AC254C">
        <w:rPr>
          <w:vertAlign w:val="subscript"/>
          <w:lang w:val="en-US"/>
        </w:rPr>
        <w:t>PQ</w:t>
      </w:r>
      <w:r w:rsidRPr="00980878">
        <w:rPr>
          <w:lang w:val="en-US"/>
        </w:rPr>
        <w:t xml:space="preserve">( </w:t>
      </w:r>
      <w:r w:rsidRPr="00980878">
        <w:rPr>
          <w:iCs/>
          <w:lang w:val="en-US"/>
        </w:rPr>
        <w:t>x</w:t>
      </w:r>
      <w:r>
        <w:rPr>
          <w:lang w:val="en-US"/>
        </w:rPr>
        <w:t xml:space="preserve"> ) </w:t>
      </w:r>
      <w:r>
        <w:rPr>
          <w:lang w:val="en-CA"/>
        </w:rPr>
        <w:t xml:space="preserve">the inverse </w:t>
      </w:r>
      <w:r>
        <w:t xml:space="preserve">PQ </w:t>
      </w:r>
      <w:r w:rsidRPr="008467B6">
        <w:t>EOTF</w:t>
      </w:r>
      <w:r>
        <w:t xml:space="preserve"> </w:t>
      </w:r>
      <w:r>
        <w:rPr>
          <w:lang w:val="en-CA"/>
        </w:rPr>
        <w:t>used to convert a linear light representation to a non-linear light representation.</w:t>
      </w:r>
    </w:p>
    <w:p w14:paraId="36C4CE80" w14:textId="77777777" w:rsidR="007B6848" w:rsidRPr="00980878" w:rsidRDefault="007B6848" w:rsidP="007B6848">
      <w:pPr>
        <w:pStyle w:val="Equation"/>
        <w:tabs>
          <w:tab w:val="clear" w:pos="794"/>
          <w:tab w:val="clear" w:pos="1588"/>
          <w:tab w:val="left" w:pos="1418"/>
        </w:tabs>
        <w:ind w:left="1417" w:hanging="850"/>
        <w:rPr>
          <w:lang w:val="en-US"/>
        </w:rPr>
      </w:pPr>
      <w:r w:rsidRPr="00980878">
        <w:rPr>
          <w:lang w:val="en-US"/>
        </w:rPr>
        <w:t>Round( x ) = Sign( x ) * Floor( Abs( x ) + 0.5 )</w:t>
      </w:r>
    </w:p>
    <w:p w14:paraId="3732C7B6" w14:textId="77777777" w:rsidR="007B6848" w:rsidRDefault="007B6848" w:rsidP="007B6848">
      <w:pPr>
        <w:pStyle w:val="Equation"/>
        <w:tabs>
          <w:tab w:val="clear" w:pos="794"/>
          <w:tab w:val="clear" w:pos="1588"/>
          <w:tab w:val="left" w:pos="1418"/>
        </w:tabs>
        <w:ind w:left="1417" w:hanging="850"/>
        <w:rPr>
          <w:lang w:val="en-US"/>
        </w:rPr>
      </w:pPr>
      <m:oMathPara>
        <m:oMath>
          <m:r>
            <m:rPr>
              <m:sty m:val="p"/>
            </m:rPr>
            <w:rPr>
              <w:rFonts w:ascii="Cambria Math" w:hAnsi="Cambria Math"/>
              <w:lang w:val="en-US"/>
            </w:rPr>
            <m:t>Sign( x ) =</m:t>
          </m:r>
          <m:d>
            <m:dPr>
              <m:begChr m:val="{"/>
              <m:endChr m:val=""/>
              <m:ctrlPr>
                <w:rPr>
                  <w:rFonts w:ascii="Cambria Math" w:hAnsi="Cambria Math"/>
                  <w:lang w:val="en-US"/>
                </w:rPr>
              </m:ctrlPr>
            </m:dPr>
            <m:e>
              <m:m>
                <m:mPr>
                  <m:mcs>
                    <m:mc>
                      <m:mcPr>
                        <m:count m:val="1"/>
                        <m:mcJc m:val="right"/>
                      </m:mcPr>
                    </m:mc>
                    <m:mc>
                      <m:mcPr>
                        <m:count m:val="1"/>
                        <m:mcJc m:val="center"/>
                      </m:mcPr>
                    </m:mc>
                    <m:mc>
                      <m:mcPr>
                        <m:count m:val="1"/>
                        <m:mcJc m:val="left"/>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m:t>
                    </m:r>
                  </m:e>
                  <m:e>
                    <m:r>
                      <m:rPr>
                        <m:sty m:val="p"/>
                      </m:rPr>
                      <w:rPr>
                        <w:rFonts w:ascii="Cambria Math" w:hAnsi="Cambria Math"/>
                        <w:lang w:val="en-US"/>
                      </w:rPr>
                      <m:t>x&gt;0</m:t>
                    </m:r>
                  </m:e>
                </m:mr>
                <m:mr>
                  <m:e>
                    <m:r>
                      <m:rPr>
                        <m:sty m:val="p"/>
                      </m:rPr>
                      <w:rPr>
                        <w:rFonts w:ascii="Cambria Math" w:hAnsi="Cambria Math"/>
                        <w:lang w:val="en-US"/>
                      </w:rPr>
                      <m:t>0</m:t>
                    </m:r>
                  </m:e>
                  <m:e>
                    <m:r>
                      <m:rPr>
                        <m:sty m:val="p"/>
                      </m:rPr>
                      <w:rPr>
                        <w:rFonts w:ascii="Cambria Math" w:hAnsi="Cambria Math"/>
                        <w:lang w:val="en-US"/>
                      </w:rPr>
                      <m:t>;</m:t>
                    </m:r>
                  </m:e>
                  <m:e>
                    <m:r>
                      <m:rPr>
                        <m:sty m:val="p"/>
                      </m:rPr>
                      <w:rPr>
                        <w:rFonts w:ascii="Cambria Math" w:hAnsi="Cambria Math"/>
                        <w:lang w:val="en-US"/>
                      </w:rPr>
                      <m:t>x=0</m:t>
                    </m:r>
                  </m:e>
                </m:mr>
                <m:mr>
                  <m:e>
                    <m:r>
                      <m:rPr>
                        <m:sty m:val="p"/>
                      </m:rPr>
                      <w:rPr>
                        <w:rFonts w:ascii="Cambria Math" w:hAnsi="Cambria Math"/>
                        <w:lang w:val="en-US"/>
                      </w:rPr>
                      <m:t>-1</m:t>
                    </m:r>
                  </m:e>
                  <m:e>
                    <m:r>
                      <m:rPr>
                        <m:sty m:val="p"/>
                      </m:rPr>
                      <w:rPr>
                        <w:rFonts w:ascii="Cambria Math" w:hAnsi="Cambria Math"/>
                        <w:lang w:val="en-US"/>
                      </w:rPr>
                      <m:t>;</m:t>
                    </m:r>
                  </m:e>
                  <m:e>
                    <m:r>
                      <m:rPr>
                        <m:sty m:val="p"/>
                      </m:rPr>
                      <w:rPr>
                        <w:rFonts w:ascii="Cambria Math" w:hAnsi="Cambria Math"/>
                        <w:lang w:val="en-US"/>
                      </w:rPr>
                      <m:t>x&lt;0</m:t>
                    </m:r>
                  </m:e>
                </m:mr>
              </m:m>
            </m:e>
          </m:d>
        </m:oMath>
      </m:oMathPara>
    </w:p>
    <w:p w14:paraId="32246856" w14:textId="77777777" w:rsidR="007B6848" w:rsidRDefault="007B6848" w:rsidP="007B6848">
      <w:pPr>
        <w:pStyle w:val="Equation"/>
        <w:tabs>
          <w:tab w:val="clear" w:pos="794"/>
          <w:tab w:val="clear" w:pos="1588"/>
          <w:tab w:val="left" w:pos="1418"/>
        </w:tabs>
        <w:ind w:left="1417" w:hanging="850"/>
      </w:pPr>
      <w:r>
        <w:rPr>
          <w:lang w:val="en-US"/>
        </w:rPr>
        <w:t xml:space="preserve">Ln( x ) </w:t>
      </w:r>
      <w:r w:rsidRPr="001233EA">
        <w:t>the natural logarithm of x (the base-e logarithm, where e is natural logarithm base constant 2.718 281 828...)</w:t>
      </w:r>
      <w:r>
        <w:t>.</w:t>
      </w:r>
    </w:p>
    <w:p w14:paraId="39C36F34" w14:textId="77777777" w:rsidR="007B6848" w:rsidRDefault="007B6848" w:rsidP="007B6848">
      <w:pPr>
        <w:pStyle w:val="Equation"/>
        <w:tabs>
          <w:tab w:val="clear" w:pos="794"/>
          <w:tab w:val="clear" w:pos="1588"/>
          <w:tab w:val="left" w:pos="1418"/>
        </w:tabs>
        <w:ind w:left="1417" w:hanging="850"/>
        <w:rPr>
          <w:iCs/>
        </w:rPr>
      </w:pPr>
      <w:r w:rsidRPr="001233EA">
        <w:t xml:space="preserve">Log10( </w:t>
      </w:r>
      <w:r w:rsidRPr="001233EA">
        <w:rPr>
          <w:iCs/>
        </w:rPr>
        <w:t>x</w:t>
      </w:r>
      <w:r w:rsidRPr="001233EA">
        <w:t xml:space="preserve"> ) the base-10 logarithm of </w:t>
      </w:r>
      <w:r w:rsidRPr="001233EA">
        <w:rPr>
          <w:iCs/>
        </w:rPr>
        <w:t>x</w:t>
      </w:r>
      <w:r>
        <w:rPr>
          <w:iCs/>
        </w:rPr>
        <w:t>.</w:t>
      </w:r>
    </w:p>
    <w:p w14:paraId="198DEE11" w14:textId="77777777" w:rsidR="007B6848" w:rsidRDefault="007B6848" w:rsidP="007B6848">
      <w:pPr>
        <w:pStyle w:val="Equation"/>
        <w:tabs>
          <w:tab w:val="clear" w:pos="794"/>
          <w:tab w:val="clear" w:pos="1588"/>
          <w:tab w:val="left" w:pos="1418"/>
        </w:tabs>
        <w:ind w:left="1417" w:hanging="850"/>
        <w:rPr>
          <w:lang w:val="en-US"/>
        </w:rPr>
      </w:pPr>
      <w:r>
        <w:rPr>
          <w:lang w:val="en-US"/>
        </w:rPr>
        <w:t>OETF</w:t>
      </w:r>
      <w:r>
        <w:rPr>
          <w:vertAlign w:val="subscript"/>
          <w:lang w:val="en-US"/>
        </w:rPr>
        <w:t>HLG</w:t>
      </w:r>
      <w:r w:rsidRPr="00980878">
        <w:rPr>
          <w:lang w:val="en-US"/>
        </w:rPr>
        <w:t xml:space="preserve">( </w:t>
      </w:r>
      <w:r w:rsidRPr="00980878">
        <w:rPr>
          <w:iCs/>
          <w:lang w:val="en-US"/>
        </w:rPr>
        <w:t>x</w:t>
      </w:r>
      <w:r>
        <w:rPr>
          <w:lang w:val="en-US"/>
        </w:rPr>
        <w:t xml:space="preserve"> ) </w:t>
      </w:r>
      <w:r>
        <w:rPr>
          <w:lang w:val="en-CA"/>
        </w:rPr>
        <w:t xml:space="preserve">the </w:t>
      </w:r>
      <w:r>
        <w:t xml:space="preserve">HLG OETF </w:t>
      </w:r>
      <w:r>
        <w:rPr>
          <w:lang w:val="en-CA"/>
        </w:rPr>
        <w:t>used to convert a linear light representation to a non-linear light representation.</w:t>
      </w:r>
    </w:p>
    <w:p w14:paraId="74F2C349" w14:textId="77777777" w:rsidR="007B6848" w:rsidRDefault="007B6848" w:rsidP="007B6848">
      <w:pPr>
        <w:pStyle w:val="Equation"/>
        <w:tabs>
          <w:tab w:val="clear" w:pos="794"/>
          <w:tab w:val="clear" w:pos="1588"/>
          <w:tab w:val="left" w:pos="1418"/>
        </w:tabs>
        <w:ind w:left="1417" w:hanging="850"/>
      </w:pPr>
      <w:r>
        <w:rPr>
          <w:iCs/>
        </w:rPr>
        <w:lastRenderedPageBreak/>
        <w:t xml:space="preserve">Sqrt( x ) = </w:t>
      </w:r>
      <m:oMath>
        <m:r>
          <w:rPr>
            <w:rFonts w:ascii="Cambria Math" w:hAnsi="Cambria Math"/>
          </w:rPr>
          <m:t>√x</m:t>
        </m:r>
      </m:oMath>
    </w:p>
    <w:p w14:paraId="203AC1CE" w14:textId="77777777" w:rsidR="007B6848" w:rsidRPr="008467B6" w:rsidRDefault="007B6848" w:rsidP="007B6848">
      <w:pPr>
        <w:pStyle w:val="Heading2"/>
      </w:pPr>
      <w:bookmarkStart w:id="25" w:name="_Toc467226087"/>
      <w:r w:rsidRPr="008467B6">
        <w:t>Order of operations</w:t>
      </w:r>
      <w:bookmarkEnd w:id="25"/>
    </w:p>
    <w:p w14:paraId="0929C019" w14:textId="77777777" w:rsidR="007B6848" w:rsidRPr="008467B6" w:rsidRDefault="007B6848" w:rsidP="007B6848">
      <w:pPr>
        <w:rPr>
          <w:rFonts w:eastAsia="Malgun Gothic"/>
        </w:rPr>
      </w:pPr>
      <w:r w:rsidRPr="008467B6">
        <w:t>When order of precedence in an expression is not indicated explicitly by use of parentheses, the following rules apply:</w:t>
      </w:r>
    </w:p>
    <w:p w14:paraId="21BB44C4" w14:textId="77777777" w:rsidR="007B6848" w:rsidRPr="008467B6" w:rsidRDefault="007B6848" w:rsidP="007B6848">
      <w:pPr>
        <w:spacing w:before="86"/>
        <w:ind w:left="397" w:hanging="397"/>
      </w:pPr>
      <w:r w:rsidRPr="008467B6">
        <w:t>–</w:t>
      </w:r>
      <w:r w:rsidRPr="008467B6">
        <w:tab/>
        <w:t>Operations of a higher precedence are evaluated before any operation of a lower precedence.</w:t>
      </w:r>
    </w:p>
    <w:p w14:paraId="2849EA32" w14:textId="77777777" w:rsidR="007B6848" w:rsidRPr="008467B6" w:rsidRDefault="007B6848" w:rsidP="007B6848">
      <w:pPr>
        <w:spacing w:before="86"/>
        <w:ind w:left="397" w:hanging="397"/>
      </w:pPr>
      <w:r w:rsidRPr="008467B6">
        <w:t>–</w:t>
      </w:r>
      <w:r w:rsidRPr="008467B6">
        <w:tab/>
        <w:t>Operations of the same precedence are evaluated sequentially from left to right.</w:t>
      </w:r>
    </w:p>
    <w:p w14:paraId="36AA5595" w14:textId="77777777" w:rsidR="007B6848" w:rsidRPr="008467B6" w:rsidRDefault="007B6848" w:rsidP="007B6848">
      <w:r w:rsidRPr="00275358">
        <w:fldChar w:fldCharType="begin"/>
      </w:r>
      <w:r w:rsidRPr="008467B6">
        <w:instrText xml:space="preserve"> REF _Ref215994896 \h  \* MERGEFORMAT </w:instrText>
      </w:r>
      <w:r w:rsidRPr="00275358">
        <w:fldChar w:fldCharType="separate"/>
      </w:r>
      <w:r w:rsidRPr="00980878">
        <w:rPr>
          <w:lang w:val="en-US"/>
        </w:rPr>
        <w:t>Table </w:t>
      </w:r>
      <w:r>
        <w:rPr>
          <w:lang w:val="en-US"/>
        </w:rPr>
        <w:t>5</w:t>
      </w:r>
      <w:r w:rsidRPr="00980878">
        <w:rPr>
          <w:lang w:val="en-US"/>
        </w:rPr>
        <w:noBreakHyphen/>
      </w:r>
      <w:r>
        <w:rPr>
          <w:lang w:val="en-US"/>
        </w:rPr>
        <w:t>1</w:t>
      </w:r>
      <w:r w:rsidRPr="00275358">
        <w:fldChar w:fldCharType="end"/>
      </w:r>
      <w:r w:rsidRPr="008467B6">
        <w:t xml:space="preserve"> specifies the precedence of operations from highest to lowest; a higher position in the table indicates a higher precedence.</w:t>
      </w:r>
    </w:p>
    <w:p w14:paraId="3FA211AA" w14:textId="77777777" w:rsidR="007B6848" w:rsidRPr="00980878" w:rsidRDefault="007B6848" w:rsidP="007B6848">
      <w:pPr>
        <w:pStyle w:val="Note1"/>
        <w:rPr>
          <w:lang w:val="en-US"/>
        </w:rPr>
      </w:pPr>
      <w:r w:rsidRPr="00980878">
        <w:rPr>
          <w:lang w:val="en-US"/>
        </w:rPr>
        <w:t>NOTE – For those operators that are also used in the C programming language, the order of precedence used in this document is the same as used in the C programming language.</w:t>
      </w:r>
    </w:p>
    <w:p w14:paraId="478C8D1C" w14:textId="77777777" w:rsidR="007B6848" w:rsidRPr="00980878" w:rsidRDefault="007B6848" w:rsidP="007B6848">
      <w:pPr>
        <w:pStyle w:val="Caption"/>
        <w:keepNext/>
        <w:rPr>
          <w:lang w:val="en-US"/>
        </w:rPr>
      </w:pPr>
      <w:r w:rsidRPr="00980878">
        <w:rPr>
          <w:lang w:val="en-US"/>
        </w:rPr>
        <w:t>Table </w:t>
      </w:r>
      <w:r>
        <w:rPr>
          <w:lang w:val="en-US"/>
        </w:rPr>
        <w:t>5</w:t>
      </w:r>
      <w:r w:rsidRPr="00980878">
        <w:rPr>
          <w:lang w:val="en-US"/>
        </w:rPr>
        <w:noBreakHyphen/>
      </w:r>
      <w:r w:rsidRPr="00980878">
        <w:rPr>
          <w:lang w:val="en-US"/>
        </w:rPr>
        <w:fldChar w:fldCharType="begin"/>
      </w:r>
      <w:r w:rsidRPr="00980878">
        <w:rPr>
          <w:lang w:val="en-US"/>
        </w:rPr>
        <w:instrText xml:space="preserve"> SEQ Table \* ARABIC \s 1 </w:instrText>
      </w:r>
      <w:r w:rsidRPr="00980878">
        <w:rPr>
          <w:lang w:val="en-US"/>
        </w:rPr>
        <w:fldChar w:fldCharType="separate"/>
      </w:r>
      <w:r>
        <w:rPr>
          <w:noProof/>
          <w:lang w:val="en-US"/>
        </w:rPr>
        <w:t>1</w:t>
      </w:r>
      <w:r w:rsidRPr="00980878">
        <w:rPr>
          <w:lang w:val="en-US"/>
        </w:rPr>
        <w:fldChar w:fldCharType="end"/>
      </w:r>
      <w:r w:rsidRPr="00980878">
        <w:rPr>
          <w:lang w:val="en-US"/>
        </w:rPr>
        <w:t xml:space="preserve"> – Operation precedence from highest (at top of table) to lowest (at bottom of table)</w:t>
      </w:r>
      <w:r>
        <w:rPr>
          <w:lang w:val="en-US"/>
        </w:rPr>
        <w:t>.</w:t>
      </w:r>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7B6848" w:rsidRPr="008467B6" w14:paraId="1D2C8DBF"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760E49A7" w14:textId="77777777" w:rsidR="007B6848" w:rsidRPr="008467B6" w:rsidRDefault="007B6848" w:rsidP="004B3F76">
            <w:pPr>
              <w:keepNext/>
              <w:keepLines/>
              <w:tabs>
                <w:tab w:val="center" w:pos="4320"/>
                <w:tab w:val="right" w:pos="8640"/>
              </w:tabs>
              <w:spacing w:before="60" w:after="60"/>
              <w:rPr>
                <w:b/>
              </w:rPr>
            </w:pPr>
            <w:r w:rsidRPr="008467B6">
              <w:rPr>
                <w:b/>
              </w:rPr>
              <w:t>Operations (with operands x, y, and z)</w:t>
            </w:r>
          </w:p>
        </w:tc>
      </w:tr>
      <w:tr w:rsidR="007B6848" w:rsidRPr="008467B6" w14:paraId="1C53593C"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51469873"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"x− −"</w:t>
            </w:r>
          </w:p>
        </w:tc>
      </w:tr>
      <w:tr w:rsidR="007B6848" w:rsidRPr="008467B6" w14:paraId="570E40FB"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44930406"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"−x" (as a unary prefix operator)</w:t>
            </w:r>
          </w:p>
        </w:tc>
      </w:tr>
      <w:tr w:rsidR="007B6848" w:rsidRPr="008467B6" w14:paraId="1AB3A4E3"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58DFBF1D"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w:t>
            </w:r>
            <w:r w:rsidRPr="008467B6">
              <w:rPr>
                <w:vertAlign w:val="superscript"/>
              </w:rPr>
              <w:t>y</w:t>
            </w:r>
            <w:r w:rsidRPr="008467B6">
              <w:t>"</w:t>
            </w:r>
          </w:p>
        </w:tc>
      </w:tr>
      <w:tr w:rsidR="007B6848" w:rsidRPr="008467B6" w14:paraId="5FAC549D"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78C95AC6" w14:textId="77777777" w:rsidR="007B6848" w:rsidRPr="008467B6" w:rsidRDefault="007B6848" w:rsidP="004B3F76">
            <w:pPr>
              <w:keepNext/>
              <w:keepLines/>
              <w:tabs>
                <w:tab w:val="center" w:pos="4320"/>
                <w:tab w:val="right" w:pos="8640"/>
              </w:tabs>
              <w:spacing w:before="60" w:after="60"/>
            </w:pPr>
            <w:r w:rsidRPr="008467B6">
              <w:t>"x * y", "x / y", "x </w:t>
            </w:r>
            <w:r w:rsidRPr="008467B6">
              <w:rPr>
                <w:rFonts w:ascii="Symbol" w:hAnsi="Symbol" w:cs="Symbol"/>
              </w:rPr>
              <w:t></w:t>
            </w:r>
            <w:r w:rsidRPr="008467B6">
              <w:t> y"</w:t>
            </w:r>
            <w:r w:rsidRPr="008467B6">
              <w:rPr>
                <w:rFonts w:ascii="Symbol" w:hAnsi="Symbol" w:cs="Symbol"/>
              </w:rPr>
              <w:t></w:t>
            </w:r>
            <w:r w:rsidRPr="008467B6">
              <w:rPr>
                <w:rFonts w:ascii="Symbol" w:hAnsi="Symbol" w:cs="Symbol"/>
              </w:rPr>
              <w:t></w:t>
            </w:r>
            <w:r w:rsidRPr="008467B6">
              <w:t>"</w:t>
            </w:r>
            <w:r w:rsidRPr="00275358">
              <w:rPr>
                <w:noProof/>
                <w:position w:val="-28"/>
                <w:lang w:val="en-US" w:eastAsia="en-US"/>
              </w:rPr>
              <w:drawing>
                <wp:inline distT="0" distB="0" distL="0" distR="0" wp14:anchorId="13D306AB" wp14:editId="21B39ADA">
                  <wp:extent cx="179705" cy="47371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9705" cy="473710"/>
                          </a:xfrm>
                          <a:prstGeom prst="rect">
                            <a:avLst/>
                          </a:prstGeom>
                          <a:noFill/>
                          <a:ln>
                            <a:noFill/>
                          </a:ln>
                        </pic:spPr>
                      </pic:pic>
                    </a:graphicData>
                  </a:graphic>
                </wp:inline>
              </w:drawing>
            </w:r>
            <w:r w:rsidRPr="008467B6">
              <w:t>", "x % y"</w:t>
            </w:r>
          </w:p>
        </w:tc>
      </w:tr>
      <w:tr w:rsidR="007B6848" w:rsidRPr="008467B6" w14:paraId="66190774"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71370072" w14:textId="77777777" w:rsidR="007B6848" w:rsidRPr="008467B6" w:rsidRDefault="007B6848" w:rsidP="004B3F76">
            <w:pPr>
              <w:keepNext/>
              <w:keepLines/>
              <w:tabs>
                <w:tab w:val="center" w:pos="4320"/>
                <w:tab w:val="right" w:pos="8640"/>
              </w:tabs>
              <w:spacing w:before="60" w:after="60"/>
            </w:pPr>
            <w:r w:rsidRPr="008467B6">
              <w:t>"x + y", "x − y" (as a two-argument operator), "</w:t>
            </w:r>
            <w:r w:rsidRPr="00275358">
              <w:rPr>
                <w:noProof/>
                <w:position w:val="-28"/>
                <w:lang w:val="en-US" w:eastAsia="en-US"/>
              </w:rPr>
              <mc:AlternateContent>
                <mc:Choice Requires="wps">
                  <w:drawing>
                    <wp:inline distT="0" distB="0" distL="0" distR="0" wp14:anchorId="024850AD" wp14:editId="2B4BA828">
                      <wp:extent cx="523240" cy="463550"/>
                      <wp:effectExtent l="0" t="0" r="10160" b="19050"/>
                      <wp:docPr id="28" name="Text Box 28"/>
                      <wp:cNvGraphicFramePr/>
                      <a:graphic xmlns:a="http://schemas.openxmlformats.org/drawingml/2006/main">
                        <a:graphicData uri="http://schemas.microsoft.com/office/word/2010/wordprocessingShape">
                          <wps:wsp>
                            <wps:cNvSpPr txBox="1"/>
                            <wps:spPr>
                              <a:xfrm>
                                <a:off x="0" y="0"/>
                                <a:ext cx="523240" cy="46355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11A8DF1" w14:textId="77777777" w:rsidR="007B6848" w:rsidRPr="00107DD1" w:rsidRDefault="002A7852" w:rsidP="007B6848">
                                  <w:pPr>
                                    <w:spacing w:before="0"/>
                                  </w:pPr>
                                  <m:oMathPara>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shapetype w14:anchorId="024850AD" id="_x0000_t202" coordsize="21600,21600" o:spt="202" path="m,l,21600r21600,l21600,xe">
                      <v:stroke joinstyle="miter"/>
                      <v:path gradientshapeok="t" o:connecttype="rect"/>
                    </v:shapetype>
                    <v:shape id="Text Box 28" o:spid="_x0000_s1026" type="#_x0000_t202" style="width:41.2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" filled="f" stroked="f">
                      <v:textbox inset="0,0,0,0">
                        <w:txbxContent>
                          <w:p w14:paraId="711A8DF1" w14:textId="77777777" w:rsidR="007B6848" w:rsidRPr="00107DD1" w:rsidRDefault="002A7852" w:rsidP="007B6848">
                            <w:pPr>
                              <w:spacing w:before="0"/>
                            </w:pPr>
                            <m:oMathPara>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xbxContent>
                      </v:textbox>
                      <w10:anchorlock/>
                    </v:shape>
                  </w:pict>
                </mc:Fallback>
              </mc:AlternateContent>
            </w:r>
            <w:r w:rsidRPr="008467B6">
              <w:t>"</w:t>
            </w:r>
          </w:p>
        </w:tc>
      </w:tr>
      <w:tr w:rsidR="007B6848" w:rsidRPr="008467B6" w14:paraId="5167BE55"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693FD8A9"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&lt;&lt;  y", "x  &gt;&gt;  y"</w:t>
            </w:r>
          </w:p>
        </w:tc>
      </w:tr>
      <w:tr w:rsidR="007B6848" w:rsidRPr="008467B6" w14:paraId="071B265C"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13FDB526"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&lt; y", "x  &lt;=  y", "x &gt; y", "x  &gt;=  y"</w:t>
            </w:r>
          </w:p>
        </w:tc>
      </w:tr>
      <w:tr w:rsidR="007B6848" w:rsidRPr="008467B6" w14:paraId="5B672D4B"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379B49B3"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 =  y", "x  !=  y"</w:t>
            </w:r>
          </w:p>
        </w:tc>
      </w:tr>
      <w:tr w:rsidR="007B6848" w:rsidRPr="008467B6" w14:paraId="0D865EDA"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20418B36"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&amp; y"</w:t>
            </w:r>
          </w:p>
        </w:tc>
      </w:tr>
      <w:tr w:rsidR="007B6848" w:rsidRPr="008467B6" w14:paraId="2B11056F"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76F18890"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 y"</w:t>
            </w:r>
          </w:p>
        </w:tc>
      </w:tr>
      <w:tr w:rsidR="007B6848" w:rsidRPr="008467B6" w14:paraId="6DD53D3E"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470A3663"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&amp;&amp;  y"</w:t>
            </w:r>
          </w:p>
        </w:tc>
      </w:tr>
      <w:tr w:rsidR="007B6848" w:rsidRPr="008467B6" w14:paraId="6CA84FDA"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289B6617"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 |  y"</w:t>
            </w:r>
          </w:p>
        </w:tc>
      </w:tr>
      <w:tr w:rsidR="007B6848" w:rsidRPr="008467B6" w14:paraId="43F33338"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100C53B0"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 y : z"</w:t>
            </w:r>
          </w:p>
        </w:tc>
      </w:tr>
      <w:tr w:rsidR="007B6848" w:rsidRPr="008467B6" w14:paraId="0E9BF69A"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6400D298"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"x..y"</w:t>
            </w:r>
          </w:p>
        </w:tc>
      </w:tr>
      <w:tr w:rsidR="007B6848" w:rsidRPr="008467B6" w14:paraId="6C56E1D0" w14:textId="77777777" w:rsidTr="004B3F76">
        <w:trPr>
          <w:jc w:val="center"/>
        </w:trPr>
        <w:tc>
          <w:tcPr>
            <w:tcW w:w="5139" w:type="dxa"/>
            <w:tcBorders>
              <w:top w:val="single" w:sz="4" w:space="0" w:color="auto"/>
              <w:left w:val="single" w:sz="4" w:space="0" w:color="auto"/>
              <w:bottom w:val="single" w:sz="4" w:space="0" w:color="auto"/>
              <w:right w:val="single" w:sz="4" w:space="0" w:color="auto"/>
            </w:tcBorders>
            <w:hideMark/>
          </w:tcPr>
          <w:p w14:paraId="10501C35" w14:textId="77777777" w:rsidR="007B6848" w:rsidRPr="008467B6" w:rsidRDefault="007B6848" w:rsidP="004B3F76">
            <w:pPr>
              <w:keepNext/>
              <w:keepLines/>
              <w:tabs>
                <w:tab w:val="left" w:pos="1800"/>
                <w:tab w:val="left" w:pos="2160"/>
                <w:tab w:val="left" w:pos="2520"/>
                <w:tab w:val="left" w:pos="2880"/>
                <w:tab w:val="center" w:pos="4320"/>
                <w:tab w:val="right" w:pos="8640"/>
              </w:tabs>
              <w:spacing w:before="60" w:after="60"/>
              <w:outlineLvl w:val="8"/>
            </w:pPr>
            <w:r w:rsidRPr="008467B6">
              <w:t>"x = y", "x  +=  y", "x  −=  y"</w:t>
            </w:r>
          </w:p>
        </w:tc>
      </w:tr>
    </w:tbl>
    <w:p w14:paraId="5C21CA1E" w14:textId="77777777" w:rsidR="007B6848" w:rsidRPr="008467B6" w:rsidRDefault="007B6848" w:rsidP="007B6848">
      <w:pPr>
        <w:pStyle w:val="Heading1"/>
      </w:pPr>
      <w:bookmarkStart w:id="26" w:name="_Toc466890209"/>
      <w:bookmarkStart w:id="27" w:name="_Toc466890748"/>
      <w:bookmarkStart w:id="28" w:name="_Toc466891136"/>
      <w:bookmarkStart w:id="29" w:name="_Toc466891202"/>
      <w:bookmarkStart w:id="30" w:name="_Toc466894735"/>
      <w:bookmarkStart w:id="31" w:name="_Toc466896163"/>
      <w:bookmarkStart w:id="32" w:name="_Toc466897546"/>
      <w:bookmarkStart w:id="33" w:name="_Toc466897790"/>
      <w:bookmarkStart w:id="34" w:name="_Toc467226088"/>
      <w:bookmarkEnd w:id="26"/>
      <w:bookmarkEnd w:id="27"/>
      <w:bookmarkEnd w:id="28"/>
      <w:bookmarkEnd w:id="29"/>
      <w:bookmarkEnd w:id="30"/>
      <w:bookmarkEnd w:id="31"/>
      <w:bookmarkEnd w:id="32"/>
      <w:bookmarkEnd w:id="33"/>
      <w:r>
        <w:t>Introduction</w:t>
      </w:r>
      <w:bookmarkEnd w:id="34"/>
    </w:p>
    <w:p w14:paraId="1753CDEC" w14:textId="77777777" w:rsidR="007B6848" w:rsidRDefault="007B6848" w:rsidP="007B6848">
      <w:pPr>
        <w:rPr>
          <w:rFonts w:eastAsia="SimSun"/>
        </w:rPr>
      </w:pPr>
      <w:r w:rsidRPr="008467B6">
        <w:rPr>
          <w:rFonts w:eastAsia="SimSun"/>
        </w:rPr>
        <w:t xml:space="preserve">The document </w:t>
      </w:r>
      <w:r>
        <w:rPr>
          <w:rFonts w:eastAsia="SimSun"/>
        </w:rPr>
        <w:t xml:space="preserve">is </w:t>
      </w:r>
      <w:r w:rsidRPr="008467B6">
        <w:rPr>
          <w:rFonts w:eastAsia="SimSun"/>
        </w:rPr>
        <w:t>structure</w:t>
      </w:r>
      <w:r>
        <w:rPr>
          <w:rFonts w:eastAsia="SimSun"/>
        </w:rPr>
        <w:t>d</w:t>
      </w:r>
      <w:r w:rsidRPr="008467B6">
        <w:rPr>
          <w:rFonts w:eastAsia="SimSun"/>
        </w:rPr>
        <w:t xml:space="preserve"> as follows. </w:t>
      </w:r>
    </w:p>
    <w:p w14:paraId="050F953A" w14:textId="77777777" w:rsidR="007B6848" w:rsidRPr="00AC254C" w:rsidRDefault="007B6848" w:rsidP="007B6848">
      <w:pPr>
        <w:pStyle w:val="ListParagraph"/>
        <w:numPr>
          <w:ilvl w:val="0"/>
          <w:numId w:val="21"/>
        </w:numPr>
        <w:contextualSpacing w:val="0"/>
        <w:rPr>
          <w:lang w:eastAsia="ko-KR"/>
        </w:rPr>
      </w:pPr>
      <w:r w:rsidRPr="00AC254C">
        <w:rPr>
          <w:rFonts w:eastAsia="SimSun"/>
        </w:rPr>
        <w:t xml:space="preserve">Clause </w:t>
      </w:r>
      <w:r w:rsidRPr="00AC254C">
        <w:rPr>
          <w:rFonts w:eastAsia="SimSun"/>
        </w:rPr>
        <w:fldChar w:fldCharType="begin"/>
      </w:r>
      <w:r w:rsidRPr="00AC254C">
        <w:rPr>
          <w:rFonts w:eastAsia="SimSun"/>
        </w:rPr>
        <w:instrText xml:space="preserve"> REF _Ref452464387 \r \h </w:instrText>
      </w:r>
      <w:r w:rsidRPr="00AC254C">
        <w:rPr>
          <w:rFonts w:eastAsia="SimSun"/>
        </w:rPr>
      </w:r>
      <w:r w:rsidRPr="00AC254C">
        <w:rPr>
          <w:rFonts w:eastAsia="SimSun"/>
        </w:rPr>
        <w:fldChar w:fldCharType="separate"/>
      </w:r>
      <w:r>
        <w:rPr>
          <w:rFonts w:eastAsia="SimSun"/>
        </w:rPr>
        <w:t>6</w:t>
      </w:r>
      <w:r w:rsidRPr="00AC254C">
        <w:rPr>
          <w:rFonts w:eastAsia="SimSun"/>
        </w:rPr>
        <w:fldChar w:fldCharType="end"/>
      </w:r>
      <w:r w:rsidRPr="00AC254C">
        <w:rPr>
          <w:rFonts w:eastAsia="SimSun"/>
        </w:rPr>
        <w:t xml:space="preserve"> reviews identified signalling mechanisms of HEVC specification </w:t>
      </w:r>
      <w:r w:rsidRPr="00275358">
        <w:fldChar w:fldCharType="begin"/>
      </w:r>
      <w:r w:rsidRPr="008467B6">
        <w:instrText xml:space="preserve"> REF _Ref324152123 \r \h </w:instrText>
      </w:r>
      <w:r w:rsidRPr="00275358">
        <w:fldChar w:fldCharType="separate"/>
      </w:r>
      <w:r>
        <w:t>[4]</w:t>
      </w:r>
      <w:r w:rsidRPr="00275358">
        <w:fldChar w:fldCharType="end"/>
      </w:r>
      <w:r w:rsidRPr="00980878">
        <w:fldChar w:fldCharType="begin"/>
      </w:r>
      <w:r w:rsidRPr="008467B6">
        <w:instrText xml:space="preserve"> REF _Ref464312482 \r \h </w:instrText>
      </w:r>
      <w:r w:rsidRPr="00980878">
        <w:fldChar w:fldCharType="separate"/>
      </w:r>
      <w:r>
        <w:t>[5]</w:t>
      </w:r>
      <w:r w:rsidRPr="00980878">
        <w:fldChar w:fldCharType="end"/>
      </w:r>
      <w:r w:rsidRPr="00AC254C">
        <w:rPr>
          <w:rFonts w:eastAsia="SimSun"/>
        </w:rPr>
        <w:t xml:space="preserve"> and its draft new amendment </w:t>
      </w:r>
      <w:r w:rsidRPr="00AC254C">
        <w:rPr>
          <w:rFonts w:eastAsia="SimSun"/>
        </w:rPr>
        <w:fldChar w:fldCharType="begin"/>
      </w:r>
      <w:r w:rsidRPr="00AC254C">
        <w:rPr>
          <w:rFonts w:eastAsia="SimSun"/>
        </w:rPr>
        <w:instrText xml:space="preserve"> REF _Ref467225640 \r \h  \* MERGEFORMAT </w:instrText>
      </w:r>
      <w:r w:rsidRPr="00AC254C">
        <w:rPr>
          <w:rFonts w:eastAsia="SimSun"/>
        </w:rPr>
      </w:r>
      <w:r w:rsidRPr="00AC254C">
        <w:rPr>
          <w:rFonts w:eastAsia="SimSun"/>
        </w:rPr>
        <w:fldChar w:fldCharType="separate"/>
      </w:r>
      <w:r>
        <w:rPr>
          <w:rFonts w:eastAsia="SimSun"/>
        </w:rPr>
        <w:t>[15]</w:t>
      </w:r>
      <w:r w:rsidRPr="00AC254C">
        <w:rPr>
          <w:rFonts w:eastAsia="SimSun"/>
        </w:rPr>
        <w:fldChar w:fldCharType="end"/>
      </w:r>
      <w:r w:rsidRPr="00AC254C">
        <w:rPr>
          <w:rFonts w:eastAsia="SimSun"/>
        </w:rPr>
        <w:t xml:space="preserve">, applicable to HDR/WCG video coding and distribution. </w:t>
      </w:r>
    </w:p>
    <w:p w14:paraId="41DC9847" w14:textId="77777777" w:rsidR="007B6848" w:rsidRDefault="007B6848" w:rsidP="007B6848">
      <w:pPr>
        <w:pStyle w:val="ListParagraph"/>
        <w:numPr>
          <w:ilvl w:val="0"/>
          <w:numId w:val="21"/>
        </w:numPr>
        <w:contextualSpacing w:val="0"/>
        <w:rPr>
          <w:lang w:eastAsia="ko-KR"/>
        </w:rPr>
      </w:pPr>
      <w:r w:rsidRPr="008467B6">
        <w:rPr>
          <w:lang w:eastAsia="ko-KR"/>
        </w:rPr>
        <w:t xml:space="preserve">Clause </w:t>
      </w:r>
      <w:r w:rsidRPr="00275358">
        <w:rPr>
          <w:lang w:eastAsia="ko-KR"/>
        </w:rPr>
        <w:fldChar w:fldCharType="begin"/>
      </w:r>
      <w:r w:rsidRPr="008467B6">
        <w:rPr>
          <w:lang w:eastAsia="ko-KR"/>
        </w:rPr>
        <w:instrText xml:space="preserve"> REF _Ref452426747 \r \h </w:instrText>
      </w:r>
      <w:r w:rsidRPr="00275358">
        <w:rPr>
          <w:lang w:eastAsia="ko-KR"/>
        </w:rPr>
      </w:r>
      <w:r w:rsidRPr="00275358">
        <w:rPr>
          <w:lang w:eastAsia="ko-KR"/>
        </w:rPr>
        <w:fldChar w:fldCharType="separate"/>
      </w:r>
      <w:r>
        <w:rPr>
          <w:lang w:eastAsia="ko-KR"/>
        </w:rPr>
        <w:t>7</w:t>
      </w:r>
      <w:r w:rsidRPr="00275358">
        <w:rPr>
          <w:lang w:eastAsia="ko-KR"/>
        </w:rPr>
        <w:fldChar w:fldCharType="end"/>
      </w:r>
      <w:r w:rsidRPr="008467B6">
        <w:rPr>
          <w:lang w:eastAsia="ko-KR"/>
        </w:rPr>
        <w:t xml:space="preserve"> describes usage of HLG transfer function and CRI </w:t>
      </w:r>
      <w:r>
        <w:rPr>
          <w:lang w:eastAsia="ko-KR"/>
        </w:rPr>
        <w:t xml:space="preserve">and </w:t>
      </w:r>
      <w:r w:rsidRPr="008467B6">
        <w:rPr>
          <w:lang w:eastAsia="ko-KR"/>
        </w:rPr>
        <w:t xml:space="preserve">TMI SEI messages for the support of SDR backward compatibility with single-layer profile (e.g. HEVC Main 10). </w:t>
      </w:r>
    </w:p>
    <w:p w14:paraId="46CABD33" w14:textId="77777777" w:rsidR="007B6848" w:rsidRDefault="007B6848" w:rsidP="007B6848">
      <w:pPr>
        <w:pStyle w:val="ListParagraph"/>
        <w:numPr>
          <w:ilvl w:val="0"/>
          <w:numId w:val="21"/>
        </w:numPr>
        <w:contextualSpacing w:val="0"/>
        <w:rPr>
          <w:lang w:eastAsia="ko-KR"/>
        </w:rPr>
      </w:pPr>
      <w:r w:rsidRPr="008467B6">
        <w:rPr>
          <w:lang w:eastAsia="ko-KR"/>
        </w:rPr>
        <w:t xml:space="preserve">Clause </w:t>
      </w:r>
      <w:r w:rsidRPr="00275358">
        <w:rPr>
          <w:lang w:eastAsia="ko-KR"/>
        </w:rPr>
        <w:fldChar w:fldCharType="begin"/>
      </w:r>
      <w:r w:rsidRPr="008467B6">
        <w:rPr>
          <w:lang w:eastAsia="ko-KR"/>
        </w:rPr>
        <w:instrText xml:space="preserve"> REF _Ref453763011 \r \h </w:instrText>
      </w:r>
      <w:r w:rsidRPr="00275358">
        <w:rPr>
          <w:lang w:eastAsia="ko-KR"/>
        </w:rPr>
      </w:r>
      <w:r w:rsidRPr="00275358">
        <w:rPr>
          <w:lang w:eastAsia="ko-KR"/>
        </w:rPr>
        <w:fldChar w:fldCharType="separate"/>
      </w:r>
      <w:r>
        <w:rPr>
          <w:lang w:eastAsia="ko-KR"/>
        </w:rPr>
        <w:t>8</w:t>
      </w:r>
      <w:r w:rsidRPr="00275358">
        <w:rPr>
          <w:lang w:eastAsia="ko-KR"/>
        </w:rPr>
        <w:fldChar w:fldCharType="end"/>
      </w:r>
      <w:r w:rsidRPr="008467B6">
        <w:rPr>
          <w:lang w:eastAsia="ko-KR"/>
        </w:rPr>
        <w:t xml:space="preserve"> describes a dual-layer HDR/WCG video coding </w:t>
      </w:r>
      <w:r>
        <w:rPr>
          <w:lang w:eastAsia="ko-KR"/>
        </w:rPr>
        <w:t xml:space="preserve">system with SDR backward compatibility </w:t>
      </w:r>
      <w:r w:rsidRPr="008467B6">
        <w:rPr>
          <w:lang w:eastAsia="ko-KR"/>
        </w:rPr>
        <w:t xml:space="preserve">implemented with SHVC Scalable Main 10 profile. </w:t>
      </w:r>
    </w:p>
    <w:p w14:paraId="6AC92C76" w14:textId="77777777" w:rsidR="007B6848" w:rsidRPr="008467B6" w:rsidRDefault="007B6848" w:rsidP="007B6848">
      <w:pPr>
        <w:pStyle w:val="ListParagraph"/>
        <w:numPr>
          <w:ilvl w:val="0"/>
          <w:numId w:val="21"/>
        </w:numPr>
        <w:contextualSpacing w:val="0"/>
        <w:rPr>
          <w:lang w:eastAsia="ko-KR"/>
        </w:rPr>
      </w:pPr>
      <w:r>
        <w:rPr>
          <w:lang w:eastAsia="ko-KR"/>
        </w:rPr>
        <w:t>C</w:t>
      </w:r>
      <w:r w:rsidRPr="008467B6">
        <w:rPr>
          <w:lang w:eastAsia="ko-KR"/>
        </w:rPr>
        <w:t xml:space="preserve">lause </w:t>
      </w:r>
      <w:r w:rsidRPr="00275358">
        <w:rPr>
          <w:lang w:eastAsia="ko-KR"/>
        </w:rPr>
        <w:fldChar w:fldCharType="begin"/>
      </w:r>
      <w:r w:rsidRPr="008467B6">
        <w:rPr>
          <w:lang w:eastAsia="ko-KR"/>
        </w:rPr>
        <w:instrText xml:space="preserve"> REF _Ref454454612 \r \h </w:instrText>
      </w:r>
      <w:r w:rsidRPr="00275358">
        <w:rPr>
          <w:lang w:eastAsia="ko-KR"/>
        </w:rPr>
      </w:r>
      <w:r w:rsidRPr="00275358">
        <w:rPr>
          <w:lang w:eastAsia="ko-KR"/>
        </w:rPr>
        <w:fldChar w:fldCharType="separate"/>
      </w:r>
      <w:r>
        <w:rPr>
          <w:lang w:eastAsia="ko-KR"/>
        </w:rPr>
        <w:t>9</w:t>
      </w:r>
      <w:r w:rsidRPr="00275358">
        <w:rPr>
          <w:lang w:eastAsia="ko-KR"/>
        </w:rPr>
        <w:fldChar w:fldCharType="end"/>
      </w:r>
      <w:r>
        <w:rPr>
          <w:lang w:eastAsia="ko-KR"/>
        </w:rPr>
        <w:t xml:space="preserve"> addresses the d</w:t>
      </w:r>
      <w:r w:rsidRPr="008467B6">
        <w:rPr>
          <w:lang w:eastAsia="ko-KR"/>
        </w:rPr>
        <w:t>isplay adaptation</w:t>
      </w:r>
      <w:r>
        <w:rPr>
          <w:lang w:eastAsia="ko-KR"/>
        </w:rPr>
        <w:t xml:space="preserve"> functionality</w:t>
      </w:r>
      <w:r w:rsidRPr="008467B6">
        <w:rPr>
          <w:lang w:eastAsia="ko-KR"/>
        </w:rPr>
        <w:t>.</w:t>
      </w:r>
    </w:p>
    <w:p w14:paraId="42BB8A07" w14:textId="77777777" w:rsidR="007B6848" w:rsidRPr="008467B6" w:rsidRDefault="007B6848" w:rsidP="007B6848">
      <w:pPr>
        <w:pStyle w:val="Heading1"/>
      </w:pPr>
      <w:bookmarkStart w:id="35" w:name="_Toc452455847"/>
      <w:bookmarkStart w:id="36" w:name="_Ref452464387"/>
      <w:bookmarkStart w:id="37" w:name="_Toc454454585"/>
      <w:bookmarkStart w:id="38" w:name="_Toc467226089"/>
      <w:r w:rsidRPr="008467B6">
        <w:lastRenderedPageBreak/>
        <w:t>HEVC signalling mechanisms applicable to HDR</w:t>
      </w:r>
      <w:r>
        <w:t>/</w:t>
      </w:r>
      <w:r w:rsidRPr="008467B6">
        <w:t>WCG video</w:t>
      </w:r>
      <w:bookmarkEnd w:id="35"/>
      <w:bookmarkEnd w:id="36"/>
      <w:bookmarkEnd w:id="37"/>
      <w:bookmarkEnd w:id="38"/>
    </w:p>
    <w:p w14:paraId="2FAAFC65" w14:textId="77777777" w:rsidR="007B6848" w:rsidRPr="008467B6" w:rsidRDefault="007B6848" w:rsidP="007B6848">
      <w:pPr>
        <w:tabs>
          <w:tab w:val="left" w:pos="270"/>
        </w:tabs>
      </w:pPr>
      <w:r w:rsidRPr="008467B6">
        <w:t xml:space="preserve">In this clause, VUI syntax elements and SEI messages specified in HEVC </w:t>
      </w:r>
      <w:r w:rsidRPr="00275358">
        <w:fldChar w:fldCharType="begin"/>
      </w:r>
      <w:r w:rsidRPr="008467B6">
        <w:instrText xml:space="preserve"> REF _Ref324152123 \r \h </w:instrText>
      </w:r>
      <w:r w:rsidRPr="00275358">
        <w:fldChar w:fldCharType="separate"/>
      </w:r>
      <w:r>
        <w:t>[4]</w:t>
      </w:r>
      <w:r w:rsidRPr="00275358">
        <w:fldChar w:fldCharType="end"/>
      </w:r>
      <w:r w:rsidRPr="00980878">
        <w:fldChar w:fldCharType="begin"/>
      </w:r>
      <w:r w:rsidRPr="008467B6">
        <w:instrText xml:space="preserve"> REF _Ref464312482 \r \h </w:instrText>
      </w:r>
      <w:r w:rsidRPr="00980878">
        <w:fldChar w:fldCharType="separate"/>
      </w:r>
      <w:r>
        <w:t>[5]</w:t>
      </w:r>
      <w:r w:rsidRPr="00980878">
        <w:fldChar w:fldCharType="end"/>
      </w:r>
      <w:r>
        <w:t xml:space="preserve"> </w:t>
      </w:r>
      <w:r w:rsidRPr="008467B6">
        <w:t>and its new draft amendment</w:t>
      </w:r>
      <w:r>
        <w:t xml:space="preserve"> </w:t>
      </w:r>
      <w:r w:rsidRPr="004B3F76">
        <w:rPr>
          <w:rFonts w:eastAsia="SimSun"/>
        </w:rPr>
        <w:fldChar w:fldCharType="begin"/>
      </w:r>
      <w:r w:rsidRPr="004B3F76">
        <w:rPr>
          <w:rFonts w:eastAsia="SimSun"/>
        </w:rPr>
        <w:instrText xml:space="preserve"> REF _Ref467225640 \r \h  \* MERGEFORMAT </w:instrText>
      </w:r>
      <w:r w:rsidRPr="004B3F76">
        <w:rPr>
          <w:rFonts w:eastAsia="SimSun"/>
        </w:rPr>
      </w:r>
      <w:r w:rsidRPr="004B3F76">
        <w:rPr>
          <w:rFonts w:eastAsia="SimSun"/>
        </w:rPr>
        <w:fldChar w:fldCharType="separate"/>
      </w:r>
      <w:r>
        <w:rPr>
          <w:rFonts w:eastAsia="SimSun"/>
        </w:rPr>
        <w:t>[15]</w:t>
      </w:r>
      <w:r w:rsidRPr="004B3F76">
        <w:rPr>
          <w:rFonts w:eastAsia="SimSun"/>
        </w:rPr>
        <w:fldChar w:fldCharType="end"/>
      </w:r>
      <w:r w:rsidRPr="008467B6">
        <w:t>, applicable to HDR</w:t>
      </w:r>
      <w:r>
        <w:t>/</w:t>
      </w:r>
      <w:r w:rsidRPr="008467B6">
        <w:t>WCG video and relevant to the scope of this document, are reviewed.</w:t>
      </w:r>
    </w:p>
    <w:p w14:paraId="4DA17DF7" w14:textId="77777777" w:rsidR="007B6848" w:rsidRPr="008467B6" w:rsidRDefault="007B6848" w:rsidP="007B6848">
      <w:pPr>
        <w:pStyle w:val="Heading2"/>
        <w:ind w:left="720" w:hanging="720"/>
      </w:pPr>
      <w:bookmarkStart w:id="39" w:name="_Toc467226090"/>
      <w:r w:rsidRPr="008467B6">
        <w:t>VUI syntax elements</w:t>
      </w:r>
      <w:bookmarkEnd w:id="39"/>
    </w:p>
    <w:p w14:paraId="476A4D50" w14:textId="77777777" w:rsidR="007B6848" w:rsidRPr="008467B6" w:rsidRDefault="007B6848" w:rsidP="007B6848">
      <w:bookmarkStart w:id="40" w:name="_Toc453764638"/>
      <w:bookmarkStart w:id="41" w:name="_Toc453764666"/>
      <w:bookmarkStart w:id="42" w:name="_Toc453764745"/>
      <w:bookmarkStart w:id="43" w:name="_Toc453764773"/>
      <w:bookmarkStart w:id="44" w:name="_Toc453764979"/>
      <w:bookmarkStart w:id="45" w:name="_Toc453766694"/>
      <w:bookmarkStart w:id="46" w:name="_Toc453767146"/>
      <w:bookmarkStart w:id="47" w:name="_Toc454454586"/>
      <w:bookmarkStart w:id="48" w:name="_Toc453764639"/>
      <w:bookmarkStart w:id="49" w:name="_Toc453764667"/>
      <w:bookmarkStart w:id="50" w:name="_Toc453764746"/>
      <w:bookmarkStart w:id="51" w:name="_Toc453764774"/>
      <w:bookmarkStart w:id="52" w:name="_Toc453764980"/>
      <w:bookmarkStart w:id="53" w:name="_Toc453766695"/>
      <w:bookmarkStart w:id="54" w:name="_Toc453767147"/>
      <w:bookmarkStart w:id="55" w:name="_Toc454454587"/>
      <w:bookmarkStart w:id="56" w:name="_Toc453764640"/>
      <w:bookmarkStart w:id="57" w:name="_Toc453764668"/>
      <w:bookmarkStart w:id="58" w:name="_Toc453764747"/>
      <w:bookmarkStart w:id="59" w:name="_Toc453764775"/>
      <w:bookmarkStart w:id="60" w:name="_Toc453764981"/>
      <w:bookmarkStart w:id="61" w:name="_Toc453766696"/>
      <w:bookmarkStart w:id="62" w:name="_Toc453767148"/>
      <w:bookmarkStart w:id="63" w:name="_Toc454454588"/>
      <w:bookmarkStart w:id="64" w:name="_Toc45445458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t>By design, metadata signalled in syntax elements of VUI in</w:t>
      </w:r>
      <w:r w:rsidRPr="008467B6">
        <w:t xml:space="preserve"> HEVC </w:t>
      </w:r>
      <w:r>
        <w:t>is</w:t>
      </w:r>
      <w:r w:rsidRPr="00980878">
        <w:t xml:space="preserve"> not </w:t>
      </w:r>
      <w:r>
        <w:t>mandatory</w:t>
      </w:r>
      <w:r w:rsidRPr="00980878">
        <w:t xml:space="preserve"> for constructing the luma or chroma samples by the decoding process</w:t>
      </w:r>
      <w:r>
        <w:t>,</w:t>
      </w:r>
      <w:r w:rsidRPr="00980878">
        <w:t xml:space="preserve"> and may be ignored by the decoder. However, </w:t>
      </w:r>
      <w:r>
        <w:t>such</w:t>
      </w:r>
      <w:r w:rsidRPr="00980878">
        <w:t xml:space="preserve"> syntax elements can provide </w:t>
      </w:r>
      <w:r>
        <w:t xml:space="preserve">useful </w:t>
      </w:r>
      <w:r w:rsidRPr="008467B6">
        <w:t xml:space="preserve">parameters </w:t>
      </w:r>
      <w:r>
        <w:t xml:space="preserve">or attributes </w:t>
      </w:r>
      <w:r w:rsidRPr="008467B6">
        <w:t xml:space="preserve">of </w:t>
      </w:r>
      <w:r>
        <w:t xml:space="preserve">an </w:t>
      </w:r>
      <w:r w:rsidRPr="008467B6">
        <w:t xml:space="preserve">encoded signal and be utilized in the video system design. Examples of VUI parameters relevant to HDR/WCG </w:t>
      </w:r>
      <w:r>
        <w:t xml:space="preserve">video </w:t>
      </w:r>
      <w:r w:rsidRPr="008467B6">
        <w:t>system design include colo</w:t>
      </w:r>
      <w:r>
        <w:t>u</w:t>
      </w:r>
      <w:r w:rsidRPr="008467B6">
        <w:t xml:space="preserve">r primaries, transfer characteristics and matrix coefficients specified in Tables E.3, E.4 and E.5 of HEVC specification </w:t>
      </w:r>
      <w:r w:rsidRPr="00275358">
        <w:fldChar w:fldCharType="begin"/>
      </w:r>
      <w:r w:rsidRPr="008467B6">
        <w:instrText xml:space="preserve"> REF _Ref324152123 \r \h </w:instrText>
      </w:r>
      <w:r w:rsidRPr="00275358">
        <w:fldChar w:fldCharType="separate"/>
      </w:r>
      <w:r>
        <w:t>[4]</w:t>
      </w:r>
      <w:r w:rsidRPr="00275358">
        <w:fldChar w:fldCharType="end"/>
      </w:r>
      <w:r w:rsidRPr="00980878">
        <w:fldChar w:fldCharType="begin"/>
      </w:r>
      <w:r w:rsidRPr="008467B6">
        <w:instrText xml:space="preserve"> REF _Ref464312482 \r \h </w:instrText>
      </w:r>
      <w:r w:rsidRPr="00980878">
        <w:fldChar w:fldCharType="separate"/>
      </w:r>
      <w:r>
        <w:t>[5]</w:t>
      </w:r>
      <w:r w:rsidRPr="00980878">
        <w:fldChar w:fldCharType="end"/>
      </w:r>
      <w:r w:rsidRPr="008467B6">
        <w:t xml:space="preserve"> respectively. </w:t>
      </w:r>
      <w:r w:rsidRPr="00980878">
        <w:rPr>
          <w:highlight w:val="yellow"/>
        </w:rPr>
        <w:fldChar w:fldCharType="begin"/>
      </w:r>
      <w:r w:rsidRPr="00980878">
        <w:instrText xml:space="preserve"> REF _Ref460248943 \h </w:instrText>
      </w:r>
      <w:r w:rsidRPr="00980878">
        <w:rPr>
          <w:highlight w:val="yellow"/>
        </w:rPr>
        <w:instrText xml:space="preserve"> \* MERGEFORMAT </w:instrText>
      </w:r>
      <w:r w:rsidRPr="00980878">
        <w:rPr>
          <w:highlight w:val="yellow"/>
        </w:rPr>
      </w:r>
      <w:r w:rsidRPr="00980878">
        <w:rPr>
          <w:highlight w:val="yellow"/>
        </w:rPr>
        <w:fldChar w:fldCharType="separate"/>
      </w:r>
      <w:r w:rsidRPr="008467B6">
        <w:rPr>
          <w:lang w:val="en-US"/>
        </w:rPr>
        <w:t xml:space="preserve">Table </w:t>
      </w:r>
      <w:r>
        <w:rPr>
          <w:noProof/>
          <w:lang w:val="en-US"/>
        </w:rPr>
        <w:t>6</w:t>
      </w:r>
      <w:r w:rsidRPr="008467B6">
        <w:rPr>
          <w:noProof/>
          <w:lang w:val="en-US"/>
        </w:rPr>
        <w:noBreakHyphen/>
      </w:r>
      <w:r>
        <w:rPr>
          <w:noProof/>
          <w:lang w:val="en-US"/>
        </w:rPr>
        <w:t>1</w:t>
      </w:r>
      <w:r w:rsidRPr="00980878">
        <w:rPr>
          <w:highlight w:val="yellow"/>
        </w:rPr>
        <w:fldChar w:fldCharType="end"/>
      </w:r>
      <w:r w:rsidRPr="00980878">
        <w:t xml:space="preserve"> and </w:t>
      </w:r>
      <w:r w:rsidRPr="00980878">
        <w:rPr>
          <w:highlight w:val="yellow"/>
        </w:rPr>
        <w:fldChar w:fldCharType="begin"/>
      </w:r>
      <w:r w:rsidRPr="00980878">
        <w:instrText xml:space="preserve"> REF _Ref460248950 \h </w:instrText>
      </w:r>
      <w:r w:rsidRPr="00980878">
        <w:rPr>
          <w:highlight w:val="yellow"/>
        </w:rPr>
        <w:instrText xml:space="preserve"> \* MERGEFORMAT </w:instrText>
      </w:r>
      <w:r w:rsidRPr="00980878">
        <w:rPr>
          <w:highlight w:val="yellow"/>
        </w:rPr>
      </w:r>
      <w:r w:rsidRPr="00980878">
        <w:rPr>
          <w:highlight w:val="yellow"/>
        </w:rPr>
        <w:fldChar w:fldCharType="separate"/>
      </w:r>
      <w:r w:rsidRPr="008467B6">
        <w:rPr>
          <w:lang w:val="en-US"/>
        </w:rPr>
        <w:t xml:space="preserve">Table </w:t>
      </w:r>
      <w:r>
        <w:rPr>
          <w:lang w:val="en-US"/>
        </w:rPr>
        <w:t>6</w:t>
      </w:r>
      <w:r w:rsidRPr="008467B6">
        <w:rPr>
          <w:lang w:val="en-US"/>
        </w:rPr>
        <w:noBreakHyphen/>
      </w:r>
      <w:r>
        <w:rPr>
          <w:lang w:val="en-US"/>
        </w:rPr>
        <w:t>2</w:t>
      </w:r>
      <w:r w:rsidRPr="00980878">
        <w:rPr>
          <w:highlight w:val="yellow"/>
        </w:rPr>
        <w:fldChar w:fldCharType="end"/>
      </w:r>
      <w:r w:rsidRPr="00980878">
        <w:t xml:space="preserve"> below </w:t>
      </w:r>
      <w:r w:rsidRPr="008467B6">
        <w:t>provide values of VUI syntax elements that indicate usage of Rec. ITU-R BT.2100 representation of the video signal</w:t>
      </w:r>
      <w:r>
        <w:t>, including matrix coefficients associated with Rec. ITU-R BT.2020</w:t>
      </w:r>
      <w:r w:rsidRPr="008467B6">
        <w:t xml:space="preserve">. </w:t>
      </w:r>
    </w:p>
    <w:p w14:paraId="5424D512" w14:textId="77777777" w:rsidR="007B6848" w:rsidRPr="00980878" w:rsidRDefault="007B6848" w:rsidP="007B6848">
      <w:r w:rsidRPr="008467B6">
        <w:t xml:space="preserve">Rec. ITU-R BT.2100 specifies HDR-TV image parameters for use in production and international programme exchange </w:t>
      </w:r>
      <w:r w:rsidRPr="00275358">
        <w:fldChar w:fldCharType="begin"/>
      </w:r>
      <w:r w:rsidRPr="008467B6">
        <w:instrText xml:space="preserve"> REF _Ref461013792 \r \h </w:instrText>
      </w:r>
      <w:r w:rsidRPr="00275358">
        <w:fldChar w:fldCharType="separate"/>
      </w:r>
      <w:r>
        <w:t>[2]</w:t>
      </w:r>
      <w:r w:rsidRPr="00275358">
        <w:fldChar w:fldCharType="end"/>
      </w:r>
      <w:r w:rsidRPr="008467B6">
        <w:t xml:space="preserve">. </w:t>
      </w:r>
      <w:r w:rsidRPr="00980878">
        <w:t>It defines two transfer functions: Perceptual Quantiz</w:t>
      </w:r>
      <w:r>
        <w:t>er</w:t>
      </w:r>
      <w:r w:rsidRPr="00980878">
        <w:t xml:space="preserve"> (PQ) and Hybrid Log-Gamma (HLG). RGB colour primaries are specified </w:t>
      </w:r>
      <w:r>
        <w:t>identically</w:t>
      </w:r>
      <w:r w:rsidRPr="00980878">
        <w:t xml:space="preserve"> as in Rec. ITU-R BT.2020 </w:t>
      </w:r>
      <w:r w:rsidRPr="00980878">
        <w:fldChar w:fldCharType="begin"/>
      </w:r>
      <w:r w:rsidRPr="00980878">
        <w:instrText xml:space="preserve"> REF _Ref461013904 \r \h </w:instrText>
      </w:r>
      <w:r w:rsidRPr="00980878">
        <w:fldChar w:fldCharType="separate"/>
      </w:r>
      <w:r>
        <w:t>[3]</w:t>
      </w:r>
      <w:r w:rsidRPr="00980878">
        <w:fldChar w:fldCharType="end"/>
      </w:r>
      <w:r w:rsidRPr="00980878">
        <w:t xml:space="preserve">. </w:t>
      </w:r>
      <w:r w:rsidRPr="008467B6">
        <w:t xml:space="preserve">Rec. ITU-R BT.2100 </w:t>
      </w:r>
      <w:r w:rsidRPr="00980878">
        <w:t xml:space="preserve">describes two different luminance and colour difference signal representations: Non-Constant Luminance (NCL) </w:t>
      </w:r>
      <w:r w:rsidRPr="008467B6">
        <w:rPr>
          <w:rFonts w:eastAsia="SimSun"/>
        </w:rPr>
        <w:t>Y</w:t>
      </w:r>
      <w:r w:rsidRPr="008467B6">
        <w:sym w:font="Symbol" w:char="F0A2"/>
      </w:r>
      <w:r w:rsidRPr="008467B6">
        <w:rPr>
          <w:rFonts w:eastAsia="SimSun"/>
        </w:rPr>
        <w:t>CbCr</w:t>
      </w:r>
      <w:r w:rsidRPr="00980878">
        <w:t xml:space="preserve"> and Constant Intensity (CI) IC</w:t>
      </w:r>
      <w:r w:rsidRPr="00980878">
        <w:rPr>
          <w:vertAlign w:val="subscript"/>
        </w:rPr>
        <w:t>T</w:t>
      </w:r>
      <w:r w:rsidRPr="00980878">
        <w:t>C</w:t>
      </w:r>
      <w:r w:rsidRPr="00980878">
        <w:rPr>
          <w:vertAlign w:val="subscript"/>
        </w:rPr>
        <w:t>P</w:t>
      </w:r>
      <w:r w:rsidRPr="00980878">
        <w:t xml:space="preserve">. </w:t>
      </w:r>
      <w:r>
        <w:t xml:space="preserve">Syntax elements of VUI of </w:t>
      </w:r>
      <w:r w:rsidRPr="00980878">
        <w:t xml:space="preserve">HEVC </w:t>
      </w:r>
      <w:r>
        <w:t>can be used to convey the metadata describing such attributes of the coded signal</w:t>
      </w:r>
      <w:r w:rsidRPr="00980878">
        <w:t xml:space="preserve">. </w:t>
      </w:r>
      <w:r>
        <w:t>A t</w:t>
      </w:r>
      <w:r w:rsidRPr="00980878">
        <w:t xml:space="preserve">ransfer function is indicated using transfer_characteristics syntax element, as described in </w:t>
      </w:r>
      <w:r w:rsidRPr="00980878">
        <w:rPr>
          <w:highlight w:val="yellow"/>
        </w:rPr>
        <w:fldChar w:fldCharType="begin"/>
      </w:r>
      <w:r w:rsidRPr="00980878">
        <w:instrText xml:space="preserve"> REF _Ref460248943 \h </w:instrText>
      </w:r>
      <w:r w:rsidRPr="00980878">
        <w:rPr>
          <w:highlight w:val="yellow"/>
        </w:rPr>
        <w:instrText xml:space="preserve"> \* MERGEFORMAT </w:instrText>
      </w:r>
      <w:r w:rsidRPr="00980878">
        <w:rPr>
          <w:highlight w:val="yellow"/>
        </w:rPr>
      </w:r>
      <w:r w:rsidRPr="00980878">
        <w:rPr>
          <w:highlight w:val="yellow"/>
        </w:rPr>
        <w:fldChar w:fldCharType="separate"/>
      </w:r>
      <w:r w:rsidRPr="008467B6">
        <w:rPr>
          <w:lang w:val="en-US"/>
        </w:rPr>
        <w:t xml:space="preserve">Table </w:t>
      </w:r>
      <w:r>
        <w:rPr>
          <w:noProof/>
          <w:lang w:val="en-US"/>
        </w:rPr>
        <w:t>6</w:t>
      </w:r>
      <w:r w:rsidRPr="008467B6">
        <w:rPr>
          <w:noProof/>
          <w:lang w:val="en-US"/>
        </w:rPr>
        <w:noBreakHyphen/>
      </w:r>
      <w:r>
        <w:rPr>
          <w:noProof/>
          <w:lang w:val="en-US"/>
        </w:rPr>
        <w:t>1</w:t>
      </w:r>
      <w:r w:rsidRPr="00980878">
        <w:rPr>
          <w:highlight w:val="yellow"/>
        </w:rPr>
        <w:fldChar w:fldCharType="end"/>
      </w:r>
      <w:r w:rsidRPr="00980878">
        <w:t xml:space="preserve">. RGB colour primaries are indicated using colour_primaries syntax element (set equal to 9 for Rec. ITU-R BT.2020 and Rec. ITU-R BT.2100 colour primaries). Colour representation is indicated using matrix_coeffs syntax element, as described in </w:t>
      </w:r>
      <w:r w:rsidRPr="00980878">
        <w:rPr>
          <w:highlight w:val="yellow"/>
        </w:rPr>
        <w:fldChar w:fldCharType="begin"/>
      </w:r>
      <w:r w:rsidRPr="00980878">
        <w:instrText xml:space="preserve"> REF _Ref460248950 \h </w:instrText>
      </w:r>
      <w:r w:rsidRPr="00980878">
        <w:rPr>
          <w:highlight w:val="yellow"/>
        </w:rPr>
        <w:instrText xml:space="preserve"> \* MERGEFORMAT </w:instrText>
      </w:r>
      <w:r w:rsidRPr="00980878">
        <w:rPr>
          <w:highlight w:val="yellow"/>
        </w:rPr>
      </w:r>
      <w:r w:rsidRPr="00980878">
        <w:rPr>
          <w:highlight w:val="yellow"/>
        </w:rPr>
        <w:fldChar w:fldCharType="separate"/>
      </w:r>
      <w:r w:rsidRPr="008467B6">
        <w:rPr>
          <w:lang w:val="en-US"/>
        </w:rPr>
        <w:t xml:space="preserve">Table </w:t>
      </w:r>
      <w:r>
        <w:rPr>
          <w:lang w:val="en-US"/>
        </w:rPr>
        <w:t>6</w:t>
      </w:r>
      <w:r w:rsidRPr="008467B6">
        <w:rPr>
          <w:lang w:val="en-US"/>
        </w:rPr>
        <w:noBreakHyphen/>
      </w:r>
      <w:r>
        <w:rPr>
          <w:lang w:val="en-US"/>
        </w:rPr>
        <w:t>2</w:t>
      </w:r>
      <w:r w:rsidRPr="00980878">
        <w:rPr>
          <w:highlight w:val="yellow"/>
        </w:rPr>
        <w:fldChar w:fldCharType="end"/>
      </w:r>
      <w:r w:rsidRPr="00980878">
        <w:t xml:space="preserve">. </w:t>
      </w:r>
    </w:p>
    <w:p w14:paraId="240EF9AB" w14:textId="77777777" w:rsidR="007B6848" w:rsidRPr="00AC254C" w:rsidRDefault="007B6848" w:rsidP="007B6848">
      <w:r w:rsidRPr="00AC254C">
        <w:t xml:space="preserve">Conversion and coding practices </w:t>
      </w:r>
      <w:r>
        <w:t>for</w:t>
      </w:r>
      <w:r w:rsidRPr="00AC254C">
        <w:t xml:space="preserve"> HDR/WCG video signals represented with </w:t>
      </w:r>
      <w:r w:rsidRPr="00AC254C">
        <w:rPr>
          <w:szCs w:val="20"/>
        </w:rPr>
        <w:t>NCL Y</w:t>
      </w:r>
      <w:r w:rsidRPr="00AC254C">
        <w:rPr>
          <w:szCs w:val="20"/>
        </w:rPr>
        <w:sym w:font="Symbol" w:char="F0A2"/>
      </w:r>
      <w:r w:rsidRPr="00AC254C">
        <w:rPr>
          <w:szCs w:val="20"/>
        </w:rPr>
        <w:t>CbCr 4:2</w:t>
      </w:r>
      <w:r w:rsidRPr="00AC254C">
        <w:t xml:space="preserve">:0 video with Rec. ITU-R BT.2100 PQ transfer characteristics </w:t>
      </w:r>
      <w:r>
        <w:t>are</w:t>
      </w:r>
      <w:r w:rsidRPr="00AC254C">
        <w:t xml:space="preserve"> addressed in [1]</w:t>
      </w:r>
      <w:r>
        <w:t xml:space="preserve">, </w:t>
      </w:r>
      <w:r w:rsidRPr="00AC254C">
        <w:t>and are outside of scope of this document.</w:t>
      </w:r>
    </w:p>
    <w:p w14:paraId="6D8CDEB3" w14:textId="77777777" w:rsidR="007B6848" w:rsidRDefault="007B6848" w:rsidP="007B6848">
      <w:r>
        <w:t>C</w:t>
      </w:r>
      <w:r w:rsidRPr="00980878">
        <w:t xml:space="preserve">onversion and coding practices </w:t>
      </w:r>
      <w:r w:rsidRPr="004B3F76">
        <w:t xml:space="preserve">related to HDR/WCG video signals represented with </w:t>
      </w:r>
      <w:r w:rsidRPr="00980878">
        <w:t>IC</w:t>
      </w:r>
      <w:r w:rsidRPr="00AE216F">
        <w:rPr>
          <w:vertAlign w:val="subscript"/>
        </w:rPr>
        <w:t>T</w:t>
      </w:r>
      <w:r w:rsidRPr="00980878">
        <w:t>C</w:t>
      </w:r>
      <w:r w:rsidRPr="00AE216F">
        <w:rPr>
          <w:vertAlign w:val="subscript"/>
        </w:rPr>
        <w:t>P</w:t>
      </w:r>
      <w:r w:rsidRPr="00980878">
        <w:t xml:space="preserve"> 4:2:0 video with </w:t>
      </w:r>
      <w:r w:rsidRPr="004B3F76">
        <w:t>Rec. ITU-R BT.2100</w:t>
      </w:r>
      <w:r>
        <w:t xml:space="preserve"> </w:t>
      </w:r>
      <w:r w:rsidRPr="00980878">
        <w:t xml:space="preserve">PQ transfer function are provided in sub-clause </w:t>
      </w:r>
      <w:r w:rsidRPr="00980878">
        <w:fldChar w:fldCharType="begin"/>
      </w:r>
      <w:r w:rsidRPr="00980878">
        <w:instrText xml:space="preserve"> REF _Ref464492757 \r \h  \* MERGEFORMAT </w:instrText>
      </w:r>
      <w:r w:rsidRPr="00980878">
        <w:fldChar w:fldCharType="separate"/>
      </w:r>
      <w:r>
        <w:t>6.3</w:t>
      </w:r>
      <w:r w:rsidRPr="00980878">
        <w:fldChar w:fldCharType="end"/>
      </w:r>
      <w:r w:rsidRPr="00980878">
        <w:t>.</w:t>
      </w:r>
    </w:p>
    <w:p w14:paraId="5048611A" w14:textId="77777777" w:rsidR="007B6848" w:rsidRDefault="007B6848" w:rsidP="007B6848">
      <w:r w:rsidRPr="00AC254C">
        <w:t xml:space="preserve">Conversion and coding practices related to HDR/WCG video signals represented with </w:t>
      </w:r>
      <w:r w:rsidRPr="00AC254C">
        <w:rPr>
          <w:szCs w:val="20"/>
        </w:rPr>
        <w:t>NCL Y</w:t>
      </w:r>
      <w:r w:rsidRPr="00AC254C">
        <w:rPr>
          <w:szCs w:val="20"/>
        </w:rPr>
        <w:sym w:font="Symbol" w:char="F0A2"/>
      </w:r>
      <w:r w:rsidRPr="00AC254C">
        <w:rPr>
          <w:szCs w:val="20"/>
        </w:rPr>
        <w:t>CbCr 4:2</w:t>
      </w:r>
      <w:r w:rsidRPr="00AC254C">
        <w:t xml:space="preserve">:0 video with Rec. ITU-R BT.2100 HLG transfer characteristics </w:t>
      </w:r>
      <w:r w:rsidRPr="00980878">
        <w:t xml:space="preserve">are </w:t>
      </w:r>
      <w:r>
        <w:t>discussed</w:t>
      </w:r>
      <w:r w:rsidRPr="00980878">
        <w:t xml:space="preserve"> in sub</w:t>
      </w:r>
      <w:r w:rsidRPr="004B3F76">
        <w:t xml:space="preserve">-clause </w:t>
      </w:r>
      <w:r w:rsidRPr="004B3F76">
        <w:fldChar w:fldCharType="begin"/>
      </w:r>
      <w:r w:rsidRPr="004B3F76">
        <w:instrText xml:space="preserve"> REF _Ref467062900 \r \h </w:instrText>
      </w:r>
      <w:r>
        <w:instrText xml:space="preserve"> \* MERGEFORMAT </w:instrText>
      </w:r>
      <w:r w:rsidRPr="004B3F76">
        <w:fldChar w:fldCharType="separate"/>
      </w:r>
      <w:r>
        <w:t>7.1.2</w:t>
      </w:r>
      <w:r w:rsidRPr="004B3F76">
        <w:fldChar w:fldCharType="end"/>
      </w:r>
      <w:r w:rsidRPr="004B3F76">
        <w:t>.</w:t>
      </w:r>
    </w:p>
    <w:p w14:paraId="03C207D4" w14:textId="77777777" w:rsidR="007B6848" w:rsidRPr="008467B6" w:rsidRDefault="007B6848" w:rsidP="007B6848">
      <w:pPr>
        <w:pStyle w:val="Caption"/>
        <w:rPr>
          <w:lang w:val="en-US"/>
        </w:rPr>
      </w:pPr>
      <w:bookmarkStart w:id="65" w:name="_Ref450644125"/>
      <w:bookmarkStart w:id="66" w:name="_Ref460248943"/>
      <w:r w:rsidRPr="008467B6">
        <w:rPr>
          <w:lang w:val="en-US"/>
        </w:rPr>
        <w:t xml:space="preserve">Table </w:t>
      </w:r>
      <w:bookmarkStart w:id="67" w:name="OLE_LINK109"/>
      <w:bookmarkStart w:id="68" w:name="OLE_LINK110"/>
      <w:bookmarkStart w:id="69" w:name="OLE_LINK111"/>
      <w:bookmarkEnd w:id="65"/>
      <w:r w:rsidRPr="00980878">
        <w:rPr>
          <w:lang w:val="en-US"/>
        </w:rPr>
        <w:fldChar w:fldCharType="begin"/>
      </w:r>
      <w:r w:rsidRPr="008467B6">
        <w:rPr>
          <w:lang w:val="en-US"/>
        </w:rPr>
        <w:instrText xml:space="preserve"> STYLEREF 1 \s </w:instrText>
      </w:r>
      <w:r w:rsidRPr="00980878">
        <w:rPr>
          <w:lang w:val="en-US"/>
        </w:rPr>
        <w:fldChar w:fldCharType="separate"/>
      </w:r>
      <w:r>
        <w:rPr>
          <w:noProof/>
          <w:lang w:val="en-US"/>
        </w:rPr>
        <w:t>6</w:t>
      </w:r>
      <w:r w:rsidRPr="00980878">
        <w:rPr>
          <w:lang w:val="en-US"/>
        </w:rPr>
        <w:fldChar w:fldCharType="end"/>
      </w:r>
      <w:r w:rsidRPr="008467B6">
        <w:rPr>
          <w:lang w:val="en-US"/>
        </w:rPr>
        <w:noBreakHyphen/>
      </w:r>
      <w:r w:rsidRPr="00980878">
        <w:rPr>
          <w:lang w:val="en-US"/>
        </w:rPr>
        <w:fldChar w:fldCharType="begin"/>
      </w:r>
      <w:r w:rsidRPr="008467B6">
        <w:rPr>
          <w:lang w:val="en-US"/>
        </w:rPr>
        <w:instrText xml:space="preserve"> SEQ Table \* ARABIC \s 1 </w:instrText>
      </w:r>
      <w:r w:rsidRPr="00980878">
        <w:rPr>
          <w:lang w:val="en-US"/>
        </w:rPr>
        <w:fldChar w:fldCharType="separate"/>
      </w:r>
      <w:r>
        <w:rPr>
          <w:noProof/>
          <w:lang w:val="en-US"/>
        </w:rPr>
        <w:t>1</w:t>
      </w:r>
      <w:r w:rsidRPr="00980878">
        <w:rPr>
          <w:lang w:val="en-US"/>
        </w:rPr>
        <w:fldChar w:fldCharType="end"/>
      </w:r>
      <w:bookmarkEnd w:id="66"/>
      <w:bookmarkEnd w:id="67"/>
      <w:bookmarkEnd w:id="68"/>
      <w:bookmarkEnd w:id="69"/>
      <w:r w:rsidRPr="008467B6">
        <w:rPr>
          <w:lang w:val="en-US"/>
        </w:rPr>
        <w:t xml:space="preserve"> – </w:t>
      </w:r>
      <w:bookmarkStart w:id="70" w:name="OLE_LINK74"/>
      <w:bookmarkStart w:id="71" w:name="OLE_LINK75"/>
      <w:bookmarkStart w:id="72" w:name="OLE_LINK76"/>
      <w:r w:rsidRPr="00980878">
        <w:rPr>
          <w:lang w:val="en-US"/>
        </w:rPr>
        <w:t>Transfer_characteristics</w:t>
      </w:r>
      <w:r w:rsidRPr="008467B6">
        <w:rPr>
          <w:lang w:val="en-US"/>
        </w:rPr>
        <w:t xml:space="preserve"> indication in VUI in HEVC.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60"/>
        <w:gridCol w:w="1767"/>
      </w:tblGrid>
      <w:tr w:rsidR="007B6848" w:rsidRPr="008467B6" w14:paraId="40963445" w14:textId="77777777" w:rsidTr="004B3F76">
        <w:trPr>
          <w:trHeight w:val="300"/>
          <w:jc w:val="center"/>
        </w:trPr>
        <w:tc>
          <w:tcPr>
            <w:tcW w:w="2417" w:type="dxa"/>
            <w:shd w:val="clear" w:color="auto" w:fill="auto"/>
            <w:noWrap/>
            <w:hideMark/>
          </w:tcPr>
          <w:p w14:paraId="45B2FA46" w14:textId="77777777" w:rsidR="007B6848" w:rsidRPr="008467B6" w:rsidRDefault="007B6848" w:rsidP="004B3F76">
            <w:pPr>
              <w:spacing w:before="40" w:after="40"/>
              <w:jc w:val="center"/>
            </w:pPr>
          </w:p>
        </w:tc>
        <w:tc>
          <w:tcPr>
            <w:tcW w:w="1960" w:type="dxa"/>
            <w:shd w:val="clear" w:color="auto" w:fill="auto"/>
            <w:noWrap/>
            <w:hideMark/>
          </w:tcPr>
          <w:p w14:paraId="7E383A59" w14:textId="77777777" w:rsidR="007B6848" w:rsidRPr="008467B6" w:rsidRDefault="007B6848" w:rsidP="004B3F76">
            <w:pPr>
              <w:spacing w:before="40" w:after="40"/>
              <w:jc w:val="center"/>
              <w:rPr>
                <w:b/>
              </w:rPr>
            </w:pPr>
            <w:r w:rsidRPr="008467B6">
              <w:rPr>
                <w:b/>
              </w:rPr>
              <w:t>PQ</w:t>
            </w:r>
          </w:p>
        </w:tc>
        <w:tc>
          <w:tcPr>
            <w:tcW w:w="1767" w:type="dxa"/>
            <w:shd w:val="clear" w:color="auto" w:fill="auto"/>
            <w:noWrap/>
            <w:hideMark/>
          </w:tcPr>
          <w:p w14:paraId="4E237040" w14:textId="77777777" w:rsidR="007B6848" w:rsidRPr="008467B6" w:rsidRDefault="007B6848" w:rsidP="004B3F76">
            <w:pPr>
              <w:spacing w:before="40" w:after="40"/>
              <w:jc w:val="center"/>
              <w:rPr>
                <w:b/>
              </w:rPr>
            </w:pPr>
            <w:r w:rsidRPr="008467B6">
              <w:rPr>
                <w:b/>
              </w:rPr>
              <w:t>HLG</w:t>
            </w:r>
          </w:p>
        </w:tc>
      </w:tr>
      <w:tr w:rsidR="007B6848" w:rsidRPr="008467B6" w14:paraId="396CF1F0" w14:textId="77777777" w:rsidTr="004B3F76">
        <w:trPr>
          <w:trHeight w:val="300"/>
          <w:jc w:val="center"/>
        </w:trPr>
        <w:tc>
          <w:tcPr>
            <w:tcW w:w="2417" w:type="dxa"/>
            <w:shd w:val="clear" w:color="auto" w:fill="auto"/>
            <w:noWrap/>
            <w:hideMark/>
          </w:tcPr>
          <w:p w14:paraId="5D601FEB" w14:textId="77777777" w:rsidR="007B6848" w:rsidRPr="008467B6" w:rsidRDefault="007B6848" w:rsidP="004B3F76">
            <w:pPr>
              <w:spacing w:before="40" w:after="40"/>
              <w:jc w:val="center"/>
              <w:rPr>
                <w:b/>
              </w:rPr>
            </w:pPr>
            <w:r w:rsidRPr="008467B6">
              <w:rPr>
                <w:b/>
              </w:rPr>
              <w:t>transfer_characteristics</w:t>
            </w:r>
          </w:p>
        </w:tc>
        <w:tc>
          <w:tcPr>
            <w:tcW w:w="1960" w:type="dxa"/>
            <w:shd w:val="clear" w:color="auto" w:fill="auto"/>
            <w:noWrap/>
            <w:hideMark/>
          </w:tcPr>
          <w:p w14:paraId="4BB566F1" w14:textId="77777777" w:rsidR="007B6848" w:rsidRPr="008467B6" w:rsidRDefault="007B6848" w:rsidP="004B3F76">
            <w:pPr>
              <w:spacing w:before="40" w:after="40"/>
              <w:jc w:val="center"/>
            </w:pPr>
            <w:r w:rsidRPr="008467B6">
              <w:t>16</w:t>
            </w:r>
          </w:p>
        </w:tc>
        <w:tc>
          <w:tcPr>
            <w:tcW w:w="1767" w:type="dxa"/>
            <w:shd w:val="clear" w:color="auto" w:fill="auto"/>
            <w:noWrap/>
            <w:hideMark/>
          </w:tcPr>
          <w:p w14:paraId="093B0CF6" w14:textId="77777777" w:rsidR="007B6848" w:rsidRPr="008467B6" w:rsidRDefault="007B6848" w:rsidP="004B3F76">
            <w:pPr>
              <w:spacing w:before="40" w:after="40"/>
              <w:jc w:val="center"/>
            </w:pPr>
            <w:r w:rsidRPr="008467B6">
              <w:t>18</w:t>
            </w:r>
          </w:p>
        </w:tc>
      </w:tr>
    </w:tbl>
    <w:p w14:paraId="238A6359" w14:textId="77777777" w:rsidR="007B6848" w:rsidRPr="008467B6" w:rsidRDefault="007B6848" w:rsidP="007B6848">
      <w:pPr>
        <w:pStyle w:val="Caption"/>
        <w:rPr>
          <w:lang w:val="en-US"/>
        </w:rPr>
      </w:pPr>
      <w:bookmarkStart w:id="73" w:name="_Ref460248950"/>
      <w:bookmarkEnd w:id="70"/>
      <w:bookmarkEnd w:id="71"/>
      <w:bookmarkEnd w:id="72"/>
      <w:r w:rsidRPr="008467B6">
        <w:rPr>
          <w:lang w:val="en-US"/>
        </w:rPr>
        <w:t xml:space="preserve">Table </w:t>
      </w:r>
      <w:r w:rsidRPr="00980878">
        <w:rPr>
          <w:lang w:val="en-US"/>
        </w:rPr>
        <w:fldChar w:fldCharType="begin"/>
      </w:r>
      <w:r w:rsidRPr="008467B6">
        <w:rPr>
          <w:lang w:val="en-US"/>
        </w:rPr>
        <w:instrText xml:space="preserve"> STYLEREF 1 \s </w:instrText>
      </w:r>
      <w:r w:rsidRPr="00980878">
        <w:rPr>
          <w:lang w:val="en-US"/>
        </w:rPr>
        <w:fldChar w:fldCharType="separate"/>
      </w:r>
      <w:r>
        <w:rPr>
          <w:noProof/>
          <w:lang w:val="en-US"/>
        </w:rPr>
        <w:t>6</w:t>
      </w:r>
      <w:r w:rsidRPr="00980878">
        <w:rPr>
          <w:lang w:val="en-US"/>
        </w:rPr>
        <w:fldChar w:fldCharType="end"/>
      </w:r>
      <w:r w:rsidRPr="008467B6">
        <w:rPr>
          <w:lang w:val="en-US"/>
        </w:rPr>
        <w:noBreakHyphen/>
      </w:r>
      <w:r w:rsidRPr="00980878">
        <w:rPr>
          <w:lang w:val="en-US"/>
        </w:rPr>
        <w:fldChar w:fldCharType="begin"/>
      </w:r>
      <w:r w:rsidRPr="008467B6">
        <w:rPr>
          <w:lang w:val="en-US"/>
        </w:rPr>
        <w:instrText xml:space="preserve"> SEQ Table \* ARABIC \s 1 </w:instrText>
      </w:r>
      <w:r w:rsidRPr="00980878">
        <w:rPr>
          <w:lang w:val="en-US"/>
        </w:rPr>
        <w:fldChar w:fldCharType="separate"/>
      </w:r>
      <w:r>
        <w:rPr>
          <w:noProof/>
          <w:lang w:val="en-US"/>
        </w:rPr>
        <w:t>2</w:t>
      </w:r>
      <w:r w:rsidRPr="00980878">
        <w:rPr>
          <w:lang w:val="en-US"/>
        </w:rPr>
        <w:fldChar w:fldCharType="end"/>
      </w:r>
      <w:bookmarkEnd w:id="73"/>
      <w:r w:rsidRPr="008467B6">
        <w:rPr>
          <w:lang w:val="en-US"/>
        </w:rPr>
        <w:t xml:space="preserve"> – M</w:t>
      </w:r>
      <w:r w:rsidRPr="00980878">
        <w:rPr>
          <w:lang w:val="en-US"/>
        </w:rPr>
        <w:t xml:space="preserve">atrix_coeffs </w:t>
      </w:r>
      <w:r w:rsidRPr="008467B6">
        <w:rPr>
          <w:lang w:val="en-US"/>
        </w:rPr>
        <w:t>indication in VUI in HEVC.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60"/>
        <w:gridCol w:w="1767"/>
      </w:tblGrid>
      <w:tr w:rsidR="007B6848" w:rsidRPr="008467B6" w14:paraId="131B9E9D" w14:textId="77777777" w:rsidTr="004B3F76">
        <w:trPr>
          <w:trHeight w:val="300"/>
          <w:jc w:val="center"/>
        </w:trPr>
        <w:tc>
          <w:tcPr>
            <w:tcW w:w="2417" w:type="dxa"/>
            <w:shd w:val="clear" w:color="auto" w:fill="auto"/>
            <w:noWrap/>
            <w:hideMark/>
          </w:tcPr>
          <w:p w14:paraId="0F121B09" w14:textId="77777777" w:rsidR="007B6848" w:rsidRPr="008467B6" w:rsidRDefault="007B6848" w:rsidP="004B3F76">
            <w:pPr>
              <w:spacing w:before="40" w:after="40"/>
              <w:jc w:val="center"/>
            </w:pPr>
          </w:p>
        </w:tc>
        <w:tc>
          <w:tcPr>
            <w:tcW w:w="1960" w:type="dxa"/>
            <w:shd w:val="clear" w:color="auto" w:fill="auto"/>
            <w:noWrap/>
            <w:hideMark/>
          </w:tcPr>
          <w:p w14:paraId="44A3E99B" w14:textId="77777777" w:rsidR="007B6848" w:rsidRPr="008467B6" w:rsidRDefault="007B6848" w:rsidP="004B3F76">
            <w:pPr>
              <w:spacing w:before="40" w:after="40"/>
              <w:jc w:val="center"/>
              <w:rPr>
                <w:b/>
              </w:rPr>
            </w:pPr>
            <w:r w:rsidRPr="008467B6">
              <w:rPr>
                <w:b/>
              </w:rPr>
              <w:t>NCL Y</w:t>
            </w:r>
            <w:r w:rsidRPr="008467B6">
              <w:rPr>
                <w:b/>
              </w:rPr>
              <w:sym w:font="Symbol" w:char="F0A2"/>
            </w:r>
            <w:r w:rsidRPr="008467B6">
              <w:rPr>
                <w:b/>
              </w:rPr>
              <w:t>CbCr</w:t>
            </w:r>
          </w:p>
        </w:tc>
        <w:tc>
          <w:tcPr>
            <w:tcW w:w="1767" w:type="dxa"/>
            <w:shd w:val="clear" w:color="auto" w:fill="auto"/>
            <w:noWrap/>
            <w:hideMark/>
          </w:tcPr>
          <w:p w14:paraId="5F45C822" w14:textId="77777777" w:rsidR="007B6848" w:rsidRPr="008467B6" w:rsidRDefault="007B6848" w:rsidP="004B3F76">
            <w:pPr>
              <w:spacing w:before="40" w:after="40"/>
              <w:jc w:val="center"/>
              <w:rPr>
                <w:b/>
              </w:rPr>
            </w:pPr>
            <w:r w:rsidRPr="008467B6">
              <w:rPr>
                <w:b/>
              </w:rPr>
              <w:t>CI IC</w:t>
            </w:r>
            <w:r w:rsidRPr="008467B6">
              <w:rPr>
                <w:b/>
                <w:vertAlign w:val="subscript"/>
              </w:rPr>
              <w:t>T</w:t>
            </w:r>
            <w:r w:rsidRPr="008467B6">
              <w:rPr>
                <w:b/>
              </w:rPr>
              <w:t>C</w:t>
            </w:r>
            <w:r w:rsidRPr="008467B6">
              <w:rPr>
                <w:b/>
                <w:vertAlign w:val="subscript"/>
              </w:rPr>
              <w:t>P</w:t>
            </w:r>
          </w:p>
        </w:tc>
      </w:tr>
      <w:tr w:rsidR="007B6848" w:rsidRPr="008467B6" w14:paraId="52988A79" w14:textId="77777777" w:rsidTr="004B3F76">
        <w:trPr>
          <w:trHeight w:val="300"/>
          <w:jc w:val="center"/>
        </w:trPr>
        <w:tc>
          <w:tcPr>
            <w:tcW w:w="2417" w:type="dxa"/>
            <w:shd w:val="clear" w:color="auto" w:fill="auto"/>
            <w:noWrap/>
            <w:hideMark/>
          </w:tcPr>
          <w:p w14:paraId="25A0B3D8" w14:textId="77777777" w:rsidR="007B6848" w:rsidRPr="008467B6" w:rsidRDefault="007B6848" w:rsidP="004B3F76">
            <w:pPr>
              <w:spacing w:before="40" w:after="40"/>
              <w:jc w:val="center"/>
              <w:rPr>
                <w:b/>
              </w:rPr>
            </w:pPr>
            <w:r w:rsidRPr="008467B6">
              <w:rPr>
                <w:b/>
              </w:rPr>
              <w:t>matrix_coeffs</w:t>
            </w:r>
          </w:p>
        </w:tc>
        <w:tc>
          <w:tcPr>
            <w:tcW w:w="1960" w:type="dxa"/>
            <w:shd w:val="clear" w:color="auto" w:fill="auto"/>
            <w:noWrap/>
            <w:hideMark/>
          </w:tcPr>
          <w:p w14:paraId="212031E6" w14:textId="77777777" w:rsidR="007B6848" w:rsidRPr="008467B6" w:rsidRDefault="007B6848" w:rsidP="004B3F76">
            <w:pPr>
              <w:spacing w:before="40" w:after="40"/>
              <w:jc w:val="center"/>
            </w:pPr>
            <w:r w:rsidRPr="008467B6">
              <w:t>9</w:t>
            </w:r>
          </w:p>
        </w:tc>
        <w:tc>
          <w:tcPr>
            <w:tcW w:w="1767" w:type="dxa"/>
            <w:shd w:val="clear" w:color="auto" w:fill="auto"/>
            <w:noWrap/>
            <w:hideMark/>
          </w:tcPr>
          <w:p w14:paraId="6B270285" w14:textId="77777777" w:rsidR="007B6848" w:rsidRPr="008467B6" w:rsidRDefault="007B6848" w:rsidP="004B3F76">
            <w:pPr>
              <w:spacing w:before="40" w:after="40"/>
              <w:jc w:val="center"/>
            </w:pPr>
            <w:r w:rsidRPr="008467B6">
              <w:t>14</w:t>
            </w:r>
          </w:p>
        </w:tc>
      </w:tr>
    </w:tbl>
    <w:p w14:paraId="41051BFF" w14:textId="77777777" w:rsidR="007B6848" w:rsidRPr="008467B6" w:rsidRDefault="007B6848" w:rsidP="007B6848">
      <w:pPr>
        <w:spacing w:before="60"/>
        <w:ind w:left="288"/>
      </w:pPr>
    </w:p>
    <w:p w14:paraId="7C0FEFE2" w14:textId="77777777" w:rsidR="007B6848" w:rsidRPr="008467B6" w:rsidRDefault="007B6848" w:rsidP="007B6848">
      <w:pPr>
        <w:spacing w:before="60"/>
        <w:ind w:left="288"/>
        <w:rPr>
          <w:sz w:val="18"/>
        </w:rPr>
      </w:pPr>
      <w:r w:rsidRPr="008467B6">
        <w:rPr>
          <w:sz w:val="18"/>
        </w:rPr>
        <w:t>NOTE 1 – PQ is also specified in SMPTE ST 2084</w:t>
      </w:r>
      <w:r>
        <w:rPr>
          <w:sz w:val="18"/>
        </w:rPr>
        <w:t xml:space="preserve"> </w:t>
      </w:r>
      <w:r>
        <w:rPr>
          <w:sz w:val="18"/>
        </w:rPr>
        <w:fldChar w:fldCharType="begin"/>
      </w:r>
      <w:r>
        <w:rPr>
          <w:sz w:val="18"/>
        </w:rPr>
        <w:instrText xml:space="preserve"> REF _Ref467238030 \r \h </w:instrText>
      </w:r>
      <w:r>
        <w:rPr>
          <w:sz w:val="18"/>
        </w:rPr>
      </w:r>
      <w:r>
        <w:rPr>
          <w:sz w:val="18"/>
        </w:rPr>
        <w:fldChar w:fldCharType="separate"/>
      </w:r>
      <w:r>
        <w:rPr>
          <w:sz w:val="18"/>
        </w:rPr>
        <w:t>[13]</w:t>
      </w:r>
      <w:r>
        <w:rPr>
          <w:sz w:val="18"/>
        </w:rPr>
        <w:fldChar w:fldCharType="end"/>
      </w:r>
      <w:r w:rsidRPr="008467B6">
        <w:rPr>
          <w:sz w:val="18"/>
        </w:rPr>
        <w:t xml:space="preserve"> and HLG is also specified in ARIB STD-B67.</w:t>
      </w:r>
    </w:p>
    <w:p w14:paraId="0A72A0AC" w14:textId="77777777" w:rsidR="007B6848" w:rsidRDefault="007B6848" w:rsidP="007B6848">
      <w:pPr>
        <w:spacing w:before="60"/>
        <w:ind w:left="288"/>
        <w:rPr>
          <w:sz w:val="18"/>
        </w:rPr>
      </w:pPr>
      <w:r w:rsidRPr="008467B6">
        <w:rPr>
          <w:sz w:val="18"/>
        </w:rPr>
        <w:t>NOTE 2 – VUI syntax elements values for PQ, HLG and IC</w:t>
      </w:r>
      <w:r w:rsidRPr="008467B6">
        <w:rPr>
          <w:sz w:val="18"/>
          <w:vertAlign w:val="subscript"/>
        </w:rPr>
        <w:t>T</w:t>
      </w:r>
      <w:r w:rsidRPr="008467B6">
        <w:rPr>
          <w:sz w:val="18"/>
        </w:rPr>
        <w:t>C</w:t>
      </w:r>
      <w:r w:rsidRPr="008467B6">
        <w:rPr>
          <w:sz w:val="18"/>
          <w:vertAlign w:val="subscript"/>
        </w:rPr>
        <w:t>P</w:t>
      </w:r>
      <w:r w:rsidRPr="008467B6">
        <w:rPr>
          <w:sz w:val="18"/>
        </w:rPr>
        <w:t xml:space="preserve"> representation are also defined in AVC </w:t>
      </w:r>
      <w:r>
        <w:rPr>
          <w:sz w:val="18"/>
        </w:rPr>
        <w:fldChar w:fldCharType="begin"/>
      </w:r>
      <w:r>
        <w:rPr>
          <w:sz w:val="18"/>
        </w:rPr>
        <w:instrText xml:space="preserve"> REF _Ref467236857 \r \h </w:instrText>
      </w:r>
      <w:r>
        <w:rPr>
          <w:sz w:val="18"/>
        </w:rPr>
      </w:r>
      <w:r>
        <w:rPr>
          <w:sz w:val="18"/>
        </w:rPr>
        <w:fldChar w:fldCharType="separate"/>
      </w:r>
      <w:r>
        <w:rPr>
          <w:sz w:val="18"/>
        </w:rPr>
        <w:t>[6]</w:t>
      </w:r>
      <w:r>
        <w:rPr>
          <w:sz w:val="18"/>
        </w:rPr>
        <w:fldChar w:fldCharType="end"/>
      </w:r>
      <w:r>
        <w:rPr>
          <w:sz w:val="18"/>
        </w:rPr>
        <w:fldChar w:fldCharType="begin"/>
      </w:r>
      <w:r>
        <w:rPr>
          <w:sz w:val="18"/>
        </w:rPr>
        <w:instrText xml:space="preserve"> REF _Ref467236864 \r \h </w:instrText>
      </w:r>
      <w:r>
        <w:rPr>
          <w:sz w:val="18"/>
        </w:rPr>
      </w:r>
      <w:r>
        <w:rPr>
          <w:sz w:val="18"/>
        </w:rPr>
        <w:fldChar w:fldCharType="separate"/>
      </w:r>
      <w:r>
        <w:rPr>
          <w:sz w:val="18"/>
        </w:rPr>
        <w:t>[7]</w:t>
      </w:r>
      <w:r>
        <w:rPr>
          <w:sz w:val="18"/>
        </w:rPr>
        <w:fldChar w:fldCharType="end"/>
      </w:r>
      <w:r w:rsidRPr="008467B6">
        <w:rPr>
          <w:sz w:val="18"/>
        </w:rPr>
        <w:t>.</w:t>
      </w:r>
    </w:p>
    <w:p w14:paraId="6A8AABCA" w14:textId="77777777" w:rsidR="007B6848" w:rsidRDefault="007B6848" w:rsidP="007B6848">
      <w:pPr>
        <w:pStyle w:val="Heading3"/>
      </w:pPr>
      <w:bookmarkStart w:id="74" w:name="_Toc467226091"/>
      <w:r>
        <w:t xml:space="preserve">PQ EOTF </w:t>
      </w:r>
      <w:bookmarkEnd w:id="74"/>
    </w:p>
    <w:p w14:paraId="64ED6542"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t xml:space="preserve">The inverse PQ </w:t>
      </w:r>
      <w:r w:rsidRPr="008467B6">
        <w:t>EOTF</w:t>
      </w:r>
      <w:r>
        <w:t xml:space="preserve"> is described in </w:t>
      </w:r>
      <w:r w:rsidRPr="008467B6">
        <w:rPr>
          <w:color w:val="000000" w:themeColor="text1"/>
        </w:rPr>
        <w:t xml:space="preserve">Table E.4 of the HEVC specification </w:t>
      </w:r>
      <w:r w:rsidRPr="008467B6">
        <w:rPr>
          <w:color w:val="000000" w:themeColor="text1"/>
        </w:rPr>
        <w:fldChar w:fldCharType="begin"/>
      </w:r>
      <w:r w:rsidRPr="008467B6">
        <w:rPr>
          <w:color w:val="000000" w:themeColor="text1"/>
        </w:rPr>
        <w:instrText xml:space="preserve"> REF _Ref324152123 \r \h </w:instrText>
      </w:r>
      <w:r w:rsidRPr="008467B6">
        <w:rPr>
          <w:color w:val="000000" w:themeColor="text1"/>
        </w:rPr>
      </w:r>
      <w:r w:rsidRPr="008467B6">
        <w:rPr>
          <w:color w:val="000000" w:themeColor="text1"/>
        </w:rPr>
        <w:fldChar w:fldCharType="separate"/>
      </w:r>
      <w:r>
        <w:rPr>
          <w:color w:val="000000" w:themeColor="text1"/>
        </w:rPr>
        <w:t>[4]</w:t>
      </w:r>
      <w:r w:rsidRPr="008467B6">
        <w:rPr>
          <w:color w:val="000000" w:themeColor="text1"/>
        </w:rPr>
        <w:fldChar w:fldCharType="end"/>
      </w:r>
      <w:r w:rsidRPr="00980878">
        <w:rPr>
          <w:color w:val="000000" w:themeColor="text1"/>
        </w:rPr>
        <w:fldChar w:fldCharType="begin"/>
      </w:r>
      <w:r w:rsidRPr="008467B6">
        <w:rPr>
          <w:color w:val="000000" w:themeColor="text1"/>
        </w:rPr>
        <w:instrText xml:space="preserve"> REF _Ref464312482 \r \h </w:instrText>
      </w:r>
      <w:r w:rsidRPr="00980878">
        <w:rPr>
          <w:color w:val="000000" w:themeColor="text1"/>
        </w:rPr>
      </w:r>
      <w:r w:rsidRPr="00980878">
        <w:rPr>
          <w:color w:val="000000" w:themeColor="text1"/>
        </w:rPr>
        <w:fldChar w:fldCharType="separate"/>
      </w:r>
      <w:r>
        <w:rPr>
          <w:color w:val="000000" w:themeColor="text1"/>
        </w:rPr>
        <w:t>[5]</w:t>
      </w:r>
      <w:r w:rsidRPr="00980878">
        <w:rPr>
          <w:color w:val="000000" w:themeColor="text1"/>
        </w:rPr>
        <w:fldChar w:fldCharType="end"/>
      </w:r>
      <w:r w:rsidRPr="008467B6">
        <w:t xml:space="preserve"> for transfer_characteristics equal to 1</w:t>
      </w:r>
      <w:r>
        <w:t xml:space="preserve">6. </w:t>
      </w:r>
      <w:r w:rsidRPr="008467B6">
        <w:t>More specifically, the non-linear light representation V of a linear light intensity signal L</w:t>
      </w:r>
      <w:r w:rsidRPr="008467B6">
        <w:rPr>
          <w:vertAlign w:val="subscript"/>
        </w:rPr>
        <w:t>o</w:t>
      </w:r>
      <w:r w:rsidRPr="008467B6">
        <w:t>, which takes values normalized to the range [0, 1], can be computed as:</w:t>
      </w:r>
      <w:r>
        <w:t xml:space="preserve">  </w:t>
      </w:r>
    </w:p>
    <w:p w14:paraId="02527F01" w14:textId="77777777" w:rsidR="007B6848" w:rsidRPr="008467B6" w:rsidRDefault="007B6848" w:rsidP="007B6848">
      <w:r w:rsidRPr="008467B6">
        <w:tab/>
      </w:r>
      <w:bookmarkStart w:id="75" w:name="_Ref467139224"/>
      <m:oMath>
        <m:r>
          <m:rPr>
            <m:sty m:val="p"/>
          </m:rPr>
          <w:rPr>
            <w:rFonts w:ascii="Cambria Math" w:hAnsi="Cambria Math"/>
          </w:rPr>
          <m:t>V=iEO</m:t>
        </m:r>
        <m:sSub>
          <m:sSubPr>
            <m:ctrlPr>
              <w:rPr>
                <w:rFonts w:ascii="Cambria Math" w:eastAsiaTheme="minorHAnsi" w:hAnsi="Cambria Math" w:cstheme="minorBidi"/>
                <w:sz w:val="24"/>
                <w:lang w:eastAsia="en-US"/>
              </w:rPr>
            </m:ctrlPr>
          </m:sSubPr>
          <m:e>
            <m:r>
              <m:rPr>
                <m:sty m:val="p"/>
              </m:rPr>
              <w:rPr>
                <w:rFonts w:ascii="Cambria Math" w:hAnsi="Cambria Math"/>
              </w:rPr>
              <m:t>TF</m:t>
            </m:r>
          </m:e>
          <m:sub>
            <m:r>
              <m:rPr>
                <m:sty m:val="p"/>
              </m:rPr>
              <w:rPr>
                <w:rFonts w:ascii="Cambria Math" w:hAnsi="Cambria Math"/>
              </w:rPr>
              <m:t>PQ</m:t>
            </m:r>
          </m:sub>
        </m:sSub>
        <m:d>
          <m:dPr>
            <m:ctrlPr>
              <w:rPr>
                <w:rFonts w:ascii="Cambria Math" w:eastAsiaTheme="minorHAnsi" w:hAnsi="Cambria Math" w:cstheme="minorBidi"/>
                <w:sz w:val="24"/>
                <w:lang w:eastAsia="en-US"/>
              </w:rPr>
            </m:ctrlPr>
          </m:dPr>
          <m:e>
            <m:sSub>
              <m:sSubPr>
                <m:ctrlPr>
                  <w:rPr>
                    <w:rFonts w:ascii="Cambria Math" w:eastAsiaTheme="minorHAnsi" w:hAnsi="Cambria Math" w:cstheme="minorBidi"/>
                    <w:sz w:val="24"/>
                    <w:lang w:eastAsia="en-US"/>
                  </w:rPr>
                </m:ctrlPr>
              </m:sSubPr>
              <m:e>
                <m:r>
                  <m:rPr>
                    <m:sty m:val="p"/>
                  </m:rPr>
                  <w:rPr>
                    <w:rFonts w:ascii="Cambria Math" w:hAnsi="Cambria Math"/>
                  </w:rPr>
                  <m:t>L</m:t>
                </m:r>
              </m:e>
              <m:sub>
                <m:r>
                  <m:rPr>
                    <m:sty m:val="p"/>
                  </m:rPr>
                  <w:rPr>
                    <w:rFonts w:ascii="Cambria Math" w:hAnsi="Cambria Math"/>
                  </w:rPr>
                  <m:t>o</m:t>
                </m:r>
              </m:sub>
            </m:sSub>
          </m:e>
        </m:d>
        <m:r>
          <m:rPr>
            <m:sty m:val="p"/>
          </m:rPr>
          <w:rPr>
            <w:rFonts w:ascii="Cambria Math" w:hAnsi="Cambria Math"/>
          </w:rPr>
          <m:t>=</m:t>
        </m:r>
        <m:sSup>
          <m:sSupPr>
            <m:ctrlPr>
              <w:rPr>
                <w:rFonts w:ascii="Cambria Math" w:eastAsiaTheme="minorHAnsi" w:hAnsi="Cambria Math" w:cstheme="minorBidi"/>
                <w:sz w:val="24"/>
                <w:lang w:eastAsia="en-US"/>
              </w:rPr>
            </m:ctrlPr>
          </m:sSupPr>
          <m:e>
            <m:d>
              <m:dPr>
                <m:ctrlPr>
                  <w:rPr>
                    <w:rFonts w:ascii="Cambria Math" w:eastAsiaTheme="minorHAnsi" w:hAnsi="Cambria Math" w:cstheme="minorBidi"/>
                    <w:sz w:val="24"/>
                    <w:lang w:eastAsia="en-US"/>
                  </w:rPr>
                </m:ctrlPr>
              </m:dPr>
              <m:e>
                <m:f>
                  <m:fPr>
                    <m:ctrlPr>
                      <w:rPr>
                        <w:rFonts w:ascii="Cambria Math" w:eastAsiaTheme="minorHAnsi" w:hAnsi="Cambria Math" w:cstheme="minorBidi"/>
                        <w:sz w:val="24"/>
                        <w:lang w:eastAsia="en-US"/>
                      </w:rPr>
                    </m:ctrlPr>
                  </m:fPr>
                  <m:num>
                    <m:sSub>
                      <m:sSubPr>
                        <m:ctrlPr>
                          <w:rPr>
                            <w:rFonts w:ascii="Cambria Math" w:eastAsiaTheme="minorHAnsi" w:hAnsi="Cambria Math" w:cstheme="minorBidi"/>
                            <w:sz w:val="24"/>
                            <w:lang w:eastAsia="en-US"/>
                          </w:rPr>
                        </m:ctrlPr>
                      </m:sSubPr>
                      <m:e>
                        <m:r>
                          <m:rPr>
                            <m:sty m:val="p"/>
                          </m:rPr>
                          <w:rPr>
                            <w:rFonts w:ascii="Cambria Math" w:hAnsi="Cambria Math"/>
                          </w:rPr>
                          <m:t>c</m:t>
                        </m:r>
                      </m:e>
                      <m:sub>
                        <m:r>
                          <m:rPr>
                            <m:sty m:val="p"/>
                          </m:rPr>
                          <w:rPr>
                            <w:rFonts w:ascii="Cambria Math" w:hAnsi="Cambria Math"/>
                          </w:rPr>
                          <m:t>1</m:t>
                        </m:r>
                      </m:sub>
                    </m:sSub>
                    <m:r>
                      <m:rPr>
                        <m:sty m:val="p"/>
                      </m:rPr>
                      <w:rPr>
                        <w:rFonts w:ascii="Cambria Math" w:hAnsi="Cambria Math"/>
                      </w:rPr>
                      <m:t>+</m:t>
                    </m:r>
                    <m:sSub>
                      <m:sSubPr>
                        <m:ctrlPr>
                          <w:rPr>
                            <w:rFonts w:ascii="Cambria Math" w:eastAsiaTheme="minorHAnsi" w:hAnsi="Cambria Math" w:cstheme="minorBidi"/>
                            <w:sz w:val="24"/>
                            <w:lang w:eastAsia="en-US"/>
                          </w:rPr>
                        </m:ctrlPr>
                      </m:sSubPr>
                      <m:e>
                        <m:r>
                          <m:rPr>
                            <m:sty m:val="p"/>
                          </m:rPr>
                          <w:rPr>
                            <w:rFonts w:ascii="Cambria Math" w:hAnsi="Cambria Math"/>
                          </w:rPr>
                          <m:t>c</m:t>
                        </m:r>
                      </m:e>
                      <m:sub>
                        <m:r>
                          <m:rPr>
                            <m:sty m:val="p"/>
                          </m:rPr>
                          <w:rPr>
                            <w:rFonts w:ascii="Cambria Math" w:hAnsi="Cambria Math"/>
                          </w:rPr>
                          <m:t>2</m:t>
                        </m:r>
                      </m:sub>
                    </m:sSub>
                    <m:r>
                      <m:rPr>
                        <m:sty m:val="p"/>
                      </m:rPr>
                      <w:rPr>
                        <w:rFonts w:ascii="Cambria Math" w:hAnsi="Cambria Math"/>
                      </w:rPr>
                      <m:t>*</m:t>
                    </m:r>
                    <m:sSubSup>
                      <m:sSubSupPr>
                        <m:ctrlPr>
                          <w:rPr>
                            <w:rFonts w:ascii="Cambria Math" w:eastAsiaTheme="minorHAnsi" w:hAnsi="Cambria Math" w:cstheme="minorBidi"/>
                            <w:sz w:val="24"/>
                            <w:lang w:eastAsia="en-US"/>
                          </w:rPr>
                        </m:ctrlPr>
                      </m:sSubSupPr>
                      <m:e>
                        <m:r>
                          <m:rPr>
                            <m:sty m:val="p"/>
                          </m:rPr>
                          <w:rPr>
                            <w:rFonts w:ascii="Cambria Math" w:hAnsi="Cambria Math"/>
                          </w:rPr>
                          <m:t>L</m:t>
                        </m:r>
                      </m:e>
                      <m:sub>
                        <m:r>
                          <m:rPr>
                            <m:sty m:val="p"/>
                          </m:rPr>
                          <w:rPr>
                            <w:rFonts w:ascii="Cambria Math" w:hAnsi="Cambria Math"/>
                          </w:rPr>
                          <m:t>o</m:t>
                        </m:r>
                      </m:sub>
                      <m:sup>
                        <m:r>
                          <m:rPr>
                            <m:sty m:val="p"/>
                          </m:rPr>
                          <w:rPr>
                            <w:rFonts w:ascii="Cambria Math" w:hAnsi="Cambria Math"/>
                          </w:rPr>
                          <m:t>n</m:t>
                        </m:r>
                      </m:sup>
                    </m:sSubSup>
                  </m:num>
                  <m:den>
                    <m:r>
                      <m:rPr>
                        <m:sty m:val="p"/>
                      </m:rPr>
                      <w:rPr>
                        <w:rFonts w:ascii="Cambria Math" w:hAnsi="Cambria Math"/>
                      </w:rPr>
                      <m:t>1+</m:t>
                    </m:r>
                    <m:sSub>
                      <m:sSubPr>
                        <m:ctrlPr>
                          <w:rPr>
                            <w:rFonts w:ascii="Cambria Math" w:eastAsiaTheme="minorHAnsi" w:hAnsi="Cambria Math" w:cstheme="minorBidi"/>
                            <w:sz w:val="24"/>
                            <w:lang w:eastAsia="en-US"/>
                          </w:rPr>
                        </m:ctrlPr>
                      </m:sSubPr>
                      <m:e>
                        <m:r>
                          <m:rPr>
                            <m:sty m:val="p"/>
                          </m:rPr>
                          <w:rPr>
                            <w:rFonts w:ascii="Cambria Math" w:hAnsi="Cambria Math"/>
                          </w:rPr>
                          <m:t>c</m:t>
                        </m:r>
                      </m:e>
                      <m:sub>
                        <m:r>
                          <m:rPr>
                            <m:sty m:val="p"/>
                          </m:rPr>
                          <w:rPr>
                            <w:rFonts w:ascii="Cambria Math" w:hAnsi="Cambria Math"/>
                          </w:rPr>
                          <m:t>3</m:t>
                        </m:r>
                      </m:sub>
                    </m:sSub>
                    <m:r>
                      <m:rPr>
                        <m:sty m:val="p"/>
                      </m:rPr>
                      <w:rPr>
                        <w:rFonts w:ascii="Cambria Math" w:hAnsi="Cambria Math"/>
                      </w:rPr>
                      <m:t>*</m:t>
                    </m:r>
                    <m:sSubSup>
                      <m:sSubSupPr>
                        <m:ctrlPr>
                          <w:rPr>
                            <w:rFonts w:ascii="Cambria Math" w:eastAsiaTheme="minorHAnsi" w:hAnsi="Cambria Math" w:cstheme="minorBidi"/>
                            <w:sz w:val="24"/>
                            <w:lang w:eastAsia="en-US"/>
                          </w:rPr>
                        </m:ctrlPr>
                      </m:sSubSupPr>
                      <m:e>
                        <m:r>
                          <m:rPr>
                            <m:sty m:val="p"/>
                          </m:rPr>
                          <w:rPr>
                            <w:rFonts w:ascii="Cambria Math" w:hAnsi="Cambria Math"/>
                          </w:rPr>
                          <m:t>L</m:t>
                        </m:r>
                      </m:e>
                      <m:sub>
                        <m:r>
                          <m:rPr>
                            <m:sty m:val="p"/>
                          </m:rPr>
                          <w:rPr>
                            <w:rFonts w:ascii="Cambria Math" w:hAnsi="Cambria Math"/>
                          </w:rPr>
                          <m:t>o</m:t>
                        </m:r>
                      </m:sub>
                      <m:sup>
                        <m:r>
                          <m:rPr>
                            <m:sty m:val="p"/>
                          </m:rPr>
                          <w:rPr>
                            <w:rFonts w:ascii="Cambria Math" w:hAnsi="Cambria Math"/>
                          </w:rPr>
                          <m:t>n</m:t>
                        </m:r>
                      </m:sup>
                    </m:sSubSup>
                  </m:den>
                </m:f>
              </m:e>
            </m:d>
          </m:e>
          <m:sup>
            <m:r>
              <m:rPr>
                <m:sty m:val="p"/>
              </m:rPr>
              <w:rPr>
                <w:rFonts w:ascii="Cambria Math" w:hAnsi="Cambria Math"/>
              </w:rPr>
              <m:t>m</m:t>
            </m:r>
          </m:sup>
        </m:sSup>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w:t>
      </w:r>
      <w:r>
        <w:rPr>
          <w:noProof/>
        </w:rPr>
        <w:fldChar w:fldCharType="end"/>
      </w:r>
      <w:bookmarkEnd w:id="75"/>
      <w:r w:rsidRPr="008467B6">
        <w:t>)</w:t>
      </w:r>
    </w:p>
    <w:p w14:paraId="31DEFDAA" w14:textId="77777777" w:rsidR="007B6848" w:rsidRPr="008467B6" w:rsidRDefault="007B6848" w:rsidP="007B6848">
      <w:r w:rsidRPr="008467B6">
        <w:t>where c</w:t>
      </w:r>
      <w:r w:rsidRPr="008467B6">
        <w:rPr>
          <w:vertAlign w:val="subscript"/>
        </w:rPr>
        <w:t>1</w:t>
      </w:r>
      <w:r w:rsidRPr="008467B6">
        <w:t>, c</w:t>
      </w:r>
      <w:r w:rsidRPr="008467B6">
        <w:rPr>
          <w:vertAlign w:val="subscript"/>
        </w:rPr>
        <w:t>2</w:t>
      </w:r>
      <w:r w:rsidRPr="008467B6">
        <w:t>, c</w:t>
      </w:r>
      <w:r w:rsidRPr="008467B6">
        <w:rPr>
          <w:vertAlign w:val="subscript"/>
        </w:rPr>
        <w:t>3</w:t>
      </w:r>
      <w:r w:rsidRPr="008467B6">
        <w:t>, m, and n are constants defined as follows:</w:t>
      </w:r>
    </w:p>
    <w:p w14:paraId="52B6345B" w14:textId="77777777" w:rsidR="007B6848" w:rsidRPr="008467B6" w:rsidRDefault="007B6848" w:rsidP="007B6848">
      <w:r w:rsidRPr="008467B6">
        <w:tab/>
        <w:t>c</w:t>
      </w:r>
      <w:r w:rsidRPr="008467B6">
        <w:rPr>
          <w:vertAlign w:val="subscript"/>
        </w:rPr>
        <w:t>1</w:t>
      </w:r>
      <w:r w:rsidRPr="008467B6">
        <w:t xml:space="preserve"> = c</w:t>
      </w:r>
      <w:r w:rsidRPr="008467B6">
        <w:rPr>
          <w:vertAlign w:val="subscript"/>
        </w:rPr>
        <w:t>3</w:t>
      </w:r>
      <w:r w:rsidRPr="008467B6">
        <w:t xml:space="preserve"> − c</w:t>
      </w:r>
      <w:r w:rsidRPr="008467B6">
        <w:rPr>
          <w:vertAlign w:val="subscript"/>
        </w:rPr>
        <w:t>2</w:t>
      </w:r>
      <w:r w:rsidRPr="008467B6">
        <w:t xml:space="preserve"> + 1 = 3424 ÷ 4096 = 0.835 937 5</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w:t>
      </w:r>
      <w:r>
        <w:rPr>
          <w:noProof/>
        </w:rPr>
        <w:fldChar w:fldCharType="end"/>
      </w:r>
      <w:r w:rsidRPr="008467B6">
        <w:t>)</w:t>
      </w:r>
    </w:p>
    <w:p w14:paraId="3303707C" w14:textId="77777777" w:rsidR="007B6848" w:rsidRPr="008467B6" w:rsidRDefault="007B6848" w:rsidP="007B6848">
      <w:r w:rsidRPr="008467B6">
        <w:tab/>
        <w:t>c</w:t>
      </w:r>
      <w:r w:rsidRPr="008467B6">
        <w:rPr>
          <w:vertAlign w:val="subscript"/>
        </w:rPr>
        <w:t>2</w:t>
      </w:r>
      <w:r w:rsidRPr="008467B6">
        <w:t xml:space="preserve"> = 2413 ÷ 128 = 18.851 562 5</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3</w:t>
      </w:r>
      <w:r>
        <w:rPr>
          <w:noProof/>
        </w:rPr>
        <w:fldChar w:fldCharType="end"/>
      </w:r>
      <w:r w:rsidRPr="008467B6">
        <w:t>)</w:t>
      </w:r>
    </w:p>
    <w:p w14:paraId="25FF0E54" w14:textId="77777777" w:rsidR="007B6848" w:rsidRPr="008467B6" w:rsidRDefault="007B6848" w:rsidP="007B6848">
      <w:r w:rsidRPr="008467B6">
        <w:tab/>
        <w:t>c</w:t>
      </w:r>
      <w:r w:rsidRPr="008467B6">
        <w:rPr>
          <w:vertAlign w:val="subscript"/>
        </w:rPr>
        <w:t>3</w:t>
      </w:r>
      <w:r w:rsidRPr="008467B6">
        <w:t xml:space="preserve"> = 299 ÷ 16 = 18.687 5</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4</w:t>
      </w:r>
      <w:r>
        <w:rPr>
          <w:noProof/>
        </w:rPr>
        <w:fldChar w:fldCharType="end"/>
      </w:r>
      <w:r w:rsidRPr="008467B6">
        <w:t>)</w:t>
      </w:r>
    </w:p>
    <w:p w14:paraId="44D578B8" w14:textId="77777777" w:rsidR="007B6848" w:rsidRPr="008467B6" w:rsidRDefault="007B6848" w:rsidP="007B6848">
      <w:r w:rsidRPr="008467B6">
        <w:lastRenderedPageBreak/>
        <w:tab/>
        <w:t>m = 2523 ÷ 32 = 78.843 75</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5</w:t>
      </w:r>
      <w:r>
        <w:rPr>
          <w:noProof/>
        </w:rPr>
        <w:fldChar w:fldCharType="end"/>
      </w:r>
      <w:r w:rsidRPr="008467B6">
        <w:t>)</w:t>
      </w:r>
    </w:p>
    <w:p w14:paraId="4C84FA44" w14:textId="77777777" w:rsidR="007B6848" w:rsidRPr="008467B6" w:rsidRDefault="007B6848" w:rsidP="007B6848">
      <w:r w:rsidRPr="008467B6">
        <w:tab/>
        <w:t>n = 1305 ÷ 8192 = 0.159 301 757 812 5</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6</w:t>
      </w:r>
      <w:r>
        <w:rPr>
          <w:noProof/>
        </w:rPr>
        <w:fldChar w:fldCharType="end"/>
      </w:r>
      <w:r w:rsidRPr="008467B6">
        <w:t>)</w:t>
      </w:r>
    </w:p>
    <w:p w14:paraId="2481F139" w14:textId="77777777" w:rsidR="007B6848" w:rsidRPr="008467B6" w:rsidRDefault="007B6848" w:rsidP="007B6848">
      <w:r w:rsidRPr="008467B6">
        <w:t xml:space="preserve">The peak value of 1 for </w:t>
      </w:r>
      <w:r w:rsidRPr="008467B6">
        <w:rPr>
          <w:szCs w:val="18"/>
        </w:rPr>
        <w:t>L</w:t>
      </w:r>
      <w:r w:rsidRPr="008467B6">
        <w:rPr>
          <w:szCs w:val="18"/>
          <w:vertAlign w:val="subscript"/>
        </w:rPr>
        <w:t>o</w:t>
      </w:r>
      <w:r w:rsidRPr="008467B6">
        <w:t xml:space="preserve"> is ordinarily intended to correspond to an intensity level of 10 000 cd/m</w:t>
      </w:r>
      <w:r w:rsidRPr="008467B6">
        <w:rPr>
          <w:vertAlign w:val="superscript"/>
        </w:rPr>
        <w:t>2</w:t>
      </w:r>
      <w:r w:rsidRPr="008467B6">
        <w:t xml:space="preserve">, while the value of 0 for </w:t>
      </w:r>
      <w:r w:rsidRPr="008467B6">
        <w:rPr>
          <w:szCs w:val="18"/>
        </w:rPr>
        <w:t>L</w:t>
      </w:r>
      <w:r w:rsidRPr="008467B6">
        <w:rPr>
          <w:szCs w:val="18"/>
          <w:vertAlign w:val="subscript"/>
        </w:rPr>
        <w:t>o</w:t>
      </w:r>
      <w:r w:rsidRPr="008467B6">
        <w:t xml:space="preserve"> is ordinarily intended to correspond to an intensity level of 0 cd/m</w:t>
      </w:r>
      <w:r w:rsidRPr="008467B6">
        <w:rPr>
          <w:vertAlign w:val="superscript"/>
        </w:rPr>
        <w:t>2</w:t>
      </w:r>
      <w:r w:rsidRPr="008467B6">
        <w:t>.</w:t>
      </w:r>
    </w:p>
    <w:p w14:paraId="280FEE7A"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t xml:space="preserve">The PQ </w:t>
      </w:r>
      <w:r w:rsidRPr="008467B6">
        <w:t>(EOTF)</w:t>
      </w:r>
      <w:r>
        <w:t xml:space="preserve"> is described as </w:t>
      </w:r>
      <w:r w:rsidRPr="008467B6">
        <w:t xml:space="preserve">the exact inverse of </w:t>
      </w:r>
      <w:r>
        <w:t xml:space="preserve">equation (6.1). </w:t>
      </w:r>
      <w:r w:rsidRPr="008467B6">
        <w:t>More specifically, the linear light intensity signal L</w:t>
      </w:r>
      <w:r w:rsidRPr="008467B6">
        <w:rPr>
          <w:vertAlign w:val="subscript"/>
        </w:rPr>
        <w:t>o</w:t>
      </w:r>
      <w:r w:rsidRPr="008467B6">
        <w:t xml:space="preserve"> can be computed from the non-linear representation V, which takes values in the range [0, 1], as follows:</w:t>
      </w:r>
    </w:p>
    <w:p w14:paraId="063C7ED6" w14:textId="77777777" w:rsidR="007B6848" w:rsidRDefault="007B6848" w:rsidP="007B6848">
      <w:r w:rsidRPr="008467B6">
        <w:tab/>
      </w:r>
      <w:bookmarkStart w:id="76" w:name="_Ref467139530"/>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o</m:t>
            </m:r>
          </m:sub>
        </m:sSub>
        <m:r>
          <m:rPr>
            <m:sty m:val="p"/>
          </m:rPr>
          <w:rPr>
            <w:rFonts w:ascii="Cambria Math" w:hAnsi="Cambria Math"/>
          </w:rPr>
          <m:t>=</m:t>
        </m:r>
        <m:sSub>
          <m:sSubPr>
            <m:ctrlPr>
              <w:rPr>
                <w:rFonts w:ascii="Cambria Math" w:eastAsiaTheme="minorHAnsi" w:hAnsi="Cambria Math" w:cstheme="minorBidi"/>
                <w:sz w:val="24"/>
                <w:lang w:eastAsia="en-US"/>
              </w:rPr>
            </m:ctrlPr>
          </m:sSubPr>
          <m:e>
            <m:r>
              <m:rPr>
                <m:sty m:val="p"/>
              </m:rPr>
              <w:rPr>
                <w:rFonts w:ascii="Cambria Math" w:hAnsi="Cambria Math"/>
              </w:rPr>
              <m:t>EOTF</m:t>
            </m:r>
          </m:e>
          <m:sub>
            <m:r>
              <m:rPr>
                <m:sty m:val="p"/>
              </m:rPr>
              <w:rPr>
                <w:rFonts w:ascii="Cambria Math" w:hAnsi="Cambria Math"/>
              </w:rPr>
              <m:t>PQ</m:t>
            </m:r>
          </m:sub>
        </m:sSub>
        <m:d>
          <m:dPr>
            <m:ctrlPr>
              <w:rPr>
                <w:rFonts w:ascii="Cambria Math" w:hAnsi="Cambria Math"/>
              </w:rPr>
            </m:ctrlPr>
          </m:dPr>
          <m:e>
            <m:r>
              <m:rPr>
                <m:sty m:val="p"/>
              </m:rPr>
              <w:rPr>
                <w:rFonts w:ascii="Cambria Math" w:hAnsi="Cambria Math"/>
              </w:rPr>
              <m:t xml:space="preserve"> V</m:t>
            </m:r>
          </m:e>
        </m:d>
        <m:r>
          <m:rPr>
            <m:sty m:val="p"/>
          </m:rPr>
          <w:rPr>
            <w:rFonts w:ascii="Cambria Math" w:hAnsi="Cambria Math"/>
          </w:rPr>
          <m:t xml:space="preserve"> =</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max</m:t>
                    </m:r>
                    <m:d>
                      <m:dPr>
                        <m:ctrlPr>
                          <w:rPr>
                            <w:rFonts w:ascii="Cambria Math" w:hAnsi="Cambria Math"/>
                          </w:rPr>
                        </m:ctrlPr>
                      </m:dPr>
                      <m:e>
                        <m:d>
                          <m:dPr>
                            <m:ctrlPr>
                              <w:rPr>
                                <w:rFonts w:ascii="Cambria Math" w:hAnsi="Cambria Math"/>
                              </w:rPr>
                            </m:ctrlPr>
                          </m:dPr>
                          <m:e>
                            <m:sSup>
                              <m:sSupPr>
                                <m:ctrlPr>
                                  <w:rPr>
                                    <w:rFonts w:ascii="Cambria Math" w:hAnsi="Cambria Math"/>
                                  </w:rPr>
                                </m:ctrlPr>
                              </m:sSupPr>
                              <m:e>
                                <m:r>
                                  <m:rPr>
                                    <m:sty m:val="p"/>
                                  </m:rPr>
                                  <w:rPr>
                                    <w:rFonts w:ascii="Cambria Math" w:hAnsi="Cambria Math"/>
                                  </w:rPr>
                                  <m:t>V</m:t>
                                </m:r>
                              </m:e>
                              <m:sup>
                                <m:f>
                                  <m:fPr>
                                    <m:type m:val="skw"/>
                                    <m:ctrlPr>
                                      <w:rPr>
                                        <w:rFonts w:ascii="Cambria Math" w:hAnsi="Cambria Math"/>
                                      </w:rPr>
                                    </m:ctrlPr>
                                  </m:fPr>
                                  <m:num>
                                    <m:r>
                                      <m:rPr>
                                        <m:sty m:val="p"/>
                                      </m:rPr>
                                      <w:rPr>
                                        <w:rFonts w:ascii="Cambria Math" w:hAnsi="Cambria Math"/>
                                      </w:rPr>
                                      <m:t>1</m:t>
                                    </m:r>
                                  </m:num>
                                  <m:den>
                                    <m:r>
                                      <m:rPr>
                                        <m:sty m:val="p"/>
                                      </m:rPr>
                                      <w:rPr>
                                        <w:rFonts w:ascii="Cambria Math" w:hAnsi="Cambria Math"/>
                                      </w:rPr>
                                      <m:t>m</m:t>
                                    </m:r>
                                  </m:den>
                                </m:f>
                              </m:sup>
                            </m:sSup>
                            <m:r>
                              <m:rPr>
                                <m:sty m:val="p"/>
                              </m:rPr>
                              <w:rPr>
                                <w:rFonts w:ascii="Cambria Math" w:hAnsi="Cambria Math"/>
                              </w:rPr>
                              <m:t>-</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1</m:t>
                                </m:r>
                              </m:sub>
                            </m:sSub>
                          </m:e>
                        </m:d>
                        <m:r>
                          <m:rPr>
                            <m:sty m:val="p"/>
                          </m:rPr>
                          <w:rPr>
                            <w:rFonts w:ascii="Cambria Math" w:hAnsi="Cambria Math"/>
                          </w:rPr>
                          <m:t>,0</m:t>
                        </m:r>
                      </m:e>
                    </m:d>
                  </m:num>
                  <m:den>
                    <m:sSub>
                      <m:sSubPr>
                        <m:ctrlPr>
                          <w:rPr>
                            <w:rFonts w:ascii="Cambria Math" w:hAnsi="Cambria Math"/>
                          </w:rPr>
                        </m:ctrlPr>
                      </m:sSubPr>
                      <m:e>
                        <m:r>
                          <m:rPr>
                            <m:sty m:val="p"/>
                          </m:rPr>
                          <w:rPr>
                            <w:rFonts w:ascii="Cambria Math" w:hAnsi="Cambria Math"/>
                          </w:rPr>
                          <m:t>c</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3</m:t>
                        </m:r>
                      </m:sub>
                    </m:sSub>
                    <m:sSup>
                      <m:sSupPr>
                        <m:ctrlPr>
                          <w:rPr>
                            <w:rFonts w:ascii="Cambria Math" w:hAnsi="Cambria Math"/>
                          </w:rPr>
                        </m:ctrlPr>
                      </m:sSupPr>
                      <m:e>
                        <m:r>
                          <m:rPr>
                            <m:sty m:val="p"/>
                          </m:rPr>
                          <w:rPr>
                            <w:rFonts w:ascii="Cambria Math" w:hAnsi="Cambria Math"/>
                          </w:rPr>
                          <m:t>*V</m:t>
                        </m:r>
                      </m:e>
                      <m:sup>
                        <m:f>
                          <m:fPr>
                            <m:type m:val="skw"/>
                            <m:ctrlPr>
                              <w:rPr>
                                <w:rFonts w:ascii="Cambria Math" w:hAnsi="Cambria Math"/>
                              </w:rPr>
                            </m:ctrlPr>
                          </m:fPr>
                          <m:num>
                            <m:r>
                              <m:rPr>
                                <m:sty m:val="p"/>
                              </m:rPr>
                              <w:rPr>
                                <w:rFonts w:ascii="Cambria Math" w:hAnsi="Cambria Math"/>
                              </w:rPr>
                              <m:t>1</m:t>
                            </m:r>
                          </m:num>
                          <m:den>
                            <m:r>
                              <m:rPr>
                                <m:sty m:val="p"/>
                              </m:rPr>
                              <w:rPr>
                                <w:rFonts w:ascii="Cambria Math" w:hAnsi="Cambria Math"/>
                              </w:rPr>
                              <m:t>m</m:t>
                            </m:r>
                          </m:den>
                        </m:f>
                      </m:sup>
                    </m:sSup>
                  </m:den>
                </m:f>
              </m:e>
            </m:d>
          </m:e>
          <m:sup>
            <m:f>
              <m:fPr>
                <m:type m:val="skw"/>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sup>
        </m:sSup>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7</w:t>
      </w:r>
      <w:r>
        <w:rPr>
          <w:noProof/>
        </w:rPr>
        <w:fldChar w:fldCharType="end"/>
      </w:r>
      <w:bookmarkEnd w:id="76"/>
      <w:r>
        <w:t>)</w:t>
      </w:r>
    </w:p>
    <w:p w14:paraId="59DA9A47" w14:textId="77777777" w:rsidR="007B6848" w:rsidRDefault="007B6848" w:rsidP="007B6848">
      <w:r>
        <w:t xml:space="preserve">A plot of the inverse PQ </w:t>
      </w:r>
      <w:r w:rsidRPr="008467B6">
        <w:t>EOTF</w:t>
      </w:r>
      <w:r>
        <w:t xml:space="preserve"> is shown in </w:t>
      </w:r>
      <w:r>
        <w:fldChar w:fldCharType="begin"/>
      </w:r>
      <w:r>
        <w:instrText xml:space="preserve"> REF _Ref467232008 \h </w:instrText>
      </w:r>
      <w:r>
        <w:fldChar w:fldCharType="separate"/>
      </w:r>
      <w:r>
        <w:t xml:space="preserve">Figure </w:t>
      </w:r>
      <w:r>
        <w:rPr>
          <w:noProof/>
        </w:rPr>
        <w:t>6</w:t>
      </w:r>
      <w:r>
        <w:noBreakHyphen/>
      </w:r>
      <w:r>
        <w:rPr>
          <w:noProof/>
        </w:rPr>
        <w:t>1</w:t>
      </w:r>
      <w:r>
        <w:fldChar w:fldCharType="end"/>
      </w:r>
      <w:r>
        <w:t>.</w:t>
      </w:r>
    </w:p>
    <w:p w14:paraId="325D7B06" w14:textId="77777777" w:rsidR="007B6848" w:rsidRDefault="007B6848" w:rsidP="007B6848">
      <w:pPr>
        <w:jc w:val="center"/>
      </w:pPr>
      <w:r>
        <w:rPr>
          <w:noProof/>
          <w:lang w:val="en-US" w:eastAsia="en-US"/>
        </w:rPr>
        <w:drawing>
          <wp:inline distT="0" distB="0" distL="0" distR="0" wp14:anchorId="107EDFED" wp14:editId="6E6145F6">
            <wp:extent cx="3048000" cy="26885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0" cy="2688590"/>
                    </a:xfrm>
                    <a:prstGeom prst="rect">
                      <a:avLst/>
                    </a:prstGeom>
                    <a:noFill/>
                  </pic:spPr>
                </pic:pic>
              </a:graphicData>
            </a:graphic>
          </wp:inline>
        </w:drawing>
      </w:r>
    </w:p>
    <w:p w14:paraId="474557DE" w14:textId="77777777" w:rsidR="007B6848" w:rsidRPr="008467B6" w:rsidRDefault="007B6848" w:rsidP="007B6848">
      <w:pPr>
        <w:pStyle w:val="Caption"/>
      </w:pPr>
      <w:bookmarkStart w:id="77" w:name="_Ref467232008"/>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1</w:t>
      </w:r>
      <w:r>
        <w:fldChar w:fldCharType="end"/>
      </w:r>
      <w:bookmarkEnd w:id="77"/>
      <w:r>
        <w:t> : PQ inverse EOTF (conversion from linear to non-linear light).</w:t>
      </w:r>
    </w:p>
    <w:p w14:paraId="4A48AC73" w14:textId="77777777" w:rsidR="007B6848" w:rsidRDefault="007B6848" w:rsidP="007B6848">
      <w:pPr>
        <w:pStyle w:val="Heading3"/>
      </w:pPr>
      <w:bookmarkStart w:id="78" w:name="_Ref467154964"/>
      <w:bookmarkStart w:id="79" w:name="_Toc467226092"/>
      <w:r>
        <w:t xml:space="preserve">HLG </w:t>
      </w:r>
      <w:r>
        <w:rPr>
          <w:color w:val="000000" w:themeColor="text1"/>
        </w:rPr>
        <w:t>OETF</w:t>
      </w:r>
      <w:bookmarkEnd w:id="78"/>
      <w:bookmarkEnd w:id="79"/>
    </w:p>
    <w:p w14:paraId="610C9895" w14:textId="77777777" w:rsidR="007B6848" w:rsidRPr="008467B6" w:rsidRDefault="007B6848" w:rsidP="007B6848">
      <w:pPr>
        <w:rPr>
          <w:rFonts w:eastAsia="SimSun"/>
          <w:b/>
        </w:rPr>
      </w:pPr>
      <w:r w:rsidRPr="008467B6">
        <w:rPr>
          <w:rFonts w:eastAsia="SimSun"/>
        </w:rPr>
        <w:t xml:space="preserve">The </w:t>
      </w:r>
      <w:r w:rsidRPr="008467B6">
        <w:rPr>
          <w:color w:val="000000" w:themeColor="text1"/>
        </w:rPr>
        <w:t xml:space="preserve">HLG </w:t>
      </w:r>
      <w:r>
        <w:rPr>
          <w:color w:val="000000" w:themeColor="text1"/>
        </w:rPr>
        <w:t>OETF, OETF</w:t>
      </w:r>
      <w:r w:rsidRPr="00AC254C">
        <w:rPr>
          <w:color w:val="000000" w:themeColor="text1"/>
          <w:vertAlign w:val="subscript"/>
        </w:rPr>
        <w:t>HLG</w:t>
      </w:r>
      <w:r w:rsidRPr="008467B6">
        <w:rPr>
          <w:color w:val="000000" w:themeColor="text1"/>
        </w:rPr>
        <w:t xml:space="preserve">( ), as described in Table E.4 of the HEVC specification </w:t>
      </w:r>
      <w:r w:rsidRPr="008467B6">
        <w:rPr>
          <w:color w:val="000000" w:themeColor="text1"/>
        </w:rPr>
        <w:fldChar w:fldCharType="begin"/>
      </w:r>
      <w:r w:rsidRPr="008467B6">
        <w:rPr>
          <w:color w:val="000000" w:themeColor="text1"/>
        </w:rPr>
        <w:instrText xml:space="preserve"> REF _Ref324152123 \r \h </w:instrText>
      </w:r>
      <w:r w:rsidRPr="008467B6">
        <w:rPr>
          <w:color w:val="000000" w:themeColor="text1"/>
        </w:rPr>
      </w:r>
      <w:r w:rsidRPr="008467B6">
        <w:rPr>
          <w:color w:val="000000" w:themeColor="text1"/>
        </w:rPr>
        <w:fldChar w:fldCharType="separate"/>
      </w:r>
      <w:r>
        <w:rPr>
          <w:color w:val="000000" w:themeColor="text1"/>
        </w:rPr>
        <w:t>[4]</w:t>
      </w:r>
      <w:r w:rsidRPr="008467B6">
        <w:rPr>
          <w:color w:val="000000" w:themeColor="text1"/>
        </w:rPr>
        <w:fldChar w:fldCharType="end"/>
      </w:r>
      <w:r w:rsidRPr="00980878">
        <w:rPr>
          <w:color w:val="000000" w:themeColor="text1"/>
        </w:rPr>
        <w:fldChar w:fldCharType="begin"/>
      </w:r>
      <w:r w:rsidRPr="008467B6">
        <w:rPr>
          <w:color w:val="000000" w:themeColor="text1"/>
        </w:rPr>
        <w:instrText xml:space="preserve"> REF _Ref464312482 \r \h </w:instrText>
      </w:r>
      <w:r w:rsidRPr="00980878">
        <w:rPr>
          <w:color w:val="000000" w:themeColor="text1"/>
        </w:rPr>
      </w:r>
      <w:r w:rsidRPr="00980878">
        <w:rPr>
          <w:color w:val="000000" w:themeColor="text1"/>
        </w:rPr>
        <w:fldChar w:fldCharType="separate"/>
      </w:r>
      <w:r>
        <w:rPr>
          <w:color w:val="000000" w:themeColor="text1"/>
        </w:rPr>
        <w:t>[5]</w:t>
      </w:r>
      <w:r w:rsidRPr="00980878">
        <w:rPr>
          <w:color w:val="000000" w:themeColor="text1"/>
        </w:rPr>
        <w:fldChar w:fldCharType="end"/>
      </w:r>
      <w:r w:rsidRPr="008467B6">
        <w:t xml:space="preserve"> for transfer_characteristics equal to 18</w:t>
      </w:r>
      <w:r w:rsidRPr="008467B6">
        <w:rPr>
          <w:color w:val="000000" w:themeColor="text1"/>
        </w:rPr>
        <w:t xml:space="preserve">, applies as follows to normalized linear light scene referred R, G, B samples. For </w:t>
      </w:r>
      <w:r w:rsidRPr="008467B6">
        <w:rPr>
          <w:szCs w:val="18"/>
        </w:rPr>
        <w:t>L</w:t>
      </w:r>
      <w:r w:rsidRPr="008467B6">
        <w:rPr>
          <w:szCs w:val="18"/>
          <w:vertAlign w:val="subscript"/>
        </w:rPr>
        <w:t>c</w:t>
      </w:r>
      <w:r w:rsidRPr="008467B6">
        <w:rPr>
          <w:szCs w:val="18"/>
        </w:rPr>
        <w:t> = R, G, or B, the following applies:</w:t>
      </w:r>
    </w:p>
    <w:p w14:paraId="3B46800B" w14:textId="77777777" w:rsidR="007B6848" w:rsidRPr="008467B6" w:rsidRDefault="007B6848" w:rsidP="007B6848">
      <w:pPr>
        <w:tabs>
          <w:tab w:val="clear" w:pos="1987"/>
          <w:tab w:val="left" w:pos="2340"/>
        </w:tabs>
      </w:pPr>
      <w:r w:rsidRPr="008467B6">
        <w:tab/>
        <w:t xml:space="preserve">V = </w:t>
      </w:r>
      <w:r>
        <w:rPr>
          <w:color w:val="000000" w:themeColor="text1"/>
        </w:rPr>
        <w:t>OETF</w:t>
      </w:r>
      <w:r w:rsidRPr="004B3F76">
        <w:rPr>
          <w:color w:val="000000" w:themeColor="text1"/>
          <w:vertAlign w:val="subscript"/>
        </w:rPr>
        <w:t>HLG</w:t>
      </w:r>
      <w:r w:rsidRPr="008467B6">
        <w:t>( L</w:t>
      </w:r>
      <w:r w:rsidRPr="008467B6">
        <w:rPr>
          <w:vertAlign w:val="subscript"/>
        </w:rPr>
        <w:t>c</w:t>
      </w:r>
      <w:r w:rsidRPr="008467B6">
        <w:t xml:space="preserve"> ) = </w:t>
      </w:r>
      <w:r w:rsidRPr="008467B6">
        <w:rPr>
          <w:szCs w:val="18"/>
        </w:rPr>
        <w:t>a * Ln( 12 * L</w:t>
      </w:r>
      <w:r w:rsidRPr="008467B6">
        <w:rPr>
          <w:szCs w:val="18"/>
          <w:vertAlign w:val="subscript"/>
        </w:rPr>
        <w:t>c</w:t>
      </w:r>
      <w:r w:rsidRPr="008467B6">
        <w:rPr>
          <w:szCs w:val="18"/>
        </w:rPr>
        <w:t xml:space="preserve"> − b ) + c</w:t>
      </w:r>
      <w:r w:rsidRPr="008467B6">
        <w:rPr>
          <w:szCs w:val="18"/>
        </w:rPr>
        <w:tab/>
        <w:t>for 1 &gt;= L</w:t>
      </w:r>
      <w:r w:rsidRPr="008467B6">
        <w:rPr>
          <w:szCs w:val="18"/>
          <w:vertAlign w:val="subscript"/>
        </w:rPr>
        <w:t>c</w:t>
      </w:r>
      <w:r w:rsidRPr="008467B6">
        <w:rPr>
          <w:szCs w:val="18"/>
        </w:rPr>
        <w:t xml:space="preserve"> &gt; ( 1 ÷ 12 )</w:t>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8</w:t>
      </w:r>
      <w:r>
        <w:rPr>
          <w:noProof/>
        </w:rPr>
        <w:fldChar w:fldCharType="end"/>
      </w:r>
      <w:r w:rsidRPr="008467B6">
        <w:t>)</w:t>
      </w:r>
    </w:p>
    <w:p w14:paraId="1AAAFFC3" w14:textId="77777777" w:rsidR="007B6848" w:rsidRPr="008467B6" w:rsidRDefault="007B6848" w:rsidP="007B6848">
      <w:pPr>
        <w:tabs>
          <w:tab w:val="clear" w:pos="1987"/>
          <w:tab w:val="left" w:pos="2340"/>
        </w:tabs>
      </w:pPr>
      <w:r w:rsidRPr="008467B6">
        <w:tab/>
      </w:r>
      <w:r w:rsidRPr="008467B6">
        <w:tab/>
      </w:r>
      <w:r w:rsidRPr="008467B6">
        <w:tab/>
      </w:r>
      <w:r w:rsidRPr="008467B6">
        <w:tab/>
        <w:t xml:space="preserve">= </w:t>
      </w:r>
      <w:r>
        <w:t>Sqrt( 3 )</w:t>
      </w:r>
      <w:r w:rsidRPr="008467B6">
        <w:rPr>
          <w:szCs w:val="18"/>
        </w:rPr>
        <w:t xml:space="preserve"> * L</w:t>
      </w:r>
      <w:r w:rsidRPr="008467B6">
        <w:rPr>
          <w:szCs w:val="18"/>
          <w:vertAlign w:val="subscript"/>
        </w:rPr>
        <w:t>c</w:t>
      </w:r>
      <w:r w:rsidRPr="008467B6">
        <w:rPr>
          <w:szCs w:val="18"/>
          <w:vertAlign w:val="superscript"/>
        </w:rPr>
        <w:t>0.5</w:t>
      </w:r>
      <w:r w:rsidRPr="008467B6">
        <w:rPr>
          <w:szCs w:val="18"/>
        </w:rPr>
        <w:tab/>
        <w:t>for</w:t>
      </w:r>
      <w:r w:rsidRPr="008467B6">
        <w:rPr>
          <w:szCs w:val="18"/>
          <w:vertAlign w:val="superscript"/>
        </w:rPr>
        <w:t xml:space="preserve"> </w:t>
      </w:r>
      <w:r w:rsidRPr="008467B6">
        <w:rPr>
          <w:szCs w:val="18"/>
        </w:rPr>
        <w:t>( 1 ÷ 12 ) &gt;= L</w:t>
      </w:r>
      <w:r w:rsidRPr="008467B6">
        <w:rPr>
          <w:szCs w:val="18"/>
          <w:vertAlign w:val="subscript"/>
        </w:rPr>
        <w:t>c</w:t>
      </w:r>
      <w:r w:rsidRPr="008467B6">
        <w:rPr>
          <w:szCs w:val="18"/>
        </w:rPr>
        <w:t xml:space="preserve"> &gt;= 0</w:t>
      </w:r>
    </w:p>
    <w:p w14:paraId="2D22A68B" w14:textId="77777777" w:rsidR="007B6848" w:rsidRPr="008467B6" w:rsidRDefault="007B6848" w:rsidP="007B6848">
      <w:r w:rsidRPr="008467B6">
        <w:t>where a, b and c are constants defined as follows:</w:t>
      </w:r>
    </w:p>
    <w:p w14:paraId="255C0002" w14:textId="77777777" w:rsidR="007B6848" w:rsidRPr="008467B6" w:rsidRDefault="007B6848" w:rsidP="007B6848">
      <w:r w:rsidRPr="008467B6">
        <w:tab/>
      </w:r>
      <w:r w:rsidRPr="008467B6">
        <w:rPr>
          <w:szCs w:val="18"/>
        </w:rPr>
        <w:t>a = 0.17883277</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9</w:t>
      </w:r>
      <w:r>
        <w:rPr>
          <w:noProof/>
        </w:rPr>
        <w:fldChar w:fldCharType="end"/>
      </w:r>
      <w:r w:rsidRPr="008467B6">
        <w:t>)</w:t>
      </w:r>
    </w:p>
    <w:p w14:paraId="55791A93" w14:textId="77777777" w:rsidR="007B6848" w:rsidRPr="008467B6" w:rsidRDefault="007B6848" w:rsidP="007B6848">
      <w:r w:rsidRPr="008467B6">
        <w:tab/>
      </w:r>
      <w:r w:rsidRPr="008467B6">
        <w:rPr>
          <w:szCs w:val="18"/>
        </w:rPr>
        <w:t>b = 1 – 4</w:t>
      </w:r>
      <w:r>
        <w:rPr>
          <w:szCs w:val="18"/>
        </w:rPr>
        <w:t xml:space="preserve"> </w:t>
      </w:r>
      <w:r w:rsidRPr="008467B6">
        <w:rPr>
          <w:szCs w:val="18"/>
        </w:rPr>
        <w:t>*</w:t>
      </w:r>
      <w:r>
        <w:rPr>
          <w:szCs w:val="18"/>
        </w:rPr>
        <w:t xml:space="preserve"> </w:t>
      </w:r>
      <w:r w:rsidRPr="008467B6">
        <w:rPr>
          <w:szCs w:val="18"/>
        </w:rPr>
        <w:t>a = 0.28466892</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10</w:t>
      </w:r>
      <w:r>
        <w:rPr>
          <w:noProof/>
        </w:rPr>
        <w:fldChar w:fldCharType="end"/>
      </w:r>
      <w:r w:rsidRPr="008467B6">
        <w:t>)</w:t>
      </w:r>
    </w:p>
    <w:p w14:paraId="21FD6F0B" w14:textId="77777777" w:rsidR="007B6848" w:rsidRPr="00FF4EDC" w:rsidRDefault="007B6848" w:rsidP="007B6848">
      <w:r w:rsidRPr="008467B6">
        <w:tab/>
      </w:r>
      <w:r w:rsidRPr="008467B6">
        <w:rPr>
          <w:szCs w:val="18"/>
        </w:rPr>
        <w:t>c = 0.5 – a</w:t>
      </w:r>
      <w:r>
        <w:rPr>
          <w:szCs w:val="18"/>
        </w:rPr>
        <w:t xml:space="preserve"> </w:t>
      </w:r>
      <w:r w:rsidRPr="008467B6">
        <w:rPr>
          <w:szCs w:val="18"/>
        </w:rPr>
        <w:t xml:space="preserve">* </w:t>
      </w:r>
      <w:r>
        <w:rPr>
          <w:szCs w:val="18"/>
        </w:rPr>
        <w:t>L</w:t>
      </w:r>
      <w:r w:rsidRPr="008467B6">
        <w:rPr>
          <w:szCs w:val="18"/>
        </w:rPr>
        <w:t>n(4</w:t>
      </w:r>
      <w:r>
        <w:rPr>
          <w:szCs w:val="18"/>
        </w:rPr>
        <w:t xml:space="preserve"> </w:t>
      </w:r>
      <w:r w:rsidRPr="008467B6">
        <w:rPr>
          <w:szCs w:val="18"/>
        </w:rPr>
        <w:t>*</w:t>
      </w:r>
      <w:r>
        <w:rPr>
          <w:szCs w:val="18"/>
        </w:rPr>
        <w:t xml:space="preserve"> </w:t>
      </w:r>
      <w:r w:rsidRPr="008467B6">
        <w:rPr>
          <w:szCs w:val="18"/>
        </w:rPr>
        <w:t>a) = 0.55991073</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11</w:t>
      </w:r>
      <w:r>
        <w:rPr>
          <w:noProof/>
        </w:rPr>
        <w:fldChar w:fldCharType="end"/>
      </w:r>
      <w:r w:rsidRPr="008467B6">
        <w:t>)</w:t>
      </w:r>
    </w:p>
    <w:p w14:paraId="1299B338" w14:textId="77777777" w:rsidR="007B6848" w:rsidRDefault="007B6848" w:rsidP="007B6848">
      <w:r>
        <w:t xml:space="preserve">A plot of the OETF for HLG is shown in </w:t>
      </w:r>
      <w:r>
        <w:fldChar w:fldCharType="begin"/>
      </w:r>
      <w:r>
        <w:instrText xml:space="preserve"> REF _Ref467154640 \h </w:instrText>
      </w:r>
      <w:r>
        <w:fldChar w:fldCharType="separate"/>
      </w:r>
      <w:r>
        <w:t xml:space="preserve">Figure </w:t>
      </w:r>
      <w:r>
        <w:rPr>
          <w:noProof/>
        </w:rPr>
        <w:t>6</w:t>
      </w:r>
      <w:r>
        <w:noBreakHyphen/>
      </w:r>
      <w:r>
        <w:rPr>
          <w:noProof/>
        </w:rPr>
        <w:t>2</w:t>
      </w:r>
      <w:r>
        <w:fldChar w:fldCharType="end"/>
      </w:r>
      <w:r>
        <w:t>.</w:t>
      </w:r>
    </w:p>
    <w:p w14:paraId="2D7D23FE" w14:textId="77777777" w:rsidR="007B6848" w:rsidRDefault="007B6848" w:rsidP="007B6848">
      <w:pPr>
        <w:jc w:val="center"/>
      </w:pPr>
      <w:r>
        <w:rPr>
          <w:noProof/>
          <w:lang w:val="en-US" w:eastAsia="en-US"/>
        </w:rPr>
        <w:lastRenderedPageBreak/>
        <w:drawing>
          <wp:inline distT="0" distB="0" distL="0" distR="0" wp14:anchorId="24C5D76B" wp14:editId="54E5F0D2">
            <wp:extent cx="3048000" cy="26885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0" cy="2688590"/>
                    </a:xfrm>
                    <a:prstGeom prst="rect">
                      <a:avLst/>
                    </a:prstGeom>
                    <a:noFill/>
                  </pic:spPr>
                </pic:pic>
              </a:graphicData>
            </a:graphic>
          </wp:inline>
        </w:drawing>
      </w:r>
      <w:r w:rsidRPr="00D66B7F" w:rsidDel="00846CBF">
        <w:rPr>
          <w:noProof/>
          <w:lang w:eastAsia="en-US"/>
        </w:rPr>
        <w:t xml:space="preserve"> </w:t>
      </w:r>
    </w:p>
    <w:p w14:paraId="34DA870A" w14:textId="77777777" w:rsidR="007B6848" w:rsidRPr="002A190C" w:rsidRDefault="007B6848" w:rsidP="007B6848">
      <w:pPr>
        <w:pStyle w:val="Caption"/>
      </w:pPr>
      <w:bookmarkStart w:id="80" w:name="_Ref467154640"/>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2</w:t>
      </w:r>
      <w:r>
        <w:fldChar w:fldCharType="end"/>
      </w:r>
      <w:bookmarkEnd w:id="80"/>
      <w:r>
        <w:t> : HLG OETF (conversion from linear to non-linear light).</w:t>
      </w:r>
    </w:p>
    <w:p w14:paraId="3E7B5436" w14:textId="77777777" w:rsidR="007B6848" w:rsidRPr="008467B6" w:rsidRDefault="007B6848" w:rsidP="007B6848">
      <w:pPr>
        <w:pStyle w:val="Heading2"/>
        <w:ind w:left="720" w:hanging="720"/>
      </w:pPr>
      <w:bookmarkStart w:id="81" w:name="_Toc467226093"/>
      <w:bookmarkEnd w:id="64"/>
      <w:r w:rsidRPr="008467B6">
        <w:t>SEI messages applicable for HDR</w:t>
      </w:r>
      <w:bookmarkEnd w:id="81"/>
    </w:p>
    <w:p w14:paraId="1C5A83B2" w14:textId="77777777" w:rsidR="007B6848" w:rsidRPr="008467B6" w:rsidRDefault="007B6848" w:rsidP="007B6848">
      <w:r>
        <w:t xml:space="preserve">As in the case of VUI, metadata signalled in SEI messages of </w:t>
      </w:r>
      <w:r w:rsidRPr="008467B6">
        <w:t xml:space="preserve">HEVC </w:t>
      </w:r>
      <w:r>
        <w:t>is</w:t>
      </w:r>
      <w:r w:rsidRPr="00980878">
        <w:t xml:space="preserve"> not </w:t>
      </w:r>
      <w:r>
        <w:t>mandatory</w:t>
      </w:r>
      <w:r w:rsidRPr="00980878">
        <w:t xml:space="preserve"> for constructing the luma or chroma samples by the decoding process</w:t>
      </w:r>
      <w:r>
        <w:t>,</w:t>
      </w:r>
      <w:r w:rsidRPr="00980878">
        <w:t xml:space="preserve"> and may be ignored by the decoder. </w:t>
      </w:r>
      <w:r>
        <w:t xml:space="preserve">However, this signaling mechanism can be utilized in HDR/WCG video distribution systems to convey information providing additional description (in addition to VUI) of the coded content or can be used to convey information enabling a post-decoding processing. </w:t>
      </w:r>
      <w:r w:rsidRPr="008467B6">
        <w:t>HEVC contains several SEI messages applicable for HDR</w:t>
      </w:r>
      <w:r>
        <w:t>/WCG video coding and distributing systems</w:t>
      </w:r>
      <w:r w:rsidRPr="008467B6">
        <w:t xml:space="preserve">. A first set of SEI metadata convey descriptive information about the content, the way it was produced, the nominal conditions it </w:t>
      </w:r>
      <w:r>
        <w:t xml:space="preserve">is assumed to be </w:t>
      </w:r>
      <w:r w:rsidRPr="008467B6">
        <w:t xml:space="preserve">rendered, how it should be interpreted by a display. These SEI messages are reviewed in sub-clauses </w:t>
      </w:r>
      <w:r w:rsidRPr="00275358">
        <w:fldChar w:fldCharType="begin"/>
      </w:r>
      <w:r w:rsidRPr="008467B6">
        <w:instrText xml:space="preserve"> REF _Ref464593418 \r \h </w:instrText>
      </w:r>
      <w:r w:rsidRPr="00275358">
        <w:fldChar w:fldCharType="separate"/>
      </w:r>
      <w:r>
        <w:t>6.2.1</w:t>
      </w:r>
      <w:r w:rsidRPr="00275358">
        <w:fldChar w:fldCharType="end"/>
      </w:r>
      <w:r w:rsidRPr="008467B6">
        <w:t xml:space="preserve"> to </w:t>
      </w:r>
      <w:r w:rsidRPr="00275358">
        <w:fldChar w:fldCharType="begin"/>
      </w:r>
      <w:r w:rsidRPr="008467B6">
        <w:instrText xml:space="preserve"> REF _Ref464593554 \r \h </w:instrText>
      </w:r>
      <w:r w:rsidRPr="00275358">
        <w:fldChar w:fldCharType="separate"/>
      </w:r>
      <w:r>
        <w:t>6.2.4</w:t>
      </w:r>
      <w:r w:rsidRPr="00275358">
        <w:fldChar w:fldCharType="end"/>
      </w:r>
      <w:r w:rsidRPr="008467B6">
        <w:t xml:space="preserve">. A second set of SEI metadata is more specifically devoted to </w:t>
      </w:r>
      <w:r>
        <w:t xml:space="preserve">enable specific post-processing of the decoded samples, e.g. </w:t>
      </w:r>
      <w:r w:rsidRPr="008467B6">
        <w:t xml:space="preserve">signal adaptation processes. </w:t>
      </w:r>
      <w:r>
        <w:t xml:space="preserve">For example, some </w:t>
      </w:r>
      <w:r w:rsidRPr="008467B6">
        <w:t>SEI metadata can be used</w:t>
      </w:r>
      <w:r>
        <w:t xml:space="preserve"> generically</w:t>
      </w:r>
      <w:r w:rsidRPr="008467B6">
        <w:t xml:space="preserve"> for the conversion of decoded content from one colour volume to another colour volume. This </w:t>
      </w:r>
      <w:r>
        <w:t xml:space="preserve">approach </w:t>
      </w:r>
      <w:r w:rsidRPr="008467B6">
        <w:t>can apply</w:t>
      </w:r>
      <w:r>
        <w:t>, for example,</w:t>
      </w:r>
      <w:r w:rsidRPr="008467B6">
        <w:t xml:space="preserve"> in bitstream SDR backward compatibility use cases for SDR-to-HDR conversion (the decoded signal is SDR</w:t>
      </w:r>
      <w:r>
        <w:t>,</w:t>
      </w:r>
      <w:r w:rsidRPr="008467B6">
        <w:t xml:space="preserve"> and </w:t>
      </w:r>
      <w:r>
        <w:t xml:space="preserve">the </w:t>
      </w:r>
      <w:r w:rsidRPr="008467B6">
        <w:t>converted signal</w:t>
      </w:r>
      <w:r>
        <w:t xml:space="preserve"> after post-processing using metadata conveyed in the SEI message</w:t>
      </w:r>
      <w:r w:rsidRPr="008467B6">
        <w:t xml:space="preserve"> is HDR)</w:t>
      </w:r>
      <w:r>
        <w:t xml:space="preserve">. </w:t>
      </w:r>
      <w:r w:rsidRPr="008467B6">
        <w:t xml:space="preserve"> </w:t>
      </w:r>
      <w:r>
        <w:t>This approach can also apply in</w:t>
      </w:r>
      <w:r w:rsidRPr="008467B6">
        <w:t xml:space="preserve"> display adaptation use cases for converting a decoded HDR </w:t>
      </w:r>
      <w:r>
        <w:t>signal</w:t>
      </w:r>
      <w:r w:rsidRPr="008467B6">
        <w:t xml:space="preserve"> to an HDR version of lower colour volume, or </w:t>
      </w:r>
      <w:r>
        <w:t xml:space="preserve">even </w:t>
      </w:r>
      <w:r w:rsidRPr="008467B6">
        <w:t xml:space="preserve">to an SDR version for display SDR backward compatibility. These SEI messages are described in sub-clauses </w:t>
      </w:r>
      <w:r w:rsidRPr="00275358">
        <w:fldChar w:fldCharType="begin"/>
      </w:r>
      <w:r w:rsidRPr="008467B6">
        <w:instrText xml:space="preserve"> REF _Ref464593583 \r \h </w:instrText>
      </w:r>
      <w:r w:rsidRPr="00275358">
        <w:fldChar w:fldCharType="separate"/>
      </w:r>
      <w:r>
        <w:t>6.2.5</w:t>
      </w:r>
      <w:r w:rsidRPr="00275358">
        <w:fldChar w:fldCharType="end"/>
      </w:r>
      <w:r w:rsidRPr="008467B6">
        <w:t xml:space="preserve"> and </w:t>
      </w:r>
      <w:r w:rsidRPr="00275358">
        <w:fldChar w:fldCharType="begin"/>
      </w:r>
      <w:r w:rsidRPr="008467B6">
        <w:instrText xml:space="preserve"> REF _Ref464593590 \r \h </w:instrText>
      </w:r>
      <w:r w:rsidRPr="00275358">
        <w:fldChar w:fldCharType="separate"/>
      </w:r>
      <w:r>
        <w:t>6.2.6</w:t>
      </w:r>
      <w:r w:rsidRPr="00275358">
        <w:fldChar w:fldCharType="end"/>
      </w:r>
      <w:r w:rsidRPr="008467B6">
        <w:t>.</w:t>
      </w:r>
    </w:p>
    <w:p w14:paraId="577B029A" w14:textId="77777777" w:rsidR="007B6848" w:rsidRPr="008467B6" w:rsidRDefault="007B6848" w:rsidP="007B6848">
      <w:pPr>
        <w:pStyle w:val="Heading3"/>
      </w:pPr>
      <w:bookmarkStart w:id="82" w:name="_Toc453764643"/>
      <w:bookmarkStart w:id="83" w:name="_Toc453764671"/>
      <w:bookmarkStart w:id="84" w:name="_Toc453764750"/>
      <w:bookmarkStart w:id="85" w:name="_Toc453764778"/>
      <w:bookmarkStart w:id="86" w:name="_Toc453764984"/>
      <w:bookmarkStart w:id="87" w:name="_Toc453766699"/>
      <w:bookmarkStart w:id="88" w:name="_Toc453767151"/>
      <w:bookmarkStart w:id="89" w:name="_Toc454454591"/>
      <w:bookmarkStart w:id="90" w:name="_Ref464593418"/>
      <w:bookmarkStart w:id="91" w:name="_Toc467226094"/>
      <w:bookmarkEnd w:id="82"/>
      <w:bookmarkEnd w:id="83"/>
      <w:bookmarkEnd w:id="84"/>
      <w:bookmarkEnd w:id="85"/>
      <w:bookmarkEnd w:id="86"/>
      <w:bookmarkEnd w:id="87"/>
      <w:bookmarkEnd w:id="88"/>
      <w:bookmarkEnd w:id="89"/>
      <w:r w:rsidRPr="008467B6">
        <w:t>Mastering display colour volume SEI message</w:t>
      </w:r>
      <w:bookmarkEnd w:id="90"/>
      <w:bookmarkEnd w:id="91"/>
    </w:p>
    <w:p w14:paraId="251FBDF7" w14:textId="77777777" w:rsidR="007B6848" w:rsidRPr="008467B6" w:rsidRDefault="007B6848" w:rsidP="007B6848">
      <w:r w:rsidRPr="008467B6">
        <w:t xml:space="preserve">The </w:t>
      </w:r>
      <w:r w:rsidRPr="00726943">
        <w:t>mastering display color volume</w:t>
      </w:r>
      <w:r w:rsidRPr="008467B6">
        <w:t xml:space="preserve"> (MDCV) SEI message specifies the colo</w:t>
      </w:r>
      <w:r>
        <w:t>u</w:t>
      </w:r>
      <w:r w:rsidRPr="008467B6">
        <w:t xml:space="preserve">r gamut and dynamic range of a </w:t>
      </w:r>
      <w:r>
        <w:t xml:space="preserve">hypothetical </w:t>
      </w:r>
      <w:r w:rsidRPr="008467B6">
        <w:t>monitor used for viewing while authoring the video content. It conveys the colo</w:t>
      </w:r>
      <w:r>
        <w:t>u</w:t>
      </w:r>
      <w:r w:rsidRPr="008467B6">
        <w:t>r primaries and white point of the monitor, expressed in the CIE 1931 xyY color space</w:t>
      </w:r>
      <w:r>
        <w:t xml:space="preserve"> </w:t>
      </w:r>
      <w:r>
        <w:fldChar w:fldCharType="begin"/>
      </w:r>
      <w:r>
        <w:instrText xml:space="preserve"> REF _Ref467237054 \r \h </w:instrText>
      </w:r>
      <w:r>
        <w:fldChar w:fldCharType="separate"/>
      </w:r>
      <w:r>
        <w:t>[11]</w:t>
      </w:r>
      <w:r>
        <w:fldChar w:fldCharType="end"/>
      </w:r>
      <w:r>
        <w:t>,</w:t>
      </w:r>
      <w:r w:rsidRPr="008467B6">
        <w:t xml:space="preserve"> and provides the minimum and maximum linear light luminance of the monitor (expressed in </w:t>
      </w:r>
      <w:r w:rsidRPr="00980878">
        <w:t>candelas per square metre, denoted cd/m</w:t>
      </w:r>
      <w:r w:rsidRPr="00980878">
        <w:rPr>
          <w:vertAlign w:val="superscript"/>
        </w:rPr>
        <w:t>2</w:t>
      </w:r>
      <w:r w:rsidRPr="008467B6">
        <w:rPr>
          <w:szCs w:val="22"/>
        </w:rPr>
        <w:t>)</w:t>
      </w:r>
      <w:r w:rsidRPr="008467B6">
        <w:t xml:space="preserve">. </w:t>
      </w:r>
      <w:r>
        <w:t xml:space="preserve">Information provided by MDCV </w:t>
      </w:r>
      <w:r w:rsidRPr="008467B6">
        <w:rPr>
          <w:szCs w:val="22"/>
        </w:rPr>
        <w:t xml:space="preserve">may assist the receiving system </w:t>
      </w:r>
      <w:r>
        <w:t xml:space="preserve">when the signal representation corresponds to a wide color volume, such as </w:t>
      </w:r>
      <w:r w:rsidRPr="00AF34E4">
        <w:t xml:space="preserve">Rec. ITU-R </w:t>
      </w:r>
      <w:r>
        <w:t xml:space="preserve">BT.2020 colour primaries and </w:t>
      </w:r>
      <w:r w:rsidRPr="00AF34E4">
        <w:t xml:space="preserve">Rec. ITU-R </w:t>
      </w:r>
      <w:r>
        <w:t>BT.2100 PQ transfer characteristics, but only a portion of the color volume</w:t>
      </w:r>
      <w:r w:rsidDel="00A153CE">
        <w:t xml:space="preserve"> </w:t>
      </w:r>
      <w:r>
        <w:t>was actually used in mastering</w:t>
      </w:r>
      <w:r w:rsidRPr="008467B6">
        <w:t>. The MDCV SEI message persists until the end of the CLVS. All MDCV SEI messages that apply to the same CLVS shall have the same content.</w:t>
      </w:r>
    </w:p>
    <w:p w14:paraId="4DC77569" w14:textId="77777777" w:rsidR="007B6848" w:rsidRPr="008467B6" w:rsidRDefault="007B6848" w:rsidP="007B6848">
      <w:pPr>
        <w:spacing w:before="60"/>
        <w:ind w:left="288"/>
        <w:rPr>
          <w:sz w:val="18"/>
        </w:rPr>
      </w:pPr>
      <w:r w:rsidRPr="008467B6">
        <w:rPr>
          <w:sz w:val="18"/>
        </w:rPr>
        <w:t xml:space="preserve">NOTE 1 – The </w:t>
      </w:r>
      <w:r>
        <w:rPr>
          <w:sz w:val="18"/>
        </w:rPr>
        <w:t>m</w:t>
      </w:r>
      <w:r w:rsidRPr="008467B6">
        <w:rPr>
          <w:sz w:val="18"/>
        </w:rPr>
        <w:t xml:space="preserve">astering display colour volume SEI message is also defined in AVC </w:t>
      </w:r>
      <w:r>
        <w:rPr>
          <w:sz w:val="18"/>
        </w:rPr>
        <w:fldChar w:fldCharType="begin"/>
      </w:r>
      <w:r>
        <w:rPr>
          <w:sz w:val="18"/>
        </w:rPr>
        <w:instrText xml:space="preserve"> REF _Ref467236857 \r \h </w:instrText>
      </w:r>
      <w:r>
        <w:rPr>
          <w:sz w:val="18"/>
        </w:rPr>
      </w:r>
      <w:r>
        <w:rPr>
          <w:sz w:val="18"/>
        </w:rPr>
        <w:fldChar w:fldCharType="separate"/>
      </w:r>
      <w:r>
        <w:rPr>
          <w:sz w:val="18"/>
        </w:rPr>
        <w:t>[6]</w:t>
      </w:r>
      <w:r>
        <w:rPr>
          <w:sz w:val="18"/>
        </w:rPr>
        <w:fldChar w:fldCharType="end"/>
      </w:r>
      <w:r>
        <w:rPr>
          <w:sz w:val="18"/>
        </w:rPr>
        <w:fldChar w:fldCharType="begin"/>
      </w:r>
      <w:r>
        <w:rPr>
          <w:sz w:val="18"/>
        </w:rPr>
        <w:instrText xml:space="preserve"> REF _Ref467236864 \r \h </w:instrText>
      </w:r>
      <w:r>
        <w:rPr>
          <w:sz w:val="18"/>
        </w:rPr>
      </w:r>
      <w:r>
        <w:rPr>
          <w:sz w:val="18"/>
        </w:rPr>
        <w:fldChar w:fldCharType="separate"/>
      </w:r>
      <w:r>
        <w:rPr>
          <w:sz w:val="18"/>
        </w:rPr>
        <w:t>[7]</w:t>
      </w:r>
      <w:r>
        <w:rPr>
          <w:sz w:val="18"/>
        </w:rPr>
        <w:fldChar w:fldCharType="end"/>
      </w:r>
      <w:r w:rsidRPr="008467B6">
        <w:rPr>
          <w:sz w:val="18"/>
        </w:rPr>
        <w:t>.</w:t>
      </w:r>
    </w:p>
    <w:p w14:paraId="77F01E53" w14:textId="77777777" w:rsidR="007B6848" w:rsidRPr="008467B6" w:rsidRDefault="007B6848" w:rsidP="007B6848">
      <w:pPr>
        <w:spacing w:before="60"/>
        <w:ind w:left="288"/>
        <w:rPr>
          <w:sz w:val="18"/>
        </w:rPr>
      </w:pPr>
      <w:r w:rsidRPr="008467B6">
        <w:rPr>
          <w:sz w:val="18"/>
        </w:rPr>
        <w:t>NOTE 2 – Mastering display color volume metadata are also specified in SMPTE ST 2086</w:t>
      </w:r>
      <w:r>
        <w:rPr>
          <w:sz w:val="18"/>
        </w:rPr>
        <w:t xml:space="preserve"> </w:t>
      </w:r>
      <w:r>
        <w:rPr>
          <w:sz w:val="18"/>
        </w:rPr>
        <w:fldChar w:fldCharType="begin"/>
      </w:r>
      <w:r>
        <w:rPr>
          <w:sz w:val="18"/>
        </w:rPr>
        <w:instrText xml:space="preserve"> REF _Ref467237069 \r \h </w:instrText>
      </w:r>
      <w:r>
        <w:rPr>
          <w:sz w:val="18"/>
        </w:rPr>
      </w:r>
      <w:r>
        <w:rPr>
          <w:sz w:val="18"/>
        </w:rPr>
        <w:fldChar w:fldCharType="separate"/>
      </w:r>
      <w:r>
        <w:rPr>
          <w:sz w:val="18"/>
        </w:rPr>
        <w:t>[12]</w:t>
      </w:r>
      <w:r>
        <w:rPr>
          <w:sz w:val="18"/>
        </w:rPr>
        <w:fldChar w:fldCharType="end"/>
      </w:r>
      <w:r w:rsidRPr="008467B6">
        <w:rPr>
          <w:sz w:val="18"/>
        </w:rPr>
        <w:t xml:space="preserve">. </w:t>
      </w:r>
    </w:p>
    <w:p w14:paraId="51C8468B" w14:textId="77777777" w:rsidR="007B6848" w:rsidRPr="008467B6" w:rsidRDefault="007B6848" w:rsidP="007B6848">
      <w:pPr>
        <w:pStyle w:val="Heading3"/>
      </w:pPr>
      <w:bookmarkStart w:id="92" w:name="_Toc467226095"/>
      <w:r w:rsidRPr="008467B6">
        <w:t xml:space="preserve">Content </w:t>
      </w:r>
      <w:r>
        <w:t>l</w:t>
      </w:r>
      <w:r w:rsidRPr="008467B6">
        <w:t xml:space="preserve">ight </w:t>
      </w:r>
      <w:r>
        <w:t>l</w:t>
      </w:r>
      <w:r w:rsidRPr="008467B6">
        <w:t>evel information SEI message</w:t>
      </w:r>
      <w:bookmarkEnd w:id="92"/>
    </w:p>
    <w:p w14:paraId="0B472E06" w14:textId="77777777" w:rsidR="007B6848" w:rsidRPr="008467B6" w:rsidRDefault="007B6848" w:rsidP="007B6848">
      <w:r w:rsidRPr="008467B6">
        <w:t xml:space="preserve">The </w:t>
      </w:r>
      <w:r w:rsidRPr="00AD623B">
        <w:t>content light level</w:t>
      </w:r>
      <w:r w:rsidRPr="008467B6">
        <w:t xml:space="preserve"> information (CLL) SEI message conveys the maximum light level and average light level, in the linear light domain (expressed in </w:t>
      </w:r>
      <w:r w:rsidRPr="00980878">
        <w:t>cd/m</w:t>
      </w:r>
      <w:r w:rsidRPr="00980878">
        <w:rPr>
          <w:vertAlign w:val="superscript"/>
        </w:rPr>
        <w:t>2</w:t>
      </w:r>
      <w:r w:rsidRPr="008467B6">
        <w:rPr>
          <w:szCs w:val="22"/>
        </w:rPr>
        <w:t>)</w:t>
      </w:r>
      <w:r w:rsidRPr="008467B6">
        <w:t xml:space="preserve">, among the 4:4:4 R, G, B samples of the content pictures in the coded video sequence. Information provided by CLL SEI message can be </w:t>
      </w:r>
      <w:r>
        <w:t>used</w:t>
      </w:r>
      <w:r w:rsidRPr="008467B6">
        <w:t xml:space="preserve"> for instance to help better controlling the energy consumption </w:t>
      </w:r>
      <w:r w:rsidRPr="008467B6">
        <w:rPr>
          <w:szCs w:val="22"/>
        </w:rPr>
        <w:t xml:space="preserve">for local display </w:t>
      </w:r>
      <w:r w:rsidRPr="00275358">
        <w:fldChar w:fldCharType="begin"/>
      </w:r>
      <w:r w:rsidRPr="008467B6">
        <w:instrText xml:space="preserve"> REF _Ref466382517 \r \h </w:instrText>
      </w:r>
      <w:r w:rsidRPr="00275358">
        <w:fldChar w:fldCharType="separate"/>
      </w:r>
      <w:r>
        <w:t>[22]</w:t>
      </w:r>
      <w:r w:rsidRPr="00275358">
        <w:fldChar w:fldCharType="end"/>
      </w:r>
      <w:r w:rsidRPr="008467B6">
        <w:t>. The CLL SEI message persists until the end of the CLVS. All CLL SEI messages that apply to the same CLVS shall have the same content.</w:t>
      </w:r>
    </w:p>
    <w:p w14:paraId="44BD4265" w14:textId="77777777" w:rsidR="007B6848" w:rsidRPr="008467B6" w:rsidRDefault="007B6848" w:rsidP="007B6848">
      <w:pPr>
        <w:spacing w:before="60"/>
        <w:ind w:left="288"/>
        <w:rPr>
          <w:sz w:val="18"/>
        </w:rPr>
      </w:pPr>
      <w:r w:rsidRPr="008467B6">
        <w:rPr>
          <w:sz w:val="18"/>
        </w:rPr>
        <w:t xml:space="preserve">NOTE 1 – The </w:t>
      </w:r>
      <w:r w:rsidRPr="00AD623B">
        <w:rPr>
          <w:sz w:val="18"/>
        </w:rPr>
        <w:t>content light level</w:t>
      </w:r>
      <w:r w:rsidRPr="008467B6">
        <w:rPr>
          <w:sz w:val="18"/>
        </w:rPr>
        <w:t xml:space="preserve"> information SEI message is also defined in AVC </w:t>
      </w:r>
      <w:r>
        <w:rPr>
          <w:sz w:val="18"/>
        </w:rPr>
        <w:fldChar w:fldCharType="begin"/>
      </w:r>
      <w:r>
        <w:rPr>
          <w:sz w:val="18"/>
        </w:rPr>
        <w:instrText xml:space="preserve"> REF _Ref467236857 \r \h </w:instrText>
      </w:r>
      <w:r>
        <w:rPr>
          <w:sz w:val="18"/>
        </w:rPr>
      </w:r>
      <w:r>
        <w:rPr>
          <w:sz w:val="18"/>
        </w:rPr>
        <w:fldChar w:fldCharType="separate"/>
      </w:r>
      <w:r>
        <w:rPr>
          <w:sz w:val="18"/>
        </w:rPr>
        <w:t>[6]</w:t>
      </w:r>
      <w:r>
        <w:rPr>
          <w:sz w:val="18"/>
        </w:rPr>
        <w:fldChar w:fldCharType="end"/>
      </w:r>
      <w:r>
        <w:rPr>
          <w:sz w:val="18"/>
        </w:rPr>
        <w:fldChar w:fldCharType="begin"/>
      </w:r>
      <w:r>
        <w:rPr>
          <w:sz w:val="18"/>
        </w:rPr>
        <w:instrText xml:space="preserve"> REF _Ref467236864 \r \h </w:instrText>
      </w:r>
      <w:r>
        <w:rPr>
          <w:sz w:val="18"/>
        </w:rPr>
      </w:r>
      <w:r>
        <w:rPr>
          <w:sz w:val="18"/>
        </w:rPr>
        <w:fldChar w:fldCharType="separate"/>
      </w:r>
      <w:r>
        <w:rPr>
          <w:sz w:val="18"/>
        </w:rPr>
        <w:t>[7]</w:t>
      </w:r>
      <w:r>
        <w:rPr>
          <w:sz w:val="18"/>
        </w:rPr>
        <w:fldChar w:fldCharType="end"/>
      </w:r>
      <w:r w:rsidRPr="008467B6">
        <w:rPr>
          <w:sz w:val="18"/>
        </w:rPr>
        <w:t xml:space="preserve">. </w:t>
      </w:r>
    </w:p>
    <w:p w14:paraId="2BA8E898" w14:textId="77777777" w:rsidR="007B6848" w:rsidRPr="00AC254C" w:rsidRDefault="007B6848" w:rsidP="007B6848">
      <w:pPr>
        <w:spacing w:before="60"/>
        <w:ind w:left="288"/>
        <w:rPr>
          <w:sz w:val="18"/>
          <w:szCs w:val="20"/>
        </w:rPr>
      </w:pPr>
      <w:r w:rsidRPr="008467B6">
        <w:rPr>
          <w:sz w:val="18"/>
        </w:rPr>
        <w:lastRenderedPageBreak/>
        <w:t xml:space="preserve">NOTE 2 – Corresponding metadata associated with CLL and example of </w:t>
      </w:r>
      <w:r w:rsidRPr="00152DC5">
        <w:rPr>
          <w:sz w:val="18"/>
        </w:rPr>
        <w:t xml:space="preserve">derivation algorithms are specified in </w:t>
      </w:r>
      <w:r w:rsidRPr="00AC254C">
        <w:rPr>
          <w:sz w:val="18"/>
          <w:szCs w:val="20"/>
        </w:rPr>
        <w:t xml:space="preserve">CEA-861.3 </w:t>
      </w:r>
      <w:r w:rsidRPr="00AC254C">
        <w:rPr>
          <w:sz w:val="18"/>
          <w:szCs w:val="20"/>
        </w:rPr>
        <w:fldChar w:fldCharType="begin"/>
      </w:r>
      <w:r w:rsidRPr="00AC254C">
        <w:rPr>
          <w:sz w:val="18"/>
          <w:szCs w:val="20"/>
        </w:rPr>
        <w:instrText xml:space="preserve"> REF _Ref467237097 \r \h  \* MERGEFORMAT </w:instrText>
      </w:r>
      <w:r w:rsidRPr="00AC254C">
        <w:rPr>
          <w:sz w:val="18"/>
          <w:szCs w:val="20"/>
        </w:rPr>
      </w:r>
      <w:r w:rsidRPr="00AC254C">
        <w:rPr>
          <w:sz w:val="18"/>
          <w:szCs w:val="20"/>
        </w:rPr>
        <w:fldChar w:fldCharType="separate"/>
      </w:r>
      <w:r>
        <w:rPr>
          <w:sz w:val="18"/>
        </w:rPr>
        <w:t>[14]</w:t>
      </w:r>
      <w:r w:rsidRPr="00AC254C">
        <w:rPr>
          <w:sz w:val="18"/>
          <w:szCs w:val="20"/>
        </w:rPr>
        <w:fldChar w:fldCharType="end"/>
      </w:r>
      <w:r w:rsidRPr="00AC254C">
        <w:rPr>
          <w:sz w:val="18"/>
          <w:szCs w:val="20"/>
        </w:rPr>
        <w:t>.</w:t>
      </w:r>
    </w:p>
    <w:p w14:paraId="09EFE923" w14:textId="77777777" w:rsidR="007B6848" w:rsidRPr="008467B6" w:rsidRDefault="007B6848" w:rsidP="007B6848">
      <w:pPr>
        <w:pStyle w:val="Heading3"/>
      </w:pPr>
      <w:bookmarkStart w:id="93" w:name="_Ref464593440"/>
      <w:bookmarkStart w:id="94" w:name="_Toc467226096"/>
      <w:r w:rsidRPr="008467B6">
        <w:t>Ambient viewing environment SEI message</w:t>
      </w:r>
      <w:bookmarkEnd w:id="93"/>
      <w:bookmarkEnd w:id="94"/>
    </w:p>
    <w:p w14:paraId="53CF95FE" w14:textId="77777777" w:rsidR="007B6848" w:rsidRPr="008467B6" w:rsidRDefault="007B6848" w:rsidP="007B6848">
      <w:r w:rsidRPr="008467B6">
        <w:rPr>
          <w:szCs w:val="22"/>
        </w:rPr>
        <w:t xml:space="preserve">The ambient viewing environment (AVE) SEI message aims at </w:t>
      </w:r>
      <w:r w:rsidRPr="008467B6">
        <w:t xml:space="preserve">describing the ambient viewing environment assumed when mastering the associated video content. It conveys the </w:t>
      </w:r>
      <w:r w:rsidRPr="008467B6">
        <w:rPr>
          <w:szCs w:val="22"/>
        </w:rPr>
        <w:t xml:space="preserve">environmental illuminance and </w:t>
      </w:r>
      <w:r w:rsidRPr="008467B6">
        <w:t>chromaticity coordinates</w:t>
      </w:r>
      <w:r w:rsidRPr="008467B6">
        <w:rPr>
          <w:szCs w:val="22"/>
        </w:rPr>
        <w:t xml:space="preserve"> (in </w:t>
      </w:r>
      <w:r w:rsidRPr="008467B6">
        <w:t>the CIE 1931 xyY color space</w:t>
      </w:r>
      <w:r>
        <w:t xml:space="preserve"> </w:t>
      </w:r>
      <w:r>
        <w:fldChar w:fldCharType="begin"/>
      </w:r>
      <w:r>
        <w:instrText xml:space="preserve"> REF _Ref467237054 \r \h </w:instrText>
      </w:r>
      <w:r>
        <w:fldChar w:fldCharType="separate"/>
      </w:r>
      <w:r>
        <w:t>[11]</w:t>
      </w:r>
      <w:r>
        <w:fldChar w:fldCharType="end"/>
      </w:r>
      <w:r w:rsidRPr="008467B6">
        <w:t xml:space="preserve">) </w:t>
      </w:r>
      <w:r w:rsidRPr="008467B6">
        <w:rPr>
          <w:szCs w:val="22"/>
        </w:rPr>
        <w:t xml:space="preserve">of the </w:t>
      </w:r>
      <w:r w:rsidRPr="008467B6">
        <w:t xml:space="preserve">mastering </w:t>
      </w:r>
      <w:r w:rsidRPr="008467B6">
        <w:rPr>
          <w:szCs w:val="22"/>
        </w:rPr>
        <w:t xml:space="preserve">nominal ambient viewing environment. This indicative information may assist the receiving system in adapting the received video content for local display in viewing environments that may differ from those assumed when mastering the video content. </w:t>
      </w:r>
      <w:r w:rsidRPr="008467B6">
        <w:t>The AVE SEI message persists until the end of the CLVS. All AVE SEI messages that apply to the same CLVS shall have the same content.</w:t>
      </w:r>
    </w:p>
    <w:p w14:paraId="5DBA068A" w14:textId="77777777" w:rsidR="007B6848" w:rsidRPr="008467B6" w:rsidRDefault="007B6848" w:rsidP="007B6848">
      <w:pPr>
        <w:pStyle w:val="Heading3"/>
      </w:pPr>
      <w:bookmarkStart w:id="95" w:name="_Ref464593554"/>
      <w:bookmarkStart w:id="96" w:name="_Toc467226097"/>
      <w:r w:rsidRPr="008467B6">
        <w:t>Alternative transfer characteristics SEI message</w:t>
      </w:r>
      <w:bookmarkEnd w:id="95"/>
      <w:bookmarkEnd w:id="96"/>
      <w:r w:rsidRPr="008467B6">
        <w:t xml:space="preserve"> </w:t>
      </w:r>
    </w:p>
    <w:p w14:paraId="4499D119" w14:textId="77777777" w:rsidR="007B6848" w:rsidRPr="008467B6" w:rsidRDefault="007B6848" w:rsidP="007B6848">
      <w:r w:rsidRPr="008467B6">
        <w:t xml:space="preserve">The alternative transfer characteristics (ATC) SEI message provides a preferred alternative value for the transfer_characteristics syntax element that is indicated by the colour description syntax of VUI parameters. This SEI is especially applicable in bitstream SDR backward compatibility use cases, where the VUI transfer_characteristics syntax element is supposed to signal an SDR transfer function (transfer_characteristics values </w:t>
      </w:r>
      <w:r w:rsidRPr="00980878">
        <w:t>1, 6, 14 or 15</w:t>
      </w:r>
      <w:r w:rsidRPr="008467B6">
        <w:t xml:space="preserve">). The ATC SEI message can be conveyed to indicate the transfer function used to produce the HDR </w:t>
      </w:r>
      <w:r>
        <w:t xml:space="preserve">from SDR </w:t>
      </w:r>
      <w:r w:rsidRPr="008467B6">
        <w:t>video signal</w:t>
      </w:r>
      <w:r>
        <w:t xml:space="preserve"> representation</w:t>
      </w:r>
      <w:r w:rsidRPr="008467B6">
        <w:t xml:space="preserve">. This is applicable to the HLG transfer function (transfer_characteristics value 18), further discussed in sub-clause </w:t>
      </w:r>
      <w:r w:rsidRPr="00275358">
        <w:fldChar w:fldCharType="begin"/>
      </w:r>
      <w:r w:rsidRPr="008467B6">
        <w:instrText xml:space="preserve"> REF _Ref465257163 \r \h </w:instrText>
      </w:r>
      <w:r w:rsidRPr="00275358">
        <w:fldChar w:fldCharType="separate"/>
      </w:r>
      <w:r>
        <w:t>7.1</w:t>
      </w:r>
      <w:r w:rsidRPr="00275358">
        <w:fldChar w:fldCharType="end"/>
      </w:r>
      <w:r w:rsidRPr="008467B6">
        <w:t>. The ATC SEI message persists until the end of the CLVS. All ATC SEI messages that apply to the same CLVS shall have the same content.</w:t>
      </w:r>
    </w:p>
    <w:p w14:paraId="5BF77450" w14:textId="77777777" w:rsidR="007B6848" w:rsidRPr="008467B6" w:rsidRDefault="007B6848" w:rsidP="007B6848">
      <w:pPr>
        <w:pStyle w:val="Heading3"/>
      </w:pPr>
      <w:bookmarkStart w:id="97" w:name="_Ref464593583"/>
      <w:bookmarkStart w:id="98" w:name="_Toc467226098"/>
      <w:r w:rsidRPr="008467B6">
        <w:t>Tone mapping information SEI message</w:t>
      </w:r>
      <w:bookmarkEnd w:id="97"/>
      <w:bookmarkEnd w:id="98"/>
    </w:p>
    <w:p w14:paraId="3F35FECC" w14:textId="77777777" w:rsidR="007B6848" w:rsidRPr="008467B6" w:rsidRDefault="007B6848" w:rsidP="007B6848">
      <w:r w:rsidRPr="008467B6">
        <w:t>The tone mapping information (TMI) SEI message is designed to carry one or more tone mapping curves within a coded video sequence. The tone mapping curves are used to convert the decoded image to a mapped image, for instance to target a specific display. Four ways of implemented the tone mapping function are specified in TMI SEI, including by a linear function with a clip, a sigmoidal function, a piece-wise linear function, or an explicit 1D look-up table (LUT). In practice, for each case, the mapping curve can be represented by a 1D-LUT LUT</w:t>
      </w:r>
      <w:r w:rsidRPr="008467B6">
        <w:rPr>
          <w:vertAlign w:val="subscript"/>
        </w:rPr>
        <w:t>TM</w:t>
      </w:r>
      <w:r w:rsidRPr="008467B6">
        <w:t xml:space="preserve">. The tone mapping </w:t>
      </w:r>
      <w:r>
        <w:t>function</w:t>
      </w:r>
      <w:r w:rsidRPr="008467B6">
        <w:t xml:space="preserve"> applies </w:t>
      </w:r>
      <w:r>
        <w:t xml:space="preserve">either </w:t>
      </w:r>
      <w:r w:rsidRPr="008467B6">
        <w:t>to the luma component</w:t>
      </w:r>
      <w:r>
        <w:t>,</w:t>
      </w:r>
      <w:r w:rsidRPr="008467B6">
        <w:t xml:space="preserve"> or simultaneously to the three RGB components of the decoded signal, for instance as indicated below.</w:t>
      </w:r>
    </w:p>
    <w:p w14:paraId="157CBADE" w14:textId="77777777" w:rsidR="007B6848" w:rsidRPr="008467B6" w:rsidRDefault="007B6848" w:rsidP="007B6848">
      <w:r w:rsidRPr="008467B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out</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out</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out</m:t>
                      </m:r>
                    </m:sub>
                  </m:sSub>
                </m:e>
              </m:mr>
            </m:m>
          </m:e>
        </m:d>
        <m:r>
          <m:rPr>
            <m:sty m:val="p"/>
          </m:rPr>
          <w:rPr>
            <w:rFonts w:ascii="Cambria Math" w:eastAsia="Cambria Math" w:hAnsi="Cambria Math" w:cs="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[R</m:t>
                      </m:r>
                    </m:e>
                    <m:sub>
                      <m:r>
                        <m:rPr>
                          <m:sty m:val="p"/>
                        </m:rPr>
                        <w:rPr>
                          <w:rFonts w:ascii="Cambria Math" w:hAnsi="Cambria Math"/>
                        </w:rPr>
                        <m:t>in</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[G</m:t>
                      </m:r>
                    </m:e>
                    <m:sub>
                      <m:r>
                        <m:rPr>
                          <m:sty m:val="p"/>
                        </m:rPr>
                        <w:rPr>
                          <w:rFonts w:ascii="Cambria Math" w:hAnsi="Cambria Math"/>
                        </w:rPr>
                        <m:t>in</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[B</m:t>
                      </m:r>
                    </m:e>
                    <m:sub>
                      <m:r>
                        <m:rPr>
                          <m:sty m:val="p"/>
                        </m:rPr>
                        <w:rPr>
                          <w:rFonts w:ascii="Cambria Math" w:hAnsi="Cambria Math"/>
                        </w:rPr>
                        <m:t>in</m:t>
                      </m:r>
                    </m:sub>
                  </m:sSub>
                  <m:r>
                    <m:rPr>
                      <m:sty m:val="p"/>
                    </m:rPr>
                    <w:rPr>
                      <w:rFonts w:ascii="Cambria Math" w:hAnsi="Cambria Math"/>
                    </w:rPr>
                    <m:t>]</m:t>
                  </m:r>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12</w:t>
      </w:r>
      <w:r>
        <w:rPr>
          <w:noProof/>
        </w:rPr>
        <w:fldChar w:fldCharType="end"/>
      </w:r>
      <w:r w:rsidRPr="008467B6">
        <w:t>)</w:t>
      </w:r>
    </w:p>
    <w:p w14:paraId="6D19998F" w14:textId="77777777" w:rsidR="007B6848" w:rsidRPr="008467B6" w:rsidRDefault="007B6848" w:rsidP="007B6848">
      <w:r w:rsidRPr="008467B6">
        <w:t>The TMI SEI message includes a syntax element tone_map_id that may be used to identify the purpose of the TMI. The TMI SEI message also includes a syntax element</w:t>
      </w:r>
      <w:r w:rsidRPr="008467B6">
        <w:rPr>
          <w:b/>
        </w:rPr>
        <w:t xml:space="preserve"> tone_map_model_id</w:t>
      </w:r>
      <w:r w:rsidRPr="008467B6">
        <w:t xml:space="preserve"> that specifies the model </w:t>
      </w:r>
      <w:r>
        <w:t xml:space="preserve">type </w:t>
      </w:r>
      <w:r w:rsidRPr="008467B6">
        <w:t xml:space="preserve">used for mapping the coded data. Four models are specified: </w:t>
      </w:r>
      <w:r w:rsidRPr="008467B6">
        <w:rPr>
          <w:bCs/>
        </w:rPr>
        <w:t>tone_map_</w:t>
      </w:r>
      <w:r w:rsidRPr="008467B6">
        <w:t xml:space="preserve">model_id equal to 0 corresponds to a linear mapping with clipping; </w:t>
      </w:r>
      <w:r w:rsidRPr="008467B6">
        <w:rPr>
          <w:bCs/>
        </w:rPr>
        <w:t>tone_map_</w:t>
      </w:r>
      <w:r w:rsidRPr="008467B6">
        <w:t xml:space="preserve">model_id equal to 1 corresponds to a sigmoidal mapping; </w:t>
      </w:r>
      <w:r w:rsidRPr="008467B6">
        <w:rPr>
          <w:bCs/>
        </w:rPr>
        <w:t>tone_map_</w:t>
      </w:r>
      <w:r w:rsidRPr="008467B6">
        <w:t>model_id equal to 2 corresponds to a user-defined table mapping</w:t>
      </w:r>
      <w:r>
        <w:t>;</w:t>
      </w:r>
      <w:r w:rsidRPr="008467B6">
        <w:t xml:space="preserve"> and </w:t>
      </w:r>
      <w:r w:rsidRPr="008467B6">
        <w:rPr>
          <w:bCs/>
        </w:rPr>
        <w:t>tone_map_</w:t>
      </w:r>
      <w:r w:rsidRPr="008467B6">
        <w:t>model_id equal to 3 corresponds to a piece-wise linear mapping.</w:t>
      </w:r>
    </w:p>
    <w:p w14:paraId="0A24E4A9" w14:textId="77777777" w:rsidR="007B6848" w:rsidRPr="008467B6" w:rsidRDefault="007B6848" w:rsidP="007B6848">
      <w:r w:rsidRPr="008467B6">
        <w:t xml:space="preserve">More than one tone map can be associated with a coded video sequence through the tone mapping information SEI message identifier tags. This enables simultaneous support for multiple dynamic range targets, including targets that have greater or less dynamic range than the decoded video data. </w:t>
      </w:r>
    </w:p>
    <w:p w14:paraId="4464D57A" w14:textId="77777777" w:rsidR="007B6848" w:rsidRPr="008467B6" w:rsidRDefault="007B6848" w:rsidP="007B6848">
      <w:pPr>
        <w:spacing w:before="60"/>
        <w:ind w:left="288"/>
        <w:rPr>
          <w:sz w:val="18"/>
        </w:rPr>
      </w:pPr>
      <w:r w:rsidRPr="008467B6">
        <w:rPr>
          <w:sz w:val="18"/>
        </w:rPr>
        <w:t xml:space="preserve">NOTE – The </w:t>
      </w:r>
      <w:r>
        <w:rPr>
          <w:sz w:val="18"/>
        </w:rPr>
        <w:t>t</w:t>
      </w:r>
      <w:r w:rsidRPr="008467B6">
        <w:rPr>
          <w:sz w:val="18"/>
        </w:rPr>
        <w:t xml:space="preserve">one mapping information SEI message is also specified in AVC </w:t>
      </w:r>
      <w:r>
        <w:rPr>
          <w:sz w:val="18"/>
        </w:rPr>
        <w:fldChar w:fldCharType="begin"/>
      </w:r>
      <w:r>
        <w:rPr>
          <w:sz w:val="18"/>
        </w:rPr>
        <w:instrText xml:space="preserve"> REF _Ref467236857 \r \h </w:instrText>
      </w:r>
      <w:r>
        <w:rPr>
          <w:sz w:val="18"/>
        </w:rPr>
      </w:r>
      <w:r>
        <w:rPr>
          <w:sz w:val="18"/>
        </w:rPr>
        <w:fldChar w:fldCharType="separate"/>
      </w:r>
      <w:r>
        <w:rPr>
          <w:sz w:val="18"/>
        </w:rPr>
        <w:t>[6]</w:t>
      </w:r>
      <w:r>
        <w:rPr>
          <w:sz w:val="18"/>
        </w:rPr>
        <w:fldChar w:fldCharType="end"/>
      </w:r>
      <w:r>
        <w:rPr>
          <w:sz w:val="18"/>
        </w:rPr>
        <w:fldChar w:fldCharType="begin"/>
      </w:r>
      <w:r>
        <w:rPr>
          <w:sz w:val="18"/>
        </w:rPr>
        <w:instrText xml:space="preserve"> REF _Ref467236864 \r \h </w:instrText>
      </w:r>
      <w:r>
        <w:rPr>
          <w:sz w:val="18"/>
        </w:rPr>
      </w:r>
      <w:r>
        <w:rPr>
          <w:sz w:val="18"/>
        </w:rPr>
        <w:fldChar w:fldCharType="separate"/>
      </w:r>
      <w:r>
        <w:rPr>
          <w:sz w:val="18"/>
        </w:rPr>
        <w:t>[7]</w:t>
      </w:r>
      <w:r>
        <w:rPr>
          <w:sz w:val="18"/>
        </w:rPr>
        <w:fldChar w:fldCharType="end"/>
      </w:r>
      <w:r w:rsidRPr="008467B6">
        <w:rPr>
          <w:sz w:val="18"/>
        </w:rPr>
        <w:t>.</w:t>
      </w:r>
    </w:p>
    <w:p w14:paraId="6B5E77FE" w14:textId="77777777" w:rsidR="007B6848" w:rsidRPr="008467B6" w:rsidRDefault="007B6848" w:rsidP="007B6848">
      <w:pPr>
        <w:pStyle w:val="Heading3"/>
      </w:pPr>
      <w:bookmarkStart w:id="99" w:name="_Toc464764630"/>
      <w:bookmarkStart w:id="100" w:name="_Toc464764681"/>
      <w:bookmarkStart w:id="101" w:name="_Toc453764644"/>
      <w:bookmarkStart w:id="102" w:name="_Toc453764672"/>
      <w:bookmarkStart w:id="103" w:name="_Toc453764751"/>
      <w:bookmarkStart w:id="104" w:name="_Toc453764779"/>
      <w:bookmarkStart w:id="105" w:name="_Toc453764985"/>
      <w:bookmarkStart w:id="106" w:name="_Toc453766700"/>
      <w:bookmarkStart w:id="107" w:name="_Toc453767152"/>
      <w:bookmarkStart w:id="108" w:name="_Toc454454592"/>
      <w:bookmarkStart w:id="109" w:name="_Toc452455850"/>
      <w:bookmarkStart w:id="110" w:name="_Toc454454594"/>
      <w:bookmarkStart w:id="111" w:name="_Ref464593590"/>
      <w:bookmarkStart w:id="112" w:name="_Toc467226099"/>
      <w:bookmarkEnd w:id="99"/>
      <w:bookmarkEnd w:id="100"/>
      <w:bookmarkEnd w:id="101"/>
      <w:bookmarkEnd w:id="102"/>
      <w:bookmarkEnd w:id="103"/>
      <w:bookmarkEnd w:id="104"/>
      <w:bookmarkEnd w:id="105"/>
      <w:bookmarkEnd w:id="106"/>
      <w:bookmarkEnd w:id="107"/>
      <w:bookmarkEnd w:id="108"/>
      <w:r w:rsidRPr="008467B6">
        <w:t>Colour remapping information SEI message</w:t>
      </w:r>
      <w:bookmarkEnd w:id="109"/>
      <w:bookmarkEnd w:id="110"/>
      <w:bookmarkEnd w:id="111"/>
      <w:bookmarkEnd w:id="112"/>
    </w:p>
    <w:p w14:paraId="222E40D7" w14:textId="77777777" w:rsidR="007B6848" w:rsidRPr="008467B6" w:rsidRDefault="007B6848" w:rsidP="007B6848">
      <w:r w:rsidRPr="008467B6">
        <w:t xml:space="preserve">The colour remapping information (CRI) SEI message conveys information used to remap decoded pictures from one colour volume to another one. The syntax of CRI remapping model includes three parts: a first piece-wise linear function applied to each colour component (“Pre-LUT”), followed by a three-by-three matrix applied to the three resulting colour components, </w:t>
      </w:r>
      <w:r>
        <w:t xml:space="preserve">and </w:t>
      </w:r>
      <w:r w:rsidRPr="008467B6">
        <w:t>followed by a second piece-wise linear function applied to each resulting colour component (“Post-LUT”). Each one of these set of data is optional (for instance</w:t>
      </w:r>
      <w:r>
        <w:t>,</w:t>
      </w:r>
      <w:r w:rsidRPr="008467B6">
        <w:t xml:space="preserve"> only the Pre-LUTs can apply, leading to the application of only one transfer function to each colour component of the input signal). A maximum of 33 pivot points per LUT may be coded to specify the piece-wise linear functions. When the three-by-three matrix is activated, the conversion process using CRI must apply in 4:4:4. When it is not activated, the mapping process can apply in 4:2:2 or 4:2:0 chroma sampling formats.</w:t>
      </w:r>
    </w:p>
    <w:p w14:paraId="637A2B6E" w14:textId="77777777" w:rsidR="007B6848" w:rsidRPr="008467B6" w:rsidRDefault="007B6848" w:rsidP="007B6848">
      <w:r w:rsidRPr="008467B6">
        <w:t>The following equations illustrate the application of the complete CRI model to the R, G, B values of a color sample:</w:t>
      </w:r>
    </w:p>
    <w:p w14:paraId="60E1050F" w14:textId="77777777" w:rsidR="007B6848" w:rsidRPr="008467B6" w:rsidRDefault="007B6848" w:rsidP="007B6848">
      <w:r w:rsidRPr="008467B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e>
              </m:mr>
            </m:m>
          </m:e>
        </m:d>
        <m:r>
          <m:rPr>
            <m:sty m:val="p"/>
          </m:rPr>
          <w:rPr>
            <w:rFonts w:ascii="Cambria Math" w:eastAsia="Cambria Math" w:hAnsi="Cambria Math" w:cs="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0</m:t>
                          </m:r>
                        </m:sub>
                      </m:sSub>
                      <m:r>
                        <m:rPr>
                          <m:sty m:val="p"/>
                        </m:rPr>
                        <w:rPr>
                          <w:rFonts w:ascii="Cambria Math" w:hAnsi="Cambria Math"/>
                        </w:rPr>
                        <m:t>[R</m:t>
                      </m:r>
                    </m:e>
                    <m:sub>
                      <m:r>
                        <m:rPr>
                          <m:sty m:val="p"/>
                        </m:rPr>
                        <w:rPr>
                          <w:rFonts w:ascii="Cambria Math" w:hAnsi="Cambria Math"/>
                        </w:rPr>
                        <m:t>in</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1</m:t>
                          </m:r>
                        </m:sub>
                      </m:sSub>
                      <m:r>
                        <m:rPr>
                          <m:sty m:val="p"/>
                        </m:rPr>
                        <w:rPr>
                          <w:rFonts w:ascii="Cambria Math" w:hAnsi="Cambria Math"/>
                        </w:rPr>
                        <m:t>[G</m:t>
                      </m:r>
                    </m:e>
                    <m:sub>
                      <m:r>
                        <m:rPr>
                          <m:sty m:val="p"/>
                        </m:rPr>
                        <w:rPr>
                          <w:rFonts w:ascii="Cambria Math" w:hAnsi="Cambria Math"/>
                        </w:rPr>
                        <m:t>in</m:t>
                      </m:r>
                    </m:sub>
                  </m:sSub>
                  <m:r>
                    <m:rPr>
                      <m:sty m:val="p"/>
                    </m:rPr>
                    <w:rPr>
                      <w:rFonts w:ascii="Cambria Math" w:hAnsi="Cambria Math"/>
                    </w:rPr>
                    <m:t>]</m:t>
                  </m:r>
                </m:e>
              </m:mr>
              <m:mr>
                <m:e>
                  <m:sSub>
                    <m:sSubPr>
                      <m:ctrlPr>
                        <w:rPr>
                          <w:rFonts w:ascii="Cambria Math" w:hAnsi="Cambria Math"/>
                        </w:rPr>
                      </m:ctrlPr>
                    </m:sSubPr>
                    <m:e>
                      <m:r>
                        <m:rPr>
                          <m:sty m:val="p"/>
                        </m:rPr>
                        <w:rPr>
                          <w:rFonts w:ascii="Cambria Math" w:hAnsi="Cambria Math"/>
                        </w:rPr>
                        <m:t>Pre</m:t>
                      </m:r>
                      <m:sSub>
                        <m:sSubPr>
                          <m:ctrlPr>
                            <w:rPr>
                              <w:rFonts w:ascii="Cambria Math" w:hAnsi="Cambria Math"/>
                            </w:rPr>
                          </m:ctrlPr>
                        </m:sSubPr>
                        <m:e>
                          <m:r>
                            <m:rPr>
                              <m:sty m:val="p"/>
                            </m:rPr>
                            <w:rPr>
                              <w:rFonts w:ascii="Cambria Math" w:hAnsi="Cambria Math"/>
                            </w:rPr>
                            <m:t>LUT</m:t>
                          </m:r>
                        </m:e>
                        <m:sub>
                          <m:r>
                            <m:rPr>
                              <m:sty m:val="p"/>
                            </m:rPr>
                            <w:rPr>
                              <w:rFonts w:ascii="Cambria Math" w:hAnsi="Cambria Math"/>
                            </w:rPr>
                            <m:t>2</m:t>
                          </m:r>
                        </m:sub>
                      </m:sSub>
                      <m:r>
                        <m:rPr>
                          <m:sty m:val="p"/>
                        </m:rPr>
                        <w:rPr>
                          <w:rFonts w:ascii="Cambria Math" w:hAnsi="Cambria Math"/>
                        </w:rPr>
                        <m:t>[B</m:t>
                      </m:r>
                    </m:e>
                    <m:sub>
                      <m:r>
                        <m:rPr>
                          <m:sty m:val="p"/>
                        </m:rPr>
                        <w:rPr>
                          <w:rFonts w:ascii="Cambria Math" w:hAnsi="Cambria Math"/>
                        </w:rPr>
                        <m:t>in</m:t>
                      </m:r>
                    </m:sub>
                  </m:sSub>
                  <m:r>
                    <m:rPr>
                      <m:sty m:val="p"/>
                    </m:rPr>
                    <w:rPr>
                      <w:rFonts w:ascii="Cambria Math" w:hAnsi="Cambria Math"/>
                    </w:rPr>
                    <m:t>]</m:t>
                  </m:r>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13</w:t>
      </w:r>
      <w:r>
        <w:rPr>
          <w:noProof/>
        </w:rPr>
        <w:fldChar w:fldCharType="end"/>
      </w:r>
      <w:r w:rsidRPr="008467B6">
        <w:t>)</w:t>
      </w:r>
    </w:p>
    <w:p w14:paraId="338BF215" w14:textId="77777777" w:rsidR="007B6848" w:rsidRPr="008467B6" w:rsidRDefault="007B6848" w:rsidP="007B6848">
      <w:r w:rsidRPr="008467B6">
        <w:lastRenderedPageBreak/>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e>
              </m:mr>
            </m:m>
          </m:e>
        </m:d>
        <m:r>
          <m:rPr>
            <m:sty m:val="p"/>
          </m:rP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M</m:t>
            </m:r>
          </m:e>
          <m:sub>
            <m:r>
              <m:rPr>
                <m:sty m:val="p"/>
              </m:rPr>
              <w:rPr>
                <w:rFonts w:ascii="Cambria Math" w:eastAsia="Cambria Math" w:hAnsi="Cambria Math" w:cs="Cambria Math"/>
              </w:rPr>
              <m:t>3x3</m:t>
            </m:r>
          </m:sub>
        </m:sSub>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14</w:t>
      </w:r>
      <w:r>
        <w:rPr>
          <w:noProof/>
        </w:rPr>
        <w:fldChar w:fldCharType="end"/>
      </w:r>
      <w:r w:rsidRPr="008467B6">
        <w:t>)</w:t>
      </w:r>
    </w:p>
    <w:p w14:paraId="1AD2DD1B" w14:textId="77777777" w:rsidR="007B6848" w:rsidRPr="008467B6" w:rsidRDefault="007B6848" w:rsidP="007B6848">
      <w:r w:rsidRPr="008467B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out</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out</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out</m:t>
                      </m:r>
                    </m:sub>
                  </m:sSub>
                </m:e>
              </m:mr>
            </m:m>
          </m:e>
        </m:d>
        <m:r>
          <m:rPr>
            <m:sty m:val="p"/>
          </m:rPr>
          <w:rPr>
            <w:rFonts w:ascii="Cambria Math" w:eastAsia="Cambria Math" w:hAnsi="Cambria Math" w:cs="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0</m:t>
                          </m:r>
                        </m:sub>
                      </m:sSub>
                      <m:r>
                        <m:rPr>
                          <m:sty m:val="p"/>
                        </m:rPr>
                        <w:rPr>
                          <w:rFonts w:ascii="Cambria Math" w:hAnsi="Cambria Math"/>
                        </w:rPr>
                        <m:t>[R</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1</m:t>
                          </m:r>
                        </m:sub>
                      </m:sSub>
                      <m:r>
                        <m:rPr>
                          <m:sty m:val="p"/>
                        </m:rPr>
                        <w:rPr>
                          <w:rFonts w:ascii="Cambria Math" w:hAnsi="Cambria Math"/>
                        </w:rPr>
                        <m:t>[G</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2</m:t>
                          </m:r>
                        </m:sub>
                      </m:sSub>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15</w:t>
      </w:r>
      <w:r>
        <w:rPr>
          <w:noProof/>
        </w:rPr>
        <w:fldChar w:fldCharType="end"/>
      </w:r>
      <w:r w:rsidRPr="008467B6">
        <w:t>)</w:t>
      </w:r>
    </w:p>
    <w:p w14:paraId="2679279B" w14:textId="77777777" w:rsidR="007B6848" w:rsidRDefault="007B6848" w:rsidP="007B6848">
      <w:r w:rsidRPr="008467B6">
        <w:t xml:space="preserve">The CRI SEI message includes a syntax element colour_remap_id that may be used to identify the purpose of the colour remapping information. For instance, colour_remap_id value may be used to indicate that the input of the remapping is the result of a first conversion process, such as conversion to </w:t>
      </w:r>
      <w:r w:rsidRPr="008467B6">
        <w:rPr>
          <w:rFonts w:eastAsia="SimSun"/>
        </w:rPr>
        <w:t>Y</w:t>
      </w:r>
      <w:r w:rsidRPr="008467B6">
        <w:sym w:font="Symbol" w:char="F0A2"/>
      </w:r>
      <w:r w:rsidRPr="008467B6">
        <w:rPr>
          <w:rFonts w:eastAsia="SimSun"/>
        </w:rPr>
        <w:t>CbCr</w:t>
      </w:r>
      <w:r>
        <w:rPr>
          <w:rFonts w:eastAsia="SimSun"/>
        </w:rPr>
        <w:t>, RGB</w:t>
      </w:r>
      <w:r w:rsidRPr="008467B6">
        <w:t xml:space="preserve"> or GBR colour representation, or to enable cascading of different remapping processes, or to support conversion for multiple dynamic range targets.</w:t>
      </w:r>
    </w:p>
    <w:p w14:paraId="10F13423" w14:textId="77777777" w:rsidR="007B6848" w:rsidRDefault="007B6848" w:rsidP="007B6848">
      <w:r w:rsidRPr="008467B6">
        <w:t xml:space="preserve">The CRI SEI message </w:t>
      </w:r>
      <w:r>
        <w:t xml:space="preserve">also includes syntax elements that convey information to describe of the resulting colour volume of post-processed signal, namely </w:t>
      </w:r>
      <w:r w:rsidRPr="008467B6">
        <w:t>colour_remap_video_signal_info_present_flag</w:t>
      </w:r>
      <w:r>
        <w:t xml:space="preserve">, </w:t>
      </w:r>
      <w:r w:rsidRPr="008467B6">
        <w:t>colour_remap_transfer_function</w:t>
      </w:r>
      <w:r>
        <w:t xml:space="preserve">, </w:t>
      </w:r>
      <w:r w:rsidRPr="008467B6">
        <w:t>colour_remap_full_range_flag</w:t>
      </w:r>
      <w:r>
        <w:t xml:space="preserve">, </w:t>
      </w:r>
      <w:r w:rsidRPr="008467B6">
        <w:t>colour_remap_primaries</w:t>
      </w:r>
      <w:r>
        <w:t xml:space="preserve">, </w:t>
      </w:r>
      <w:r w:rsidRPr="008467B6">
        <w:t>colour_remap_matrix_coefficients</w:t>
      </w:r>
      <w:r>
        <w:t xml:space="preserve">, </w:t>
      </w:r>
      <w:r w:rsidRPr="008467B6">
        <w:t>colour_remap_output_bit_depth</w:t>
      </w:r>
      <w:r>
        <w:t>. The purpose of these syntax elements are analogous to the purpose of color description syntax of VUI.</w:t>
      </w:r>
    </w:p>
    <w:p w14:paraId="1069D97E" w14:textId="77777777" w:rsidR="007B6848" w:rsidRPr="00980878" w:rsidRDefault="007B6848" w:rsidP="007B6848">
      <w:pPr>
        <w:pStyle w:val="Heading2"/>
        <w:ind w:left="720" w:hanging="720"/>
      </w:pPr>
      <w:bookmarkStart w:id="113" w:name="_Ref464492757"/>
      <w:bookmarkStart w:id="114" w:name="_Toc467226100"/>
      <w:r w:rsidRPr="00980878">
        <w:t>IC</w:t>
      </w:r>
      <w:r w:rsidRPr="00980878">
        <w:rPr>
          <w:vertAlign w:val="subscript"/>
        </w:rPr>
        <w:t>T</w:t>
      </w:r>
      <w:r w:rsidRPr="00980878">
        <w:t>C</w:t>
      </w:r>
      <w:r w:rsidRPr="00980878">
        <w:rPr>
          <w:vertAlign w:val="subscript"/>
        </w:rPr>
        <w:t>P</w:t>
      </w:r>
      <w:r w:rsidRPr="00980878">
        <w:t xml:space="preserve"> colour representation</w:t>
      </w:r>
      <w:bookmarkEnd w:id="113"/>
      <w:bookmarkEnd w:id="114"/>
    </w:p>
    <w:p w14:paraId="47C961C8" w14:textId="77777777" w:rsidR="007B6848" w:rsidRPr="00980878" w:rsidRDefault="007B6848" w:rsidP="007B6848">
      <w:r w:rsidRPr="008467B6">
        <w:t xml:space="preserve">An overview of </w:t>
      </w:r>
      <w:r w:rsidRPr="008467B6">
        <w:rPr>
          <w:szCs w:val="22"/>
        </w:rPr>
        <w:t xml:space="preserve">CI </w:t>
      </w:r>
      <w:r w:rsidRPr="008467B6">
        <w:t>IC</w:t>
      </w:r>
      <w:r w:rsidRPr="008467B6">
        <w:rPr>
          <w:vertAlign w:val="subscript"/>
        </w:rPr>
        <w:t>T</w:t>
      </w:r>
      <w:r w:rsidRPr="008467B6">
        <w:t>C</w:t>
      </w:r>
      <w:r w:rsidRPr="008467B6">
        <w:rPr>
          <w:vertAlign w:val="subscript"/>
        </w:rPr>
        <w:t>P</w:t>
      </w:r>
      <w:r w:rsidRPr="008467B6">
        <w:t xml:space="preserve"> color representation is given in </w:t>
      </w:r>
      <w:r w:rsidRPr="00275358">
        <w:fldChar w:fldCharType="begin"/>
      </w:r>
      <w:r w:rsidRPr="008467B6">
        <w:instrText xml:space="preserve"> REF _Ref461013792 \r \h </w:instrText>
      </w:r>
      <w:r w:rsidRPr="00275358">
        <w:fldChar w:fldCharType="separate"/>
      </w:r>
      <w:r>
        <w:t>[2]</w:t>
      </w:r>
      <w:r w:rsidRPr="00275358">
        <w:fldChar w:fldCharType="end"/>
      </w:r>
      <w:r>
        <w:fldChar w:fldCharType="begin"/>
      </w:r>
      <w:r>
        <w:instrText xml:space="preserve"> REF _Ref467237186 \r \h </w:instrText>
      </w:r>
      <w:r>
        <w:fldChar w:fldCharType="separate"/>
      </w:r>
      <w:r>
        <w:t>[8]</w:t>
      </w:r>
      <w:r>
        <w:fldChar w:fldCharType="end"/>
      </w:r>
      <w:r w:rsidRPr="008467B6">
        <w:t xml:space="preserve">. </w:t>
      </w:r>
      <w:r w:rsidRPr="00980878">
        <w:t xml:space="preserve">This </w:t>
      </w:r>
      <w:r w:rsidRPr="008467B6">
        <w:t>sub-</w:t>
      </w:r>
      <w:r w:rsidRPr="00980878">
        <w:t>clause mainly provides a set of recommended guidelines on processing HDR/WCG video</w:t>
      </w:r>
      <w:r w:rsidRPr="007E6EDF">
        <w:t xml:space="preserve"> </w:t>
      </w:r>
      <w:r>
        <w:t>for</w:t>
      </w:r>
      <w:r w:rsidRPr="00980878">
        <w:t xml:space="preserve"> consumer distribution, including conversion steps for converting from a linear light RGB representation with Rec. ITU-R BT.2020 and Rec. ITU-R BT.2100 colour primaries to a 10-bits, narrow range, PQ transfer function (as defined in Rec. ITU-R BT.2100), 4:2:0, </w:t>
      </w:r>
      <w:r w:rsidRPr="008467B6">
        <w:t>IC</w:t>
      </w:r>
      <w:r w:rsidRPr="008467B6">
        <w:rPr>
          <w:vertAlign w:val="subscript"/>
        </w:rPr>
        <w:t>T</w:t>
      </w:r>
      <w:r w:rsidRPr="008467B6">
        <w:t>C</w:t>
      </w:r>
      <w:r w:rsidRPr="008467B6">
        <w:rPr>
          <w:vertAlign w:val="subscript"/>
        </w:rPr>
        <w:t>P</w:t>
      </w:r>
      <w:r w:rsidRPr="00980878">
        <w:t xml:space="preserve"> representation. </w:t>
      </w:r>
    </w:p>
    <w:p w14:paraId="13B9198A" w14:textId="77777777" w:rsidR="007B6848" w:rsidRPr="008467B6" w:rsidRDefault="007B6848" w:rsidP="007B6848">
      <w:r w:rsidRPr="008467B6">
        <w:t xml:space="preserve">The HDR/WCG system described in this </w:t>
      </w:r>
      <w:r>
        <w:t>sub-</w:t>
      </w:r>
      <w:r w:rsidRPr="008467B6">
        <w:t xml:space="preserve">clause follows the same workflow of 10-bits, narrow range, PQ </w:t>
      </w:r>
      <w:r w:rsidRPr="00980878">
        <w:t>transfer function</w:t>
      </w:r>
      <w:r w:rsidRPr="008467B6">
        <w:rPr>
          <w:rFonts w:eastAsia="SimSun"/>
        </w:rPr>
        <w:t>, 4:2:0, non-constant luminance Y</w:t>
      </w:r>
      <w:r w:rsidRPr="008467B6">
        <w:sym w:font="Symbol" w:char="F0A2"/>
      </w:r>
      <w:r w:rsidRPr="008467B6">
        <w:rPr>
          <w:rFonts w:eastAsia="SimSun"/>
        </w:rPr>
        <w:t xml:space="preserve">CbCr representation </w:t>
      </w:r>
      <w:r>
        <w:rPr>
          <w:rFonts w:eastAsia="SimSun"/>
        </w:rPr>
        <w:t xml:space="preserve">described </w:t>
      </w:r>
      <w:r w:rsidRPr="008467B6">
        <w:t xml:space="preserve">in </w:t>
      </w:r>
      <w:r w:rsidRPr="00275358">
        <w:fldChar w:fldCharType="begin"/>
      </w:r>
      <w:r w:rsidRPr="008467B6">
        <w:instrText xml:space="preserve"> REF _Ref448495076 \r \h </w:instrText>
      </w:r>
      <w:r w:rsidRPr="00275358">
        <w:fldChar w:fldCharType="separate"/>
      </w:r>
      <w:r>
        <w:t>[1]</w:t>
      </w:r>
      <w:r w:rsidRPr="00275358">
        <w:fldChar w:fldCharType="end"/>
      </w:r>
      <w:r w:rsidRPr="008467B6">
        <w:t>. It consists of four major stages:</w:t>
      </w:r>
    </w:p>
    <w:p w14:paraId="3F157B7B" w14:textId="77777777" w:rsidR="007B6848" w:rsidRPr="008467B6" w:rsidRDefault="007B6848" w:rsidP="007B6848">
      <w:pPr>
        <w:pStyle w:val="ListParagraph"/>
        <w:numPr>
          <w:ilvl w:val="0"/>
          <w:numId w:val="11"/>
        </w:numPr>
        <w:contextualSpacing w:val="0"/>
      </w:pPr>
      <w:r w:rsidRPr="008467B6">
        <w:t xml:space="preserve">a pre-encoding stage consisting of several pre-processing processes (sub-clause </w:t>
      </w:r>
      <w:r w:rsidRPr="00980878">
        <w:fldChar w:fldCharType="begin"/>
      </w:r>
      <w:r w:rsidRPr="008467B6">
        <w:instrText xml:space="preserve"> REF _Ref464737474 \r \h </w:instrText>
      </w:r>
      <w:r w:rsidRPr="00980878">
        <w:fldChar w:fldCharType="separate"/>
      </w:r>
      <w:r>
        <w:t>6.3.1</w:t>
      </w:r>
      <w:r w:rsidRPr="00980878">
        <w:fldChar w:fldCharType="end"/>
      </w:r>
      <w:r w:rsidRPr="008467B6">
        <w:t xml:space="preserve">), </w:t>
      </w:r>
    </w:p>
    <w:p w14:paraId="362EE7F0" w14:textId="77777777" w:rsidR="007B6848" w:rsidRPr="008467B6" w:rsidRDefault="007B6848" w:rsidP="007B6848">
      <w:pPr>
        <w:pStyle w:val="ListParagraph"/>
        <w:numPr>
          <w:ilvl w:val="0"/>
          <w:numId w:val="11"/>
        </w:numPr>
        <w:contextualSpacing w:val="0"/>
      </w:pPr>
      <w:r w:rsidRPr="008467B6">
        <w:t xml:space="preserve">an encoding stage (sub-clause </w:t>
      </w:r>
      <w:r w:rsidRPr="00980878">
        <w:fldChar w:fldCharType="begin"/>
      </w:r>
      <w:r w:rsidRPr="008467B6">
        <w:instrText xml:space="preserve"> REF _Ref464737494 \r \h </w:instrText>
      </w:r>
      <w:r w:rsidRPr="00980878">
        <w:fldChar w:fldCharType="separate"/>
      </w:r>
      <w:r>
        <w:t>6.3.2</w:t>
      </w:r>
      <w:r w:rsidRPr="00980878">
        <w:fldChar w:fldCharType="end"/>
      </w:r>
      <w:r w:rsidRPr="008467B6">
        <w:t xml:space="preserve">), </w:t>
      </w:r>
    </w:p>
    <w:p w14:paraId="4084BC40" w14:textId="77777777" w:rsidR="007B6848" w:rsidRPr="008467B6" w:rsidRDefault="007B6848" w:rsidP="007B6848">
      <w:pPr>
        <w:pStyle w:val="ListParagraph"/>
        <w:numPr>
          <w:ilvl w:val="0"/>
          <w:numId w:val="11"/>
        </w:numPr>
        <w:contextualSpacing w:val="0"/>
      </w:pPr>
      <w:r w:rsidRPr="008467B6">
        <w:t xml:space="preserve">a decoding stage (sub-clause </w:t>
      </w:r>
      <w:r w:rsidRPr="00980878">
        <w:fldChar w:fldCharType="begin"/>
      </w:r>
      <w:r w:rsidRPr="008467B6">
        <w:instrText xml:space="preserve"> REF _Ref464737512 \r \h </w:instrText>
      </w:r>
      <w:r w:rsidRPr="00980878">
        <w:fldChar w:fldCharType="separate"/>
      </w:r>
      <w:r>
        <w:t>6.3.3</w:t>
      </w:r>
      <w:r w:rsidRPr="00980878">
        <w:fldChar w:fldCharType="end"/>
      </w:r>
      <w:r w:rsidRPr="008467B6">
        <w:t xml:space="preserve">), and </w:t>
      </w:r>
    </w:p>
    <w:p w14:paraId="3F36C9D4" w14:textId="77777777" w:rsidR="007B6848" w:rsidRPr="008467B6" w:rsidRDefault="007B6848" w:rsidP="007B6848">
      <w:pPr>
        <w:pStyle w:val="ListParagraph"/>
        <w:numPr>
          <w:ilvl w:val="0"/>
          <w:numId w:val="11"/>
        </w:numPr>
        <w:contextualSpacing w:val="0"/>
      </w:pPr>
      <w:r w:rsidRPr="008467B6">
        <w:t xml:space="preserve">a post-decoding stage, also consisting of several post-processing processes (sub-clause </w:t>
      </w:r>
      <w:r w:rsidRPr="00980878">
        <w:fldChar w:fldCharType="begin"/>
      </w:r>
      <w:r w:rsidRPr="008467B6">
        <w:instrText xml:space="preserve"> REF _Ref464737521 \r \h </w:instrText>
      </w:r>
      <w:r w:rsidRPr="00980878">
        <w:fldChar w:fldCharType="separate"/>
      </w:r>
      <w:r>
        <w:t>6.3.4</w:t>
      </w:r>
      <w:r w:rsidRPr="00980878">
        <w:fldChar w:fldCharType="end"/>
      </w:r>
      <w:r w:rsidRPr="008467B6">
        <w:t xml:space="preserve">). </w:t>
      </w:r>
    </w:p>
    <w:p w14:paraId="33E9970B" w14:textId="77777777" w:rsidR="007B6848" w:rsidRPr="008467B6" w:rsidRDefault="007B6848" w:rsidP="007B6848">
      <w:r w:rsidRPr="008467B6">
        <w:t>These four stages are applied sequentially, with the output of one stage being used as input to the next stage.</w:t>
      </w:r>
    </w:p>
    <w:p w14:paraId="23545059" w14:textId="77777777" w:rsidR="007B6848" w:rsidRPr="008467B6" w:rsidRDefault="007B6848" w:rsidP="007B6848">
      <w:r w:rsidRPr="008467B6">
        <w:t xml:space="preserve">It is assumed that both the input to and the output of the HDR/WCG system are 4:4:4, linear light, floating-point signals, in an RGB colour representation using the same colour primaries. The output signal is targeted to resemble the input video signal as closely as possible. Other video formats can be used as input to the HDR/WCG </w:t>
      </w:r>
      <w:r>
        <w:t>s</w:t>
      </w:r>
      <w:r w:rsidRPr="008467B6">
        <w:t>ystem by first converting them to the above defined input signal representation.</w:t>
      </w:r>
    </w:p>
    <w:p w14:paraId="749B2784" w14:textId="77777777" w:rsidR="007B6848" w:rsidRPr="008467B6" w:rsidRDefault="007B6848" w:rsidP="007B6848">
      <w:pPr>
        <w:spacing w:before="60"/>
        <w:ind w:left="288"/>
        <w:rPr>
          <w:sz w:val="18"/>
        </w:rPr>
      </w:pPr>
      <w:r w:rsidRPr="008467B6">
        <w:rPr>
          <w:sz w:val="18"/>
        </w:rPr>
        <w:t xml:space="preserve">NOTE 1 – The main goal of this sub-clause is to highlight the conversion and coding differences </w:t>
      </w:r>
      <w:r w:rsidRPr="008467B6">
        <w:rPr>
          <w:sz w:val="18"/>
          <w:szCs w:val="18"/>
        </w:rPr>
        <w:t xml:space="preserve">between PQ </w:t>
      </w:r>
      <w:r w:rsidRPr="00980878">
        <w:rPr>
          <w:sz w:val="18"/>
          <w:szCs w:val="18"/>
        </w:rPr>
        <w:t>IC</w:t>
      </w:r>
      <w:r w:rsidRPr="00980878">
        <w:rPr>
          <w:sz w:val="18"/>
          <w:szCs w:val="18"/>
          <w:vertAlign w:val="subscript"/>
        </w:rPr>
        <w:t>T</w:t>
      </w:r>
      <w:r w:rsidRPr="00980878">
        <w:rPr>
          <w:sz w:val="18"/>
          <w:szCs w:val="18"/>
        </w:rPr>
        <w:t>C</w:t>
      </w:r>
      <w:r w:rsidRPr="00980878">
        <w:rPr>
          <w:sz w:val="18"/>
          <w:szCs w:val="18"/>
          <w:vertAlign w:val="subscript"/>
        </w:rPr>
        <w:t xml:space="preserve">P </w:t>
      </w:r>
      <w:r w:rsidRPr="008467B6">
        <w:rPr>
          <w:sz w:val="18"/>
          <w:szCs w:val="18"/>
        </w:rPr>
        <w:t>and PQ NCL Y</w:t>
      </w:r>
      <w:r w:rsidRPr="008467B6">
        <w:rPr>
          <w:sz w:val="18"/>
          <w:szCs w:val="18"/>
        </w:rPr>
        <w:sym w:font="Symbol" w:char="F0A2"/>
      </w:r>
      <w:r w:rsidRPr="008467B6">
        <w:rPr>
          <w:sz w:val="18"/>
          <w:szCs w:val="18"/>
        </w:rPr>
        <w:t>CbCr</w:t>
      </w:r>
      <w:r w:rsidRPr="00980878">
        <w:rPr>
          <w:sz w:val="18"/>
          <w:szCs w:val="18"/>
        </w:rPr>
        <w:t xml:space="preserve"> signal. </w:t>
      </w:r>
      <w:r w:rsidRPr="008467B6">
        <w:rPr>
          <w:sz w:val="18"/>
          <w:szCs w:val="18"/>
        </w:rPr>
        <w:t xml:space="preserve">More details on common parts of these two systems can refer specifically in </w:t>
      </w:r>
      <w:r w:rsidRPr="00275358">
        <w:rPr>
          <w:sz w:val="18"/>
          <w:szCs w:val="18"/>
        </w:rPr>
        <w:fldChar w:fldCharType="begin"/>
      </w:r>
      <w:r w:rsidRPr="008467B6">
        <w:rPr>
          <w:sz w:val="18"/>
          <w:szCs w:val="18"/>
        </w:rPr>
        <w:instrText xml:space="preserve"> REF _Ref448495076 \r \h  \* MERGEFORMAT </w:instrText>
      </w:r>
      <w:r w:rsidRPr="00275358">
        <w:rPr>
          <w:sz w:val="18"/>
          <w:szCs w:val="18"/>
        </w:rPr>
      </w:r>
      <w:r w:rsidRPr="00275358">
        <w:rPr>
          <w:sz w:val="18"/>
          <w:szCs w:val="18"/>
        </w:rPr>
        <w:fldChar w:fldCharType="separate"/>
      </w:r>
      <w:r>
        <w:rPr>
          <w:sz w:val="18"/>
          <w:szCs w:val="18"/>
        </w:rPr>
        <w:t>[1]</w:t>
      </w:r>
      <w:r w:rsidRPr="00275358">
        <w:rPr>
          <w:sz w:val="18"/>
          <w:szCs w:val="18"/>
        </w:rPr>
        <w:fldChar w:fldCharType="end"/>
      </w:r>
      <w:r w:rsidRPr="008467B6">
        <w:rPr>
          <w:sz w:val="18"/>
        </w:rPr>
        <w:t xml:space="preserve">. </w:t>
      </w:r>
    </w:p>
    <w:p w14:paraId="7F47F433" w14:textId="77777777" w:rsidR="007B6848" w:rsidRPr="008467B6" w:rsidRDefault="007B6848" w:rsidP="007B6848">
      <w:pPr>
        <w:spacing w:before="120"/>
        <w:ind w:left="288"/>
        <w:rPr>
          <w:sz w:val="18"/>
        </w:rPr>
      </w:pPr>
      <w:r w:rsidRPr="008467B6">
        <w:rPr>
          <w:sz w:val="18"/>
        </w:rPr>
        <w:t>NOTE 2 – The same workflow can be used for HLG</w:t>
      </w:r>
      <w:r w:rsidRPr="008467B6">
        <w:rPr>
          <w:sz w:val="16"/>
        </w:rPr>
        <w:t xml:space="preserve"> </w:t>
      </w:r>
      <w:r w:rsidRPr="00980878">
        <w:rPr>
          <w:sz w:val="18"/>
        </w:rPr>
        <w:t>IC</w:t>
      </w:r>
      <w:r w:rsidRPr="00980878">
        <w:rPr>
          <w:sz w:val="18"/>
          <w:vertAlign w:val="subscript"/>
        </w:rPr>
        <w:t>T</w:t>
      </w:r>
      <w:r w:rsidRPr="00980878">
        <w:rPr>
          <w:sz w:val="18"/>
        </w:rPr>
        <w:t>C</w:t>
      </w:r>
      <w:r w:rsidRPr="00980878">
        <w:rPr>
          <w:sz w:val="18"/>
          <w:vertAlign w:val="subscript"/>
        </w:rPr>
        <w:t xml:space="preserve">P </w:t>
      </w:r>
      <w:r w:rsidRPr="00980878">
        <w:rPr>
          <w:sz w:val="18"/>
        </w:rPr>
        <w:t>by substituting PQ with HLG.</w:t>
      </w:r>
    </w:p>
    <w:p w14:paraId="06705579" w14:textId="77777777" w:rsidR="007B6848" w:rsidRPr="008467B6" w:rsidRDefault="007B6848" w:rsidP="007B6848">
      <w:pPr>
        <w:pStyle w:val="Heading3"/>
      </w:pPr>
      <w:bookmarkStart w:id="115" w:name="_Ref464737474"/>
      <w:bookmarkStart w:id="116" w:name="_Toc467226101"/>
      <w:r w:rsidRPr="00980878">
        <w:t>Pre-encoding process</w:t>
      </w:r>
      <w:bookmarkEnd w:id="115"/>
      <w:bookmarkEnd w:id="116"/>
    </w:p>
    <w:p w14:paraId="1E8BA9B3" w14:textId="77777777" w:rsidR="007B6848" w:rsidRPr="008467B6" w:rsidRDefault="007B6848" w:rsidP="007B6848">
      <w:pPr>
        <w:rPr>
          <w:lang w:eastAsia="ko-KR"/>
        </w:rPr>
      </w:pPr>
      <w:r w:rsidRPr="008467B6">
        <w:rPr>
          <w:lang w:eastAsia="ko-KR"/>
        </w:rPr>
        <w:t xml:space="preserve">The pre-encoding process described in this document includes the following components, as presented in </w:t>
      </w:r>
      <w:r w:rsidRPr="00275358">
        <w:rPr>
          <w:lang w:eastAsia="ko-KR"/>
        </w:rPr>
        <w:fldChar w:fldCharType="begin"/>
      </w:r>
      <w:r w:rsidRPr="008467B6">
        <w:rPr>
          <w:lang w:eastAsia="ko-KR"/>
        </w:rPr>
        <w:instrText xml:space="preserve"> REF _Ref464737717 \h </w:instrText>
      </w:r>
      <w:r w:rsidRPr="00275358">
        <w:rPr>
          <w:lang w:eastAsia="ko-KR"/>
        </w:rPr>
      </w:r>
      <w:r w:rsidRPr="00275358">
        <w:rPr>
          <w:lang w:eastAsia="ko-KR"/>
        </w:rPr>
        <w:fldChar w:fldCharType="separate"/>
      </w:r>
      <w:r w:rsidRPr="008467B6">
        <w:rPr>
          <w:lang w:val="en-US"/>
        </w:rPr>
        <w:t>Figure </w:t>
      </w:r>
      <w:r>
        <w:rPr>
          <w:noProof/>
          <w:lang w:val="en-US"/>
        </w:rPr>
        <w:t>6</w:t>
      </w:r>
      <w:r>
        <w:rPr>
          <w:lang w:val="en-US"/>
        </w:rPr>
        <w:noBreakHyphen/>
      </w:r>
      <w:r>
        <w:rPr>
          <w:noProof/>
          <w:lang w:val="en-US"/>
        </w:rPr>
        <w:t>3</w:t>
      </w:r>
      <w:r w:rsidRPr="008467B6">
        <w:rPr>
          <w:lang w:val="en-US"/>
        </w:rPr>
        <w:t xml:space="preserve"> </w:t>
      </w:r>
      <w:r w:rsidRPr="00275358">
        <w:rPr>
          <w:lang w:eastAsia="ko-KR"/>
        </w:rPr>
        <w:fldChar w:fldCharType="end"/>
      </w:r>
      <w:r w:rsidRPr="008467B6">
        <w:rPr>
          <w:lang w:eastAsia="ko-KR"/>
        </w:rPr>
        <w:t>:</w:t>
      </w:r>
    </w:p>
    <w:p w14:paraId="6EF9E7FB" w14:textId="77777777" w:rsidR="007B6848" w:rsidRPr="008467B6" w:rsidRDefault="007B6848" w:rsidP="007B6848">
      <w:pPr>
        <w:pStyle w:val="ListParagraph"/>
        <w:numPr>
          <w:ilvl w:val="0"/>
          <w:numId w:val="5"/>
        </w:numPr>
        <w:rPr>
          <w:lang w:eastAsia="ko-KR"/>
        </w:rPr>
      </w:pPr>
      <w:r w:rsidRPr="008467B6">
        <w:rPr>
          <w:lang w:eastAsia="ko-KR"/>
        </w:rPr>
        <w:t xml:space="preserve">a conversion component from a </w:t>
      </w:r>
      <w:r w:rsidRPr="008467B6">
        <w:t xml:space="preserve">linear </w:t>
      </w:r>
      <w:r w:rsidRPr="008467B6">
        <w:rPr>
          <w:lang w:eastAsia="ko-KR"/>
        </w:rPr>
        <w:t xml:space="preserve">RGB data representation to a </w:t>
      </w:r>
      <w:r w:rsidRPr="008467B6">
        <w:t xml:space="preserve">linear </w:t>
      </w:r>
      <w:r w:rsidRPr="008467B6">
        <w:rPr>
          <w:lang w:eastAsia="ko-KR"/>
        </w:rPr>
        <w:t xml:space="preserve">LMS data representation, described in sub-clause </w:t>
      </w:r>
      <w:r w:rsidRPr="00980878">
        <w:rPr>
          <w:lang w:eastAsia="ko-KR"/>
        </w:rPr>
        <w:fldChar w:fldCharType="begin"/>
      </w:r>
      <w:r w:rsidRPr="008467B6">
        <w:rPr>
          <w:lang w:eastAsia="ko-KR"/>
        </w:rPr>
        <w:instrText xml:space="preserve"> REF _Ref466894534 \r \h </w:instrText>
      </w:r>
      <w:r w:rsidRPr="00980878">
        <w:rPr>
          <w:lang w:eastAsia="ko-KR"/>
        </w:rPr>
      </w:r>
      <w:r w:rsidRPr="00980878">
        <w:rPr>
          <w:lang w:eastAsia="ko-KR"/>
        </w:rPr>
        <w:fldChar w:fldCharType="separate"/>
      </w:r>
      <w:r>
        <w:rPr>
          <w:lang w:eastAsia="ko-KR"/>
        </w:rPr>
        <w:t>6.3.1.1</w:t>
      </w:r>
      <w:r w:rsidRPr="00980878">
        <w:rPr>
          <w:lang w:eastAsia="ko-KR"/>
        </w:rPr>
        <w:fldChar w:fldCharType="end"/>
      </w:r>
    </w:p>
    <w:p w14:paraId="04456B9E" w14:textId="77777777" w:rsidR="007B6848" w:rsidRPr="008467B6" w:rsidRDefault="007B6848" w:rsidP="007B6848">
      <w:pPr>
        <w:pStyle w:val="ListParagraph"/>
        <w:numPr>
          <w:ilvl w:val="0"/>
          <w:numId w:val="5"/>
        </w:numPr>
        <w:rPr>
          <w:lang w:eastAsia="ko-KR"/>
        </w:rPr>
      </w:pPr>
      <w:r w:rsidRPr="008467B6">
        <w:rPr>
          <w:lang w:eastAsia="ko-KR"/>
        </w:rPr>
        <w:t xml:space="preserve">a conversion component from a </w:t>
      </w:r>
      <w:r w:rsidRPr="008467B6">
        <w:t xml:space="preserve">linear </w:t>
      </w:r>
      <w:r w:rsidRPr="008467B6">
        <w:rPr>
          <w:lang w:eastAsia="ko-KR"/>
        </w:rPr>
        <w:t>LMS data representation to a non-</w:t>
      </w:r>
      <w:r w:rsidRPr="008467B6">
        <w:t xml:space="preserve">linear </w:t>
      </w:r>
      <w:r w:rsidRPr="008467B6">
        <w:rPr>
          <w:lang w:eastAsia="ko-KR"/>
        </w:rPr>
        <w:t xml:space="preserve">data representation using the PQ transfer function, described in sub-clause </w:t>
      </w:r>
      <w:r w:rsidRPr="00980878">
        <w:rPr>
          <w:lang w:eastAsia="ko-KR"/>
        </w:rPr>
        <w:fldChar w:fldCharType="begin"/>
      </w:r>
      <w:r w:rsidRPr="008467B6">
        <w:rPr>
          <w:lang w:eastAsia="ko-KR"/>
        </w:rPr>
        <w:instrText xml:space="preserve"> REF _Ref466498019 \r \h </w:instrText>
      </w:r>
      <w:r w:rsidRPr="00980878">
        <w:rPr>
          <w:lang w:eastAsia="ko-KR"/>
        </w:rPr>
      </w:r>
      <w:r w:rsidRPr="00980878">
        <w:rPr>
          <w:lang w:eastAsia="ko-KR"/>
        </w:rPr>
        <w:fldChar w:fldCharType="separate"/>
      </w:r>
      <w:r>
        <w:rPr>
          <w:lang w:eastAsia="ko-KR"/>
        </w:rPr>
        <w:t>6.3.1.2</w:t>
      </w:r>
      <w:r w:rsidRPr="00980878">
        <w:rPr>
          <w:lang w:eastAsia="ko-KR"/>
        </w:rPr>
        <w:fldChar w:fldCharType="end"/>
      </w:r>
      <w:r w:rsidRPr="008467B6">
        <w:rPr>
          <w:lang w:eastAsia="ko-KR"/>
        </w:rPr>
        <w:t>,</w:t>
      </w:r>
    </w:p>
    <w:p w14:paraId="763E415F" w14:textId="77777777" w:rsidR="007B6848" w:rsidRPr="008467B6" w:rsidRDefault="007B6848" w:rsidP="007B6848">
      <w:pPr>
        <w:pStyle w:val="ListParagraph"/>
        <w:numPr>
          <w:ilvl w:val="0"/>
          <w:numId w:val="5"/>
        </w:numPr>
        <w:rPr>
          <w:lang w:eastAsia="ko-KR"/>
        </w:rPr>
      </w:pPr>
      <w:r w:rsidRPr="008467B6">
        <w:rPr>
          <w:lang w:eastAsia="ko-KR"/>
        </w:rPr>
        <w:t xml:space="preserve">a colour format conversion component that converts data to the </w:t>
      </w:r>
      <w:r w:rsidRPr="00980878">
        <w:t>IC</w:t>
      </w:r>
      <w:r w:rsidRPr="00980878">
        <w:rPr>
          <w:vertAlign w:val="subscript"/>
        </w:rPr>
        <w:t>T</w:t>
      </w:r>
      <w:r w:rsidRPr="00980878">
        <w:t>C</w:t>
      </w:r>
      <w:r w:rsidRPr="00980878">
        <w:rPr>
          <w:vertAlign w:val="subscript"/>
        </w:rPr>
        <w:t>P</w:t>
      </w:r>
      <w:r w:rsidRPr="008467B6">
        <w:rPr>
          <w:lang w:eastAsia="ko-KR"/>
        </w:rPr>
        <w:t xml:space="preserve"> representation, described in sub-clause </w:t>
      </w:r>
      <w:r w:rsidRPr="00980878">
        <w:rPr>
          <w:lang w:eastAsia="ko-KR"/>
        </w:rPr>
        <w:fldChar w:fldCharType="begin"/>
      </w:r>
      <w:r w:rsidRPr="008467B6">
        <w:rPr>
          <w:lang w:eastAsia="ko-KR"/>
        </w:rPr>
        <w:instrText xml:space="preserve"> REF _Ref466894558 \r \h </w:instrText>
      </w:r>
      <w:r w:rsidRPr="00980878">
        <w:rPr>
          <w:lang w:eastAsia="ko-KR"/>
        </w:rPr>
      </w:r>
      <w:r w:rsidRPr="00980878">
        <w:rPr>
          <w:lang w:eastAsia="ko-KR"/>
        </w:rPr>
        <w:fldChar w:fldCharType="separate"/>
      </w:r>
      <w:r>
        <w:rPr>
          <w:lang w:eastAsia="ko-KR"/>
        </w:rPr>
        <w:t>6.3.1.3</w:t>
      </w:r>
      <w:r w:rsidRPr="00980878">
        <w:rPr>
          <w:lang w:eastAsia="ko-KR"/>
        </w:rPr>
        <w:fldChar w:fldCharType="end"/>
      </w:r>
      <w:r w:rsidRPr="008467B6">
        <w:rPr>
          <w:lang w:eastAsia="ko-KR"/>
        </w:rPr>
        <w:t>,</w:t>
      </w:r>
    </w:p>
    <w:p w14:paraId="4D5EC376" w14:textId="77777777" w:rsidR="007B6848" w:rsidRPr="008467B6" w:rsidRDefault="007B6848" w:rsidP="007B6848">
      <w:pPr>
        <w:pStyle w:val="ListParagraph"/>
        <w:numPr>
          <w:ilvl w:val="0"/>
          <w:numId w:val="5"/>
        </w:numPr>
        <w:rPr>
          <w:lang w:eastAsia="ko-KR"/>
        </w:rPr>
      </w:pPr>
      <w:r w:rsidRPr="008467B6">
        <w:rPr>
          <w:lang w:eastAsia="ko-KR"/>
        </w:rPr>
        <w:t xml:space="preserve">a conversion component that converts a floating-point to a fixed-point representation (e.g. 10 bits), </w:t>
      </w:r>
      <w:r w:rsidRPr="008467B6">
        <w:t>follow</w:t>
      </w:r>
      <w:r>
        <w:t>ing</w:t>
      </w:r>
      <w:r w:rsidRPr="008467B6">
        <w:t xml:space="preserve"> the same process </w:t>
      </w:r>
      <w:r w:rsidRPr="008467B6">
        <w:rPr>
          <w:lang w:eastAsia="ko-KR"/>
        </w:rPr>
        <w:t xml:space="preserve">described in sub-clause </w:t>
      </w:r>
      <w:r>
        <w:rPr>
          <w:lang w:eastAsia="ko-KR"/>
        </w:rPr>
        <w:t xml:space="preserve">6.1.4 in </w:t>
      </w:r>
      <w:r w:rsidRPr="00980878">
        <w:fldChar w:fldCharType="begin"/>
      </w:r>
      <w:r w:rsidRPr="008467B6">
        <w:instrText xml:space="preserve"> REF _Ref448495076 \r \h  \* MERGEFORMAT </w:instrText>
      </w:r>
      <w:r w:rsidRPr="00980878">
        <w:fldChar w:fldCharType="separate"/>
      </w:r>
      <w:r>
        <w:t>[1]</w:t>
      </w:r>
      <w:r w:rsidRPr="00980878">
        <w:fldChar w:fldCharType="end"/>
      </w:r>
      <w:r>
        <w:rPr>
          <w:lang w:eastAsia="ko-KR"/>
        </w:rPr>
        <w:t>,</w:t>
      </w:r>
      <w:r w:rsidRPr="008467B6">
        <w:rPr>
          <w:lang w:eastAsia="ko-KR"/>
        </w:rPr>
        <w:t xml:space="preserve"> and </w:t>
      </w:r>
    </w:p>
    <w:p w14:paraId="477D59B6" w14:textId="77777777" w:rsidR="007B6848" w:rsidRPr="008467B6" w:rsidRDefault="007B6848" w:rsidP="007B6848">
      <w:pPr>
        <w:pStyle w:val="ListParagraph"/>
        <w:numPr>
          <w:ilvl w:val="0"/>
          <w:numId w:val="5"/>
        </w:numPr>
        <w:rPr>
          <w:lang w:eastAsia="ko-KR"/>
        </w:rPr>
      </w:pPr>
      <w:r w:rsidRPr="008467B6">
        <w:rPr>
          <w:lang w:eastAsia="ko-KR"/>
        </w:rPr>
        <w:t xml:space="preserve">a chroma down-conversion component that converts data from 4:4:4 to 4:2:0, </w:t>
      </w:r>
      <w:r w:rsidRPr="008467B6">
        <w:t>follow</w:t>
      </w:r>
      <w:r>
        <w:t>ing</w:t>
      </w:r>
      <w:r w:rsidRPr="008467B6">
        <w:t xml:space="preserve"> the same process described in </w:t>
      </w:r>
      <w:r>
        <w:t>sub-</w:t>
      </w:r>
      <w:r w:rsidRPr="008467B6">
        <w:t xml:space="preserve">clause </w:t>
      </w:r>
      <w:r>
        <w:t>6.1.3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t xml:space="preserve"> and further clarified in sub-clause </w:t>
      </w:r>
      <w:r>
        <w:fldChar w:fldCharType="begin"/>
      </w:r>
      <w:r>
        <w:instrText xml:space="preserve"> REF _Ref466894597 \r \h </w:instrText>
      </w:r>
      <w:r>
        <w:fldChar w:fldCharType="separate"/>
      </w:r>
      <w:r>
        <w:t>6.3.1.4</w:t>
      </w:r>
      <w:r>
        <w:fldChar w:fldCharType="end"/>
      </w:r>
      <w:r w:rsidRPr="008467B6">
        <w:rPr>
          <w:lang w:eastAsia="ko-KR"/>
        </w:rPr>
        <w:t>.</w:t>
      </w:r>
    </w:p>
    <w:p w14:paraId="2EE77EC6" w14:textId="77777777" w:rsidR="007B6848" w:rsidRPr="008467B6" w:rsidRDefault="007B6848" w:rsidP="007B6848">
      <w:pPr>
        <w:pStyle w:val="Caption"/>
        <w:rPr>
          <w:lang w:val="en-US"/>
        </w:rPr>
      </w:pPr>
      <w:r w:rsidRPr="00980878">
        <w:rPr>
          <w:lang w:val="en-US"/>
        </w:rPr>
        <w:object w:dxaOrig="8595" w:dyaOrig="1180" w14:anchorId="67E6B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45pt;height:59.9pt" o:ole="">
            <v:imagedata r:id="rId17" o:title=""/>
          </v:shape>
          <o:OLEObject Type="Embed" ProgID="Visio.Drawing.11" ShapeID="_x0000_i1025" DrawAspect="Content" ObjectID="_1541247482" r:id="rId18"/>
        </w:object>
      </w:r>
    </w:p>
    <w:p w14:paraId="01F73BBD" w14:textId="77777777" w:rsidR="007B6848" w:rsidRPr="008467B6" w:rsidRDefault="007B6848" w:rsidP="007B6848">
      <w:pPr>
        <w:pStyle w:val="Caption"/>
        <w:rPr>
          <w:szCs w:val="20"/>
          <w:lang w:val="en-US"/>
        </w:rPr>
      </w:pPr>
      <w:bookmarkStart w:id="117" w:name="_Ref464737717"/>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6</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3</w:t>
      </w:r>
      <w:r>
        <w:rPr>
          <w:lang w:val="en-US"/>
        </w:rPr>
        <w:fldChar w:fldCharType="end"/>
      </w:r>
      <w:r w:rsidRPr="008467B6">
        <w:rPr>
          <w:lang w:val="en-US"/>
        </w:rPr>
        <w:t xml:space="preserve"> </w:t>
      </w:r>
      <w:bookmarkEnd w:id="117"/>
      <w:r w:rsidRPr="008467B6">
        <w:rPr>
          <w:lang w:val="en-US"/>
        </w:rPr>
        <w:t xml:space="preserve">– </w:t>
      </w:r>
      <w:r w:rsidRPr="00980878">
        <w:rPr>
          <w:lang w:val="en-US"/>
        </w:rPr>
        <w:t>Conventional</w:t>
      </w:r>
      <w:r w:rsidRPr="00980878">
        <w:rPr>
          <w:sz w:val="18"/>
          <w:szCs w:val="18"/>
          <w:lang w:val="en-US"/>
        </w:rPr>
        <w:t xml:space="preserve"> PQ IC</w:t>
      </w:r>
      <w:r w:rsidRPr="00980878">
        <w:rPr>
          <w:sz w:val="18"/>
          <w:szCs w:val="18"/>
          <w:vertAlign w:val="subscript"/>
          <w:lang w:val="en-US"/>
        </w:rPr>
        <w:t>T</w:t>
      </w:r>
      <w:r w:rsidRPr="00980878">
        <w:rPr>
          <w:sz w:val="18"/>
          <w:szCs w:val="18"/>
          <w:lang w:val="en-US"/>
        </w:rPr>
        <w:t>C</w:t>
      </w:r>
      <w:r w:rsidRPr="00980878">
        <w:rPr>
          <w:sz w:val="18"/>
          <w:szCs w:val="18"/>
          <w:vertAlign w:val="subscript"/>
          <w:lang w:val="en-US"/>
        </w:rPr>
        <w:t>P</w:t>
      </w:r>
      <w:r w:rsidRPr="00980878">
        <w:rPr>
          <w:lang w:val="en-US"/>
        </w:rPr>
        <w:t xml:space="preserve"> pre-encoding process system diagram.</w:t>
      </w:r>
    </w:p>
    <w:p w14:paraId="04BB71EB" w14:textId="77777777" w:rsidR="007B6848" w:rsidRPr="008467B6" w:rsidRDefault="007B6848" w:rsidP="007B6848">
      <w:pPr>
        <w:pStyle w:val="Heading4"/>
      </w:pPr>
      <w:bookmarkStart w:id="118" w:name="_Ref466894534"/>
      <w:r w:rsidRPr="008467B6">
        <w:t>Conversion from a linear RGB representation to a linear LMS representation</w:t>
      </w:r>
      <w:bookmarkEnd w:id="118"/>
    </w:p>
    <w:p w14:paraId="260DF6F4" w14:textId="77777777" w:rsidR="007B6848" w:rsidRPr="008467B6" w:rsidRDefault="007B6848" w:rsidP="007B6848">
      <w:r w:rsidRPr="008467B6">
        <w:t>Conversion from a linear RGB to a linear LMS representation is performed using a 3x3 matrix conversion process, where RGB color primaries are in accordance with Rec. ITU-R BT.2020 and Rec. ITU-R BT.2100.</w:t>
      </w:r>
    </w:p>
    <w:p w14:paraId="00C7AA0E"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left"/>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r>
          <w:rPr>
            <w:rFonts w:ascii="Cambria Math" w:hAnsi="Cambria Math"/>
          </w:rPr>
          <m:t>=</m:t>
        </m:r>
        <w:bookmarkStart w:id="119" w:name="OLE_LINK58"/>
        <w:bookmarkStart w:id="120" w:name="OLE_LINK70"/>
        <w:bookmarkStart w:id="121" w:name="OLE_LINK71"/>
        <m:f>
          <m:fPr>
            <m:ctrlPr>
              <w:rPr>
                <w:rFonts w:ascii="Cambria Math" w:hAnsi="Cambria Math"/>
                <w:i/>
              </w:rPr>
            </m:ctrlPr>
          </m:fPr>
          <m:num>
            <m:r>
              <w:rPr>
                <w:rFonts w:ascii="Cambria Math" w:hAnsi="Cambria Math"/>
              </w:rPr>
              <m:t>1</m:t>
            </m:r>
          </m:num>
          <m:den>
            <m:r>
              <w:rPr>
                <w:rFonts w:ascii="Cambria Math" w:hAnsi="Cambria Math"/>
              </w:rPr>
              <m:t>4096</m:t>
            </m:r>
          </m:den>
        </m:f>
        <w:bookmarkEnd w:id="119"/>
        <w:bookmarkEnd w:id="120"/>
        <w:bookmarkEnd w:id="121"/>
        <m:d>
          <m:dPr>
            <m:begChr m:val="["/>
            <m:endChr m:val="]"/>
            <m:ctrlPr>
              <w:rPr>
                <w:rFonts w:ascii="Cambria Math" w:hAnsi="Cambria Math"/>
                <w:i/>
              </w:rPr>
            </m:ctrlPr>
          </m:dPr>
          <m:e>
            <m:m>
              <m:mPr>
                <m:mcs>
                  <m:mc>
                    <m:mcPr>
                      <m:count m:val="3"/>
                      <m:mcJc m:val="left"/>
                    </m:mcPr>
                  </m:mc>
                </m:mcs>
                <m:ctrlPr>
                  <w:rPr>
                    <w:rFonts w:ascii="Cambria Math" w:hAnsi="Cambria Math"/>
                    <w:i/>
                  </w:rPr>
                </m:ctrlPr>
              </m:mPr>
              <m:mr>
                <m:e>
                  <m:r>
                    <w:rPr>
                      <w:rFonts w:ascii="Cambria Math" w:hAnsi="Cambria Math"/>
                    </w:rPr>
                    <m:t>1688</m:t>
                  </m:r>
                </m:e>
                <m:e>
                  <m:r>
                    <w:rPr>
                      <w:rFonts w:ascii="Cambria Math" w:hAnsi="Cambria Math"/>
                    </w:rPr>
                    <m:t>2146</m:t>
                  </m:r>
                </m:e>
                <m:e>
                  <m:r>
                    <w:rPr>
                      <w:rFonts w:ascii="Cambria Math" w:hAnsi="Cambria Math"/>
                    </w:rPr>
                    <m:t>262</m:t>
                  </m:r>
                </m:e>
              </m:mr>
              <m:mr>
                <m:e>
                  <m:r>
                    <w:rPr>
                      <w:rFonts w:ascii="Cambria Math" w:hAnsi="Cambria Math"/>
                    </w:rPr>
                    <m:t>683</m:t>
                  </m:r>
                </m:e>
                <m:e>
                  <m:r>
                    <w:rPr>
                      <w:rFonts w:ascii="Cambria Math" w:hAnsi="Cambria Math"/>
                    </w:rPr>
                    <m:t>2951</m:t>
                  </m:r>
                </m:e>
                <m:e>
                  <m:r>
                    <w:rPr>
                      <w:rFonts w:ascii="Cambria Math" w:hAnsi="Cambria Math"/>
                    </w:rPr>
                    <m:t>462</m:t>
                  </m:r>
                </m:e>
              </m:mr>
              <m:mr>
                <m:e>
                  <m:r>
                    <w:rPr>
                      <w:rFonts w:ascii="Cambria Math" w:hAnsi="Cambria Math"/>
                    </w:rPr>
                    <m:t>99</m:t>
                  </m:r>
                </m:e>
                <m:e>
                  <m:r>
                    <w:rPr>
                      <w:rFonts w:ascii="Cambria Math" w:hAnsi="Cambria Math"/>
                    </w:rPr>
                    <m:t>309</m:t>
                  </m:r>
                </m:e>
                <m:e>
                  <m:r>
                    <w:rPr>
                      <w:rFonts w:ascii="Cambria Math" w:hAnsi="Cambria Math"/>
                    </w:rPr>
                    <m:t>3688</m:t>
                  </m:r>
                </m:e>
              </m:mr>
            </m:m>
          </m:e>
        </m:d>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rPr>
                    <m:t>R</m:t>
                  </m:r>
                </m:e>
              </m:mr>
              <m:mr>
                <m:e>
                  <m:r>
                    <m:rPr>
                      <m:sty m:val="p"/>
                    </m:rPr>
                    <w:rPr>
                      <w:rFonts w:ascii="Cambria Math" w:hAnsi="Cambria Math"/>
                    </w:rPr>
                    <m:t>G</m:t>
                  </m:r>
                </m:e>
              </m:mr>
              <m:mr>
                <m:e>
                  <m:r>
                    <m:rPr>
                      <m:sty m:val="p"/>
                    </m:rPr>
                    <w:rPr>
                      <w:rFonts w:ascii="Cambria Math" w:hAnsi="Cambria Math"/>
                    </w:rPr>
                    <m:t>B</m:t>
                  </m:r>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16</w:t>
      </w:r>
      <w:r>
        <w:rPr>
          <w:noProof/>
        </w:rPr>
        <w:fldChar w:fldCharType="end"/>
      </w:r>
      <w:r w:rsidRPr="008467B6">
        <w:t>)</w:t>
      </w:r>
    </w:p>
    <w:p w14:paraId="06D380E4" w14:textId="77777777" w:rsidR="007B6848" w:rsidRPr="008467B6" w:rsidRDefault="007B6848" w:rsidP="007B6848">
      <w:pPr>
        <w:pStyle w:val="Heading4"/>
      </w:pPr>
      <w:bookmarkStart w:id="122" w:name="_Ref466498019"/>
      <w:bookmarkStart w:id="123" w:name="_Ref464755750"/>
      <w:r w:rsidRPr="008467B6">
        <w:t>Conversion from a linear to a non-linear representation: LMS to L'M'S'</w:t>
      </w:r>
      <w:bookmarkEnd w:id="122"/>
      <w:bookmarkEnd w:id="123"/>
    </w:p>
    <w:p w14:paraId="7B046396"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t>The inverse PQ EOTF (equation (6.1)</w:t>
      </w:r>
      <w:r>
        <w:rPr>
          <w:noProof/>
        </w:rPr>
        <w:t>)</w:t>
      </w:r>
      <w:r>
        <w:t xml:space="preserve"> </w:t>
      </w:r>
      <w:r w:rsidRPr="008467B6">
        <w:t>is applied to all L, M, and S linear light samples, where each component is a number between 0.0 (representing no light) and 1.0 (representing 10 000 cd/m</w:t>
      </w:r>
      <w:r w:rsidRPr="008467B6">
        <w:rPr>
          <w:vertAlign w:val="superscript"/>
        </w:rPr>
        <w:t>2</w:t>
      </w:r>
      <w:r w:rsidRPr="008467B6">
        <w:t>). This results in their non-linear light counterparts L</w:t>
      </w:r>
      <w:r w:rsidRPr="008467B6">
        <w:sym w:font="Symbol" w:char="F0A2"/>
      </w:r>
      <w:r w:rsidRPr="008467B6">
        <w:t>, M</w:t>
      </w:r>
      <w:r w:rsidRPr="008467B6">
        <w:sym w:font="Symbol" w:char="F0A2"/>
      </w:r>
      <w:r w:rsidRPr="008467B6">
        <w:t>, and S</w:t>
      </w:r>
      <w:r w:rsidRPr="008467B6">
        <w:sym w:font="Symbol" w:char="F0A2"/>
      </w:r>
      <w:r w:rsidRPr="008467B6">
        <w:t xml:space="preserve"> as follows.</w:t>
      </w:r>
    </w:p>
    <w:p w14:paraId="726D5A64"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rsidRPr="008467B6">
        <w:tab/>
        <w:t>L</w:t>
      </w:r>
      <w:r w:rsidRPr="008467B6">
        <w:sym w:font="Symbol" w:char="F0A2"/>
      </w:r>
      <w:r w:rsidRPr="008467B6">
        <w:t xml:space="preserve"> = i</w:t>
      </w:r>
      <w:r>
        <w:t>EO</w:t>
      </w:r>
      <w:r w:rsidRPr="008467B6">
        <w:t>TF</w:t>
      </w:r>
      <w:r w:rsidRPr="007F30F0">
        <w:rPr>
          <w:vertAlign w:val="subscript"/>
        </w:rPr>
        <w:t>PQ</w:t>
      </w:r>
      <w:r w:rsidRPr="008467B6">
        <w:t>( L )</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17</w:t>
      </w:r>
      <w:r>
        <w:rPr>
          <w:noProof/>
        </w:rPr>
        <w:fldChar w:fldCharType="end"/>
      </w:r>
      <w:r w:rsidRPr="008467B6">
        <w:t>)</w:t>
      </w:r>
    </w:p>
    <w:p w14:paraId="6831938E" w14:textId="77777777" w:rsidR="007B6848" w:rsidRPr="008467B6" w:rsidRDefault="007B6848" w:rsidP="007B6848">
      <w:r w:rsidRPr="008467B6">
        <w:tab/>
        <w:t>M</w:t>
      </w:r>
      <w:r w:rsidRPr="008467B6">
        <w:sym w:font="Symbol" w:char="F0A2"/>
      </w:r>
      <w:r w:rsidRPr="008467B6">
        <w:t xml:space="preserve"> = i</w:t>
      </w:r>
      <w:r>
        <w:t>EO</w:t>
      </w:r>
      <w:r w:rsidRPr="008467B6">
        <w:t>TF</w:t>
      </w:r>
      <w:r w:rsidRPr="007F30F0">
        <w:rPr>
          <w:vertAlign w:val="subscript"/>
        </w:rPr>
        <w:t>PQ</w:t>
      </w:r>
      <w:r w:rsidRPr="008467B6">
        <w:t>( M )</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18</w:t>
      </w:r>
      <w:r>
        <w:rPr>
          <w:noProof/>
        </w:rPr>
        <w:fldChar w:fldCharType="end"/>
      </w:r>
      <w:r w:rsidRPr="008467B6">
        <w:t>)</w:t>
      </w:r>
    </w:p>
    <w:p w14:paraId="50F697B6" w14:textId="77777777" w:rsidR="007B6848" w:rsidRPr="008467B6" w:rsidRDefault="007B6848" w:rsidP="007B6848">
      <w:r w:rsidRPr="008467B6">
        <w:tab/>
        <w:t>S</w:t>
      </w:r>
      <w:r w:rsidRPr="008467B6">
        <w:sym w:font="Symbol" w:char="F0A2"/>
      </w:r>
      <w:r w:rsidRPr="008467B6">
        <w:t xml:space="preserve"> = i</w:t>
      </w:r>
      <w:r>
        <w:t>EO</w:t>
      </w:r>
      <w:r w:rsidRPr="008467B6">
        <w:t>TF</w:t>
      </w:r>
      <w:r w:rsidRPr="007F30F0">
        <w:rPr>
          <w:vertAlign w:val="subscript"/>
        </w:rPr>
        <w:t>PQ</w:t>
      </w:r>
      <w:r w:rsidRPr="008467B6">
        <w:t>( S )</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19</w:t>
      </w:r>
      <w:r>
        <w:rPr>
          <w:noProof/>
        </w:rPr>
        <w:fldChar w:fldCharType="end"/>
      </w:r>
      <w:r w:rsidRPr="008467B6">
        <w:t>)</w:t>
      </w:r>
    </w:p>
    <w:p w14:paraId="1F26F4E4" w14:textId="77777777" w:rsidR="007B6848" w:rsidRPr="008467B6" w:rsidRDefault="007B6848" w:rsidP="007B6848">
      <w:pPr>
        <w:pStyle w:val="Heading4"/>
      </w:pPr>
      <w:bookmarkStart w:id="124" w:name="_Ref466894558"/>
      <w:r w:rsidRPr="008467B6">
        <w:t>Colour representation conversion: L</w:t>
      </w:r>
      <w:r w:rsidRPr="008467B6">
        <w:sym w:font="Symbol" w:char="F0A2"/>
      </w:r>
      <w:r w:rsidRPr="008467B6">
        <w:t>M</w:t>
      </w:r>
      <w:r w:rsidRPr="008467B6">
        <w:sym w:font="Symbol" w:char="F0A2"/>
      </w:r>
      <w:r w:rsidRPr="008467B6">
        <w:t>S</w:t>
      </w:r>
      <w:r w:rsidRPr="008467B6">
        <w:sym w:font="Symbol" w:char="F0A2"/>
      </w:r>
      <w:r w:rsidRPr="008467B6">
        <w:t xml:space="preserve"> to </w:t>
      </w:r>
      <w:r w:rsidRPr="00980878">
        <w:t>IC</w:t>
      </w:r>
      <w:r w:rsidRPr="00980878">
        <w:rPr>
          <w:vertAlign w:val="subscript"/>
        </w:rPr>
        <w:t>T</w:t>
      </w:r>
      <w:r w:rsidRPr="00980878">
        <w:t>C</w:t>
      </w:r>
      <w:r w:rsidRPr="00980878">
        <w:rPr>
          <w:vertAlign w:val="subscript"/>
        </w:rPr>
        <w:t>P</w:t>
      </w:r>
      <w:bookmarkEnd w:id="124"/>
    </w:p>
    <w:p w14:paraId="348D8527" w14:textId="77777777" w:rsidR="007B6848" w:rsidRPr="008467B6" w:rsidRDefault="007B6848" w:rsidP="007B6848">
      <w:r w:rsidRPr="008467B6">
        <w:t>Conversion from L</w:t>
      </w:r>
      <w:r w:rsidRPr="008467B6">
        <w:sym w:font="Symbol" w:char="F0A2"/>
      </w:r>
      <w:r w:rsidRPr="008467B6">
        <w:t>M</w:t>
      </w:r>
      <w:r w:rsidRPr="008467B6">
        <w:sym w:font="Symbol" w:char="F0A2"/>
      </w:r>
      <w:r w:rsidRPr="008467B6">
        <w:t>S</w:t>
      </w:r>
      <w:r w:rsidRPr="008467B6">
        <w:sym w:font="Symbol" w:char="F0A2"/>
      </w:r>
      <w:r w:rsidRPr="008467B6">
        <w:t xml:space="preserve"> to </w:t>
      </w:r>
      <w:r w:rsidRPr="00980878">
        <w:t>IC</w:t>
      </w:r>
      <w:r w:rsidRPr="00980878">
        <w:rPr>
          <w:vertAlign w:val="subscript"/>
        </w:rPr>
        <w:t>T</w:t>
      </w:r>
      <w:r w:rsidRPr="00980878">
        <w:t>C</w:t>
      </w:r>
      <w:r w:rsidRPr="00980878">
        <w:rPr>
          <w:vertAlign w:val="subscript"/>
        </w:rPr>
        <w:t>P</w:t>
      </w:r>
      <w:r w:rsidRPr="008467B6">
        <w:t xml:space="preserve"> representation is performed using a 3x3 matrix conversion process. </w:t>
      </w:r>
    </w:p>
    <w:p w14:paraId="3439F718" w14:textId="77777777" w:rsidR="007B6848" w:rsidRPr="008467B6" w:rsidRDefault="007B6848" w:rsidP="007B6848">
      <w:pPr>
        <w:spacing w:beforeLines="50" w:before="120" w:afterLines="50" w:after="120"/>
      </w:pPr>
      <w:r w:rsidRPr="008467B6">
        <w:tab/>
      </w:r>
      <m:oMath>
        <m:d>
          <m:dPr>
            <m:begChr m:val="["/>
            <m:endChr m:val="]"/>
            <m:ctrlPr>
              <w:rPr>
                <w:rFonts w:ascii="Cambria Math" w:hAnsi="Cambria Math"/>
                <w:i/>
              </w:rPr>
            </m:ctrlPr>
          </m:dPr>
          <m:e>
            <m:m>
              <m:mPr>
                <m:mcs>
                  <m:mc>
                    <m:mcPr>
                      <m:count m:val="1"/>
                      <m:mcJc m:val="left"/>
                    </m:mcPr>
                  </m:mc>
                </m:mcs>
                <m:ctrlPr>
                  <w:rPr>
                    <w:rFonts w:ascii="Cambria Math" w:hAnsi="Cambria Math"/>
                  </w:rPr>
                </m:ctrlPr>
              </m:mPr>
              <m:mr>
                <m:e>
                  <m:r>
                    <m:rPr>
                      <m:sty m:val="p"/>
                    </m:rPr>
                    <w:rPr>
                      <w:rFonts w:ascii="Cambria Math" w:hAnsi="Cambria Math"/>
                    </w:rPr>
                    <m:t>I</m:t>
                  </m:r>
                </m:e>
              </m:mr>
              <m:mr>
                <m:e>
                  <w:bookmarkStart w:id="125" w:name="OLE_LINK32"/>
                  <w:bookmarkStart w:id="126" w:name="OLE_LINK56"/>
                  <w:bookmarkStart w:id="127" w:name="OLE_LINK57"/>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w:bookmarkEnd w:id="125"/>
                  <w:bookmarkEnd w:id="126"/>
                  <w:bookmarkEnd w:id="127"/>
                </m:e>
              </m:mr>
              <m:mr>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P</m:t>
                      </m:r>
                    </m:sub>
                  </m:sSub>
                </m:e>
              </m:mr>
            </m:m>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4096</m:t>
            </m:r>
          </m:den>
        </m:f>
        <m:d>
          <m:dPr>
            <m:begChr m:val="["/>
            <m:endChr m:val="]"/>
            <m:ctrlPr>
              <w:rPr>
                <w:rFonts w:ascii="Cambria Math" w:hAnsi="Cambria Math"/>
                <w:i/>
              </w:rPr>
            </m:ctrlPr>
          </m:dPr>
          <m:e>
            <m:m>
              <m:mPr>
                <m:mcs>
                  <m:mc>
                    <m:mcPr>
                      <m:count m:val="3"/>
                      <m:mcJc m:val="left"/>
                    </m:mcPr>
                  </m:mc>
                </m:mcs>
                <m:ctrlPr>
                  <w:rPr>
                    <w:rFonts w:ascii="Cambria Math" w:hAnsi="Cambria Math"/>
                    <w:i/>
                  </w:rPr>
                </m:ctrlPr>
              </m:mPr>
              <m:mr>
                <m:e>
                  <m:r>
                    <w:rPr>
                      <w:rFonts w:ascii="Cambria Math" w:hAnsi="Cambria Math"/>
                    </w:rPr>
                    <m:t>2048</m:t>
                  </m:r>
                </m:e>
                <m:e>
                  <m:r>
                    <w:rPr>
                      <w:rFonts w:ascii="Cambria Math" w:hAnsi="Cambria Math"/>
                    </w:rPr>
                    <m:t>2048</m:t>
                  </m:r>
                </m:e>
                <m:e>
                  <m:r>
                    <w:rPr>
                      <w:rFonts w:ascii="Cambria Math" w:hAnsi="Cambria Math"/>
                    </w:rPr>
                    <m:t>0</m:t>
                  </m:r>
                </m:e>
              </m:mr>
              <m:mr>
                <m:e>
                  <m:r>
                    <w:rPr>
                      <w:rFonts w:ascii="Cambria Math" w:hAnsi="Cambria Math"/>
                    </w:rPr>
                    <m:t>6610</m:t>
                  </m:r>
                </m:e>
                <m:e>
                  <m:r>
                    <w:rPr>
                      <w:rFonts w:ascii="Cambria Math" w:hAnsi="Cambria Math"/>
                    </w:rPr>
                    <m:t>-13613</m:t>
                  </m:r>
                </m:e>
                <m:e>
                  <m:r>
                    <w:rPr>
                      <w:rFonts w:ascii="Cambria Math" w:hAnsi="Cambria Math"/>
                    </w:rPr>
                    <m:t>7003</m:t>
                  </m:r>
                </m:e>
              </m:mr>
              <m:mr>
                <m:e>
                  <m:r>
                    <w:rPr>
                      <w:rFonts w:ascii="Cambria Math" w:hAnsi="Cambria Math"/>
                    </w:rPr>
                    <m:t>17933</m:t>
                  </m:r>
                </m:e>
                <m:e>
                  <m:r>
                    <w:rPr>
                      <w:rFonts w:ascii="Cambria Math" w:hAnsi="Cambria Math"/>
                    </w:rPr>
                    <m:t>-17390</m:t>
                  </m:r>
                </m:e>
                <m:e>
                  <m:r>
                    <w:rPr>
                      <w:rFonts w:ascii="Cambria Math" w:hAnsi="Cambria Math"/>
                    </w:rPr>
                    <m:t>-543</m:t>
                  </m:r>
                </m:e>
              </m:mr>
            </m:m>
          </m:e>
        </m:d>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rPr>
                    <m:t>L</m:t>
                  </m:r>
                  <m:r>
                    <m:rPr>
                      <m:sty m:val="p"/>
                    </m:rPr>
                    <w:rPr>
                      <w:rFonts w:ascii="Cambria Math" w:hAnsi="Cambria Math" w:hint="eastAsia"/>
                    </w:rPr>
                    <m:t>'</m:t>
                  </m:r>
                </m:e>
              </m:mr>
              <m:mr>
                <m:e>
                  <m:r>
                    <m:rPr>
                      <m:sty m:val="p"/>
                    </m:rPr>
                    <w:rPr>
                      <w:rFonts w:ascii="Cambria Math" w:hAnsi="Cambria Math"/>
                    </w:rPr>
                    <m:t>M</m:t>
                  </m:r>
                  <m:r>
                    <m:rPr>
                      <m:sty m:val="p"/>
                    </m:rPr>
                    <w:rPr>
                      <w:rFonts w:ascii="Cambria Math" w:hAnsi="Cambria Math" w:hint="eastAsia"/>
                    </w:rPr>
                    <m:t>'</m:t>
                  </m:r>
                </m:e>
              </m:mr>
              <m:mr>
                <m:e>
                  <m:r>
                    <m:rPr>
                      <m:sty m:val="p"/>
                    </m:rPr>
                    <w:rPr>
                      <w:rFonts w:ascii="Cambria Math" w:hAnsi="Cambria Math"/>
                    </w:rPr>
                    <m:t>S</m:t>
                  </m:r>
                  <m:r>
                    <m:rPr>
                      <m:sty m:val="p"/>
                    </m:rPr>
                    <w:rPr>
                      <w:rFonts w:ascii="Cambria Math" w:hAnsi="Cambria Math" w:hint="eastAsia"/>
                    </w:rPr>
                    <m:t>'</m:t>
                  </m:r>
                </m:e>
              </m:mr>
            </m:m>
          </m:e>
        </m:d>
      </m:oMath>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20</w:t>
      </w:r>
      <w:r>
        <w:rPr>
          <w:noProof/>
        </w:rPr>
        <w:fldChar w:fldCharType="end"/>
      </w:r>
      <w:r w:rsidRPr="008467B6">
        <w:t>)</w:t>
      </w:r>
    </w:p>
    <w:p w14:paraId="2EC929F6" w14:textId="77777777" w:rsidR="007B6848" w:rsidRPr="008467B6" w:rsidRDefault="007B6848" w:rsidP="007B6848">
      <w:pPr>
        <w:pStyle w:val="Heading4"/>
      </w:pPr>
      <w:bookmarkStart w:id="128" w:name="_Ref466894597"/>
      <w:r w:rsidRPr="008467B6">
        <w:t>Chroma down-conversion</w:t>
      </w:r>
      <w:bookmarkEnd w:id="128"/>
    </w:p>
    <w:p w14:paraId="765B9ED3" w14:textId="77777777" w:rsidR="007B6848" w:rsidRPr="008467B6" w:rsidRDefault="007B6848" w:rsidP="007B6848">
      <w:r w:rsidRPr="008467B6">
        <w:t xml:space="preserve">Converting the </w:t>
      </w:r>
      <w:r w:rsidRPr="00980878">
        <w:t>IC</w:t>
      </w:r>
      <w:r w:rsidRPr="00980878">
        <w:rPr>
          <w:vertAlign w:val="subscript"/>
        </w:rPr>
        <w:t>T</w:t>
      </w:r>
      <w:r w:rsidRPr="00980878">
        <w:t>C</w:t>
      </w:r>
      <w:r w:rsidRPr="00980878">
        <w:rPr>
          <w:vertAlign w:val="subscript"/>
        </w:rPr>
        <w:t>P</w:t>
      </w:r>
      <w:r w:rsidRPr="008467B6">
        <w:t xml:space="preserve"> video data from a 4:4:4 representation to a 4:2:0 representation follows the same process described in sub-clause </w:t>
      </w:r>
      <w:r>
        <w:t>6.1.3</w:t>
      </w:r>
      <w:r w:rsidRPr="008467B6">
        <w:t xml:space="preserve"> in </w:t>
      </w:r>
      <w:r w:rsidRPr="00275358">
        <w:fldChar w:fldCharType="begin"/>
      </w:r>
      <w:r w:rsidRPr="008467B6">
        <w:instrText xml:space="preserve"> REF _Ref448495076 \r \h  \* MERGEFORMAT </w:instrText>
      </w:r>
      <w:r w:rsidRPr="00275358">
        <w:fldChar w:fldCharType="separate"/>
      </w:r>
      <w:r>
        <w:t>[1]</w:t>
      </w:r>
      <w:r w:rsidRPr="00275358">
        <w:fldChar w:fldCharType="end"/>
      </w:r>
      <w:r w:rsidRPr="008467B6">
        <w:t>.</w:t>
      </w:r>
    </w:p>
    <w:p w14:paraId="33E90A67" w14:textId="77777777" w:rsidR="007B6848" w:rsidRPr="008467B6" w:rsidRDefault="007B6848" w:rsidP="007B6848">
      <w:r w:rsidRPr="008467B6">
        <w:t xml:space="preserve">It is noted that the closed loop luma adjustment method in sub-clause </w:t>
      </w:r>
      <w:r>
        <w:t>6.2</w:t>
      </w:r>
      <w:r w:rsidRPr="008467B6">
        <w:t xml:space="preserve"> in </w:t>
      </w:r>
      <w:r w:rsidRPr="00275358">
        <w:fldChar w:fldCharType="begin"/>
      </w:r>
      <w:r w:rsidRPr="008467B6">
        <w:instrText xml:space="preserve"> REF _Ref448495076 \r \h </w:instrText>
      </w:r>
      <w:r w:rsidRPr="00275358">
        <w:fldChar w:fldCharType="separate"/>
      </w:r>
      <w:r>
        <w:t>[1]</w:t>
      </w:r>
      <w:r w:rsidRPr="00275358">
        <w:fldChar w:fldCharType="end"/>
      </w:r>
      <w:r w:rsidRPr="008467B6">
        <w:t>, which aims at fixing NCL Y'CbCr chroma down-sampling artifacts, does not prove to be useful for IC</w:t>
      </w:r>
      <w:r w:rsidRPr="008467B6">
        <w:rPr>
          <w:vertAlign w:val="subscript"/>
        </w:rPr>
        <w:t>T</w:t>
      </w:r>
      <w:r w:rsidRPr="008467B6">
        <w:t>C</w:t>
      </w:r>
      <w:r w:rsidRPr="008467B6">
        <w:rPr>
          <w:vertAlign w:val="subscript"/>
        </w:rPr>
        <w:t xml:space="preserve">P </w:t>
      </w:r>
      <w:r w:rsidRPr="008467B6">
        <w:t>chroma down-conversion</w:t>
      </w:r>
      <w:r>
        <w:t xml:space="preserve"> </w:t>
      </w:r>
      <w:r>
        <w:fldChar w:fldCharType="begin"/>
      </w:r>
      <w:r>
        <w:instrText xml:space="preserve"> REF _Ref467061641 \r \h </w:instrText>
      </w:r>
      <w:r>
        <w:fldChar w:fldCharType="separate"/>
      </w:r>
      <w:r>
        <w:t>[24]</w:t>
      </w:r>
      <w:r>
        <w:fldChar w:fldCharType="end"/>
      </w:r>
      <w:r w:rsidRPr="008467B6">
        <w:t xml:space="preserve">. This can be explained by the constant luminance property of </w:t>
      </w:r>
      <w:r w:rsidRPr="00980878">
        <w:t>IC</w:t>
      </w:r>
      <w:r w:rsidRPr="00980878">
        <w:rPr>
          <w:vertAlign w:val="subscript"/>
        </w:rPr>
        <w:t>T</w:t>
      </w:r>
      <w:r w:rsidRPr="00980878">
        <w:t>C</w:t>
      </w:r>
      <w:r w:rsidRPr="00980878">
        <w:rPr>
          <w:vertAlign w:val="subscript"/>
        </w:rPr>
        <w:t>P</w:t>
      </w:r>
      <w:r w:rsidRPr="00980878">
        <w:t>. As shown</w:t>
      </w:r>
      <w:r w:rsidRPr="008467B6">
        <w:t xml:space="preserve"> in </w:t>
      </w:r>
      <w:r w:rsidRPr="00275358">
        <w:fldChar w:fldCharType="begin"/>
      </w:r>
      <w:r w:rsidRPr="008467B6">
        <w:instrText xml:space="preserve"> REF _Ref466496422 \h </w:instrText>
      </w:r>
      <w:r w:rsidRPr="00275358">
        <w:fldChar w:fldCharType="separate"/>
      </w:r>
      <w:r w:rsidRPr="008467B6">
        <w:rPr>
          <w:lang w:val="en-US"/>
        </w:rPr>
        <w:t>Figure </w:t>
      </w:r>
      <w:r>
        <w:rPr>
          <w:noProof/>
          <w:lang w:val="en-US"/>
        </w:rPr>
        <w:t>6</w:t>
      </w:r>
      <w:r>
        <w:rPr>
          <w:lang w:val="en-US"/>
        </w:rPr>
        <w:noBreakHyphen/>
      </w:r>
      <w:r>
        <w:rPr>
          <w:noProof/>
          <w:lang w:val="en-US"/>
        </w:rPr>
        <w:t>4</w:t>
      </w:r>
      <w:r w:rsidRPr="00275358">
        <w:fldChar w:fldCharType="end"/>
      </w:r>
      <w:r w:rsidRPr="008467B6">
        <w:t>, the achromatic axis of Y’ deviates substantially from luminance especially when color goes more saturated. On the other hand, the achromatic axis of IC</w:t>
      </w:r>
      <w:r w:rsidRPr="008467B6">
        <w:rPr>
          <w:vertAlign w:val="subscript"/>
        </w:rPr>
        <w:t>T</w:t>
      </w:r>
      <w:r w:rsidRPr="008467B6">
        <w:t>C</w:t>
      </w:r>
      <w:r w:rsidRPr="008467B6">
        <w:rPr>
          <w:vertAlign w:val="subscript"/>
        </w:rPr>
        <w:t>P</w:t>
      </w:r>
      <w:r w:rsidRPr="008467B6">
        <w:t xml:space="preserve"> (I) corresponds very closely with luminance. The constant luminance property of </w:t>
      </w:r>
      <w:r w:rsidRPr="00980878">
        <w:t>IC</w:t>
      </w:r>
      <w:r w:rsidRPr="00980878">
        <w:rPr>
          <w:vertAlign w:val="subscript"/>
        </w:rPr>
        <w:t>T</w:t>
      </w:r>
      <w:r w:rsidRPr="00980878">
        <w:t>C</w:t>
      </w:r>
      <w:r w:rsidRPr="00980878">
        <w:rPr>
          <w:vertAlign w:val="subscript"/>
        </w:rPr>
        <w:t>P</w:t>
      </w:r>
      <w:r w:rsidRPr="008467B6">
        <w:t xml:space="preserve"> can reduce chroma leakage errors that can be introduced when spatially sub-sampling the chroma components (such as the 4:2:0 widely used for compression) compared with NCL Y</w:t>
      </w:r>
      <w:r w:rsidRPr="008467B6">
        <w:sym w:font="Symbol" w:char="F0A2"/>
      </w:r>
      <w:r w:rsidRPr="008467B6">
        <w:t>CbCr</w:t>
      </w:r>
      <w:r w:rsidRPr="008467B6">
        <w:rPr>
          <w:i/>
        </w:rPr>
        <w:t xml:space="preserve">. </w:t>
      </w:r>
    </w:p>
    <w:p w14:paraId="0E40CDBD" w14:textId="77777777" w:rsidR="007B6848" w:rsidRPr="008467B6" w:rsidRDefault="007B6848" w:rsidP="007B6848">
      <w:pPr>
        <w:pStyle w:val="Figure"/>
        <w:rPr>
          <w:b/>
          <w:lang w:val="en-US"/>
        </w:rPr>
      </w:pPr>
      <w:r w:rsidRPr="00275358">
        <w:rPr>
          <w:noProof/>
          <w:lang w:val="en-US" w:eastAsia="en-US"/>
        </w:rPr>
        <w:lastRenderedPageBreak/>
        <w:drawing>
          <wp:inline distT="0" distB="0" distL="0" distR="0" wp14:anchorId="14549709" wp14:editId="0C32F995">
            <wp:extent cx="2786332" cy="2376839"/>
            <wp:effectExtent l="0" t="0" r="0" b="4445"/>
            <wp:docPr id="37" name="Picture 37" descr="isolumIT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solumITP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4560" cy="2375328"/>
                    </a:xfrm>
                    <a:prstGeom prst="rect">
                      <a:avLst/>
                    </a:prstGeom>
                    <a:noFill/>
                    <a:ln>
                      <a:noFill/>
                    </a:ln>
                  </pic:spPr>
                </pic:pic>
              </a:graphicData>
            </a:graphic>
          </wp:inline>
        </w:drawing>
      </w:r>
      <w:r w:rsidRPr="00980878">
        <w:rPr>
          <w:caps/>
          <w:noProof/>
          <w:lang w:val="en-US" w:eastAsia="en-US"/>
        </w:rPr>
        <w:drawing>
          <wp:inline distT="0" distB="0" distL="0" distR="0" wp14:anchorId="1A9D7D48" wp14:editId="26DBF6D2">
            <wp:extent cx="2763534" cy="2380891"/>
            <wp:effectExtent l="0" t="0" r="0" b="635"/>
            <wp:docPr id="39" name="Picture 39" descr="C:\Users\Jaclyn\AppData\Local\Microsoft\Windows\INetCache\Content.Word\isolumY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clyn\AppData\Local\Microsoft\Windows\INetCache\Content.Word\isolumYCC.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9580" cy="2386099"/>
                    </a:xfrm>
                    <a:prstGeom prst="rect">
                      <a:avLst/>
                    </a:prstGeom>
                    <a:noFill/>
                    <a:ln>
                      <a:noFill/>
                    </a:ln>
                  </pic:spPr>
                </pic:pic>
              </a:graphicData>
            </a:graphic>
          </wp:inline>
        </w:drawing>
      </w:r>
    </w:p>
    <w:p w14:paraId="6721879A" w14:textId="77777777" w:rsidR="007B6848" w:rsidRPr="008467B6" w:rsidRDefault="007B6848" w:rsidP="007B6848">
      <w:pPr>
        <w:pStyle w:val="Caption"/>
        <w:rPr>
          <w:szCs w:val="20"/>
          <w:lang w:val="en-US"/>
        </w:rPr>
      </w:pPr>
      <w:bookmarkStart w:id="129" w:name="_Ref466496422"/>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6</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4</w:t>
      </w:r>
      <w:r>
        <w:rPr>
          <w:lang w:val="en-US"/>
        </w:rPr>
        <w:fldChar w:fldCharType="end"/>
      </w:r>
      <w:bookmarkEnd w:id="129"/>
      <w:r w:rsidRPr="008467B6">
        <w:rPr>
          <w:lang w:val="en-US"/>
        </w:rPr>
        <w:t xml:space="preserve"> – </w:t>
      </w:r>
      <w:r w:rsidRPr="00980878">
        <w:rPr>
          <w:lang w:val="en-US"/>
        </w:rPr>
        <w:t>Luminance correlation with IC</w:t>
      </w:r>
      <w:r w:rsidRPr="00980878">
        <w:rPr>
          <w:vertAlign w:val="subscript"/>
          <w:lang w:val="en-US"/>
        </w:rPr>
        <w:t>T</w:t>
      </w:r>
      <w:r w:rsidRPr="00980878">
        <w:rPr>
          <w:lang w:val="en-US"/>
        </w:rPr>
        <w:t>C</w:t>
      </w:r>
      <w:r w:rsidRPr="00980878">
        <w:rPr>
          <w:vertAlign w:val="subscript"/>
          <w:lang w:val="en-US"/>
        </w:rPr>
        <w:t>P</w:t>
      </w:r>
      <w:r w:rsidRPr="00980878">
        <w:rPr>
          <w:lang w:val="en-US"/>
        </w:rPr>
        <w:t xml:space="preserve"> and Y</w:t>
      </w:r>
      <w:r w:rsidRPr="008467B6">
        <w:rPr>
          <w:lang w:val="en-US"/>
        </w:rPr>
        <w:sym w:font="Symbol" w:char="F0A2"/>
      </w:r>
      <w:r w:rsidRPr="00980878">
        <w:rPr>
          <w:lang w:val="en-US"/>
        </w:rPr>
        <w:t>CbCr colour representations.</w:t>
      </w:r>
    </w:p>
    <w:p w14:paraId="0C5C04C7" w14:textId="77777777" w:rsidR="007B6848" w:rsidRPr="008467B6" w:rsidRDefault="007B6848" w:rsidP="007B6848">
      <w:pPr>
        <w:pStyle w:val="Heading3"/>
      </w:pPr>
      <w:bookmarkStart w:id="130" w:name="_Toc466894748"/>
      <w:bookmarkStart w:id="131" w:name="_Toc466896176"/>
      <w:bookmarkStart w:id="132" w:name="_Toc466897559"/>
      <w:bookmarkStart w:id="133" w:name="_Toc466897803"/>
      <w:bookmarkStart w:id="134" w:name="_Toc467063007"/>
      <w:bookmarkStart w:id="135" w:name="_Toc466894749"/>
      <w:bookmarkStart w:id="136" w:name="_Toc466896177"/>
      <w:bookmarkStart w:id="137" w:name="_Toc466897560"/>
      <w:bookmarkStart w:id="138" w:name="_Toc466897804"/>
      <w:bookmarkStart w:id="139" w:name="_Toc467063008"/>
      <w:bookmarkStart w:id="140" w:name="_Ref464737494"/>
      <w:bookmarkStart w:id="141" w:name="_Toc467226102"/>
      <w:bookmarkEnd w:id="130"/>
      <w:bookmarkEnd w:id="131"/>
      <w:bookmarkEnd w:id="132"/>
      <w:bookmarkEnd w:id="133"/>
      <w:bookmarkEnd w:id="134"/>
      <w:bookmarkEnd w:id="135"/>
      <w:bookmarkEnd w:id="136"/>
      <w:bookmarkEnd w:id="137"/>
      <w:bookmarkEnd w:id="138"/>
      <w:bookmarkEnd w:id="139"/>
      <w:r w:rsidRPr="008467B6">
        <w:t>Encoding process</w:t>
      </w:r>
      <w:bookmarkEnd w:id="140"/>
      <w:bookmarkEnd w:id="141"/>
    </w:p>
    <w:p w14:paraId="412FF400" w14:textId="77777777" w:rsidR="007B6848" w:rsidRPr="008467B6" w:rsidRDefault="007B6848" w:rsidP="007B6848">
      <w:r w:rsidRPr="008467B6">
        <w:t xml:space="preserve">After pre-processing, the data is ready for compression. </w:t>
      </w:r>
      <w:r w:rsidRPr="00275358">
        <w:fldChar w:fldCharType="begin"/>
      </w:r>
      <w:r w:rsidRPr="008467B6">
        <w:instrText xml:space="preserve"> REF _Ref448495076 \r \h </w:instrText>
      </w:r>
      <w:r w:rsidRPr="00275358">
        <w:fldChar w:fldCharType="separate"/>
      </w:r>
      <w:r>
        <w:t>[1]</w:t>
      </w:r>
      <w:r w:rsidRPr="00275358">
        <w:fldChar w:fldCharType="end"/>
      </w:r>
      <w:r w:rsidRPr="008467B6">
        <w:t xml:space="preserve"> presents some guidance on how an encoder may be configured for HDR/WCG </w:t>
      </w:r>
      <w:r w:rsidRPr="00980878">
        <w:t>10-bits, narrow range, PQ, 4:2:0, NCL Y</w:t>
      </w:r>
      <w:r w:rsidRPr="008467B6">
        <w:sym w:font="Symbol" w:char="F0A2"/>
      </w:r>
      <w:r w:rsidRPr="00980878">
        <w:t>CbCr data.</w:t>
      </w:r>
      <w:r w:rsidRPr="008467B6">
        <w:t xml:space="preserve"> Two quantization methodologies, perceptual luma quantization, in sub-clause </w:t>
      </w:r>
      <w:r>
        <w:t>7.1</w:t>
      </w:r>
      <w:r w:rsidRPr="008467B6">
        <w:t xml:space="preserve">, and chroma QP offset in sub-clause </w:t>
      </w:r>
      <w:r>
        <w:t>7.2</w:t>
      </w:r>
      <w:r w:rsidRPr="008467B6">
        <w:t xml:space="preserve">, are given in details </w:t>
      </w:r>
      <w:r w:rsidRPr="00275358">
        <w:fldChar w:fldCharType="begin"/>
      </w:r>
      <w:r w:rsidRPr="008467B6">
        <w:instrText xml:space="preserve"> REF _Ref448495076 \r \h </w:instrText>
      </w:r>
      <w:r w:rsidRPr="00275358">
        <w:fldChar w:fldCharType="separate"/>
      </w:r>
      <w:r>
        <w:t>[1]</w:t>
      </w:r>
      <w:r w:rsidRPr="00275358">
        <w:fldChar w:fldCharType="end"/>
      </w:r>
      <w:r w:rsidRPr="008467B6">
        <w:t xml:space="preserve">. For the HDR/WCG </w:t>
      </w:r>
      <w:r w:rsidRPr="00980878">
        <w:t xml:space="preserve">10-bits, narrow range, PQ, 4:2:0, </w:t>
      </w:r>
      <w:r w:rsidRPr="008467B6">
        <w:t>IC</w:t>
      </w:r>
      <w:r w:rsidRPr="008467B6">
        <w:rPr>
          <w:vertAlign w:val="subscript"/>
        </w:rPr>
        <w:t>T</w:t>
      </w:r>
      <w:r w:rsidRPr="008467B6">
        <w:t>C</w:t>
      </w:r>
      <w:r w:rsidRPr="008467B6">
        <w:rPr>
          <w:vertAlign w:val="subscript"/>
        </w:rPr>
        <w:t>P</w:t>
      </w:r>
      <w:r w:rsidRPr="00980878">
        <w:t xml:space="preserve"> data coming out from pre-processing step, those two methodologies are still valid. Study shows that </w:t>
      </w:r>
      <w:r w:rsidRPr="008467B6">
        <w:t>IC</w:t>
      </w:r>
      <w:r w:rsidRPr="008467B6">
        <w:rPr>
          <w:vertAlign w:val="subscript"/>
        </w:rPr>
        <w:t>T</w:t>
      </w:r>
      <w:r w:rsidRPr="008467B6">
        <w:t>C</w:t>
      </w:r>
      <w:r w:rsidRPr="008467B6">
        <w:rPr>
          <w:vertAlign w:val="subscript"/>
        </w:rPr>
        <w:t>P</w:t>
      </w:r>
      <w:r w:rsidRPr="00980878">
        <w:t xml:space="preserve"> exhibits different characteristics than NCL Y</w:t>
      </w:r>
      <w:r w:rsidRPr="008467B6">
        <w:sym w:font="Symbol" w:char="F0A2"/>
      </w:r>
      <w:r w:rsidRPr="00980878">
        <w:t xml:space="preserve">CbCr data for current test data </w:t>
      </w:r>
      <w:r w:rsidRPr="00980878">
        <w:fldChar w:fldCharType="begin"/>
      </w:r>
      <w:r w:rsidRPr="00980878">
        <w:instrText xml:space="preserve"> REF _Ref465328414 \r \h </w:instrText>
      </w:r>
      <w:r w:rsidRPr="00980878">
        <w:fldChar w:fldCharType="separate"/>
      </w:r>
      <w:r>
        <w:t>[20]</w:t>
      </w:r>
      <w:r w:rsidRPr="00980878">
        <w:fldChar w:fldCharType="end"/>
      </w:r>
      <w:r w:rsidRPr="00980878">
        <w:t xml:space="preserve">, </w:t>
      </w:r>
      <w:r>
        <w:t xml:space="preserve">therefore </w:t>
      </w:r>
      <w:r w:rsidRPr="00980878">
        <w:t xml:space="preserve">the exact parameter settings for these two quantization methods might need to be reconfigured. One practice for </w:t>
      </w:r>
      <w:r w:rsidRPr="008467B6">
        <w:t>IC</w:t>
      </w:r>
      <w:r w:rsidRPr="008467B6">
        <w:rPr>
          <w:vertAlign w:val="subscript"/>
        </w:rPr>
        <w:t>T</w:t>
      </w:r>
      <w:r w:rsidRPr="008467B6">
        <w:t>C</w:t>
      </w:r>
      <w:r w:rsidRPr="008467B6">
        <w:rPr>
          <w:vertAlign w:val="subscript"/>
        </w:rPr>
        <w:t xml:space="preserve">P </w:t>
      </w:r>
      <w:r w:rsidRPr="008467B6">
        <w:t xml:space="preserve">encoder is to configure the encoder settings to follow the bitrate allocation behavior of NCL Y'CbCr </w:t>
      </w:r>
      <w:r w:rsidRPr="00980878">
        <w:fldChar w:fldCharType="begin"/>
      </w:r>
      <w:r w:rsidRPr="00980878">
        <w:instrText xml:space="preserve"> REF _Ref465328414 \r \h </w:instrText>
      </w:r>
      <w:r w:rsidRPr="00980878">
        <w:fldChar w:fldCharType="separate"/>
      </w:r>
      <w:r>
        <w:t>[20]</w:t>
      </w:r>
      <w:r w:rsidRPr="00980878">
        <w:fldChar w:fldCharType="end"/>
      </w:r>
      <w:r w:rsidRPr="00980878">
        <w:t xml:space="preserve">. An example of encoder setting is </w:t>
      </w:r>
      <w:r>
        <w:t>described</w:t>
      </w:r>
      <w:r w:rsidRPr="00980878">
        <w:t xml:space="preserve"> in sub-clause </w:t>
      </w:r>
      <w:r w:rsidRPr="00980878">
        <w:fldChar w:fldCharType="begin"/>
      </w:r>
      <w:r w:rsidRPr="00980878">
        <w:instrText xml:space="preserve"> REF _Ref466536472 \r \h </w:instrText>
      </w:r>
      <w:r w:rsidRPr="00980878">
        <w:fldChar w:fldCharType="separate"/>
      </w:r>
      <w:r>
        <w:t>6.3.2.1</w:t>
      </w:r>
      <w:r w:rsidRPr="00980878">
        <w:fldChar w:fldCharType="end"/>
      </w:r>
      <w:r w:rsidRPr="008467B6">
        <w:t>.</w:t>
      </w:r>
    </w:p>
    <w:p w14:paraId="67B07632" w14:textId="77777777" w:rsidR="007B6848" w:rsidRDefault="007B6848" w:rsidP="007B6848">
      <w:pPr>
        <w:rPr>
          <w:lang w:eastAsia="ko-KR"/>
        </w:rPr>
      </w:pPr>
      <w:r w:rsidRPr="008467B6">
        <w:rPr>
          <w:lang w:eastAsia="ko-KR"/>
        </w:rPr>
        <w:t>Apart from modifying the QP allocation in the encoder, it may also be desirable for an encoder manufacturer to adjust other non-normative encoding processes in their encoders, such as the motion estimation, intra and inter mode decision, trellis quantization, and rate control among others</w:t>
      </w:r>
      <w:r>
        <w:rPr>
          <w:lang w:eastAsia="ko-KR"/>
        </w:rPr>
        <w:t xml:space="preserve">, as described in sub-clause </w:t>
      </w:r>
      <w:r>
        <w:t>7.3 in</w:t>
      </w:r>
      <w:r>
        <w:rPr>
          <w:lang w:eastAsia="ko-KR"/>
        </w:rPr>
        <w:t xml:space="preserve"> </w:t>
      </w:r>
      <w:r w:rsidRPr="00275358">
        <w:fldChar w:fldCharType="begin"/>
      </w:r>
      <w:r w:rsidRPr="008467B6">
        <w:instrText xml:space="preserve"> REF _Ref448495076 \r \h </w:instrText>
      </w:r>
      <w:r w:rsidRPr="00275358">
        <w:fldChar w:fldCharType="separate"/>
      </w:r>
      <w:r>
        <w:t>[1]</w:t>
      </w:r>
      <w:r w:rsidRPr="00275358">
        <w:fldChar w:fldCharType="end"/>
      </w:r>
      <w:r w:rsidRPr="008467B6">
        <w:rPr>
          <w:lang w:eastAsia="ko-KR"/>
        </w:rPr>
        <w:t>.</w:t>
      </w:r>
    </w:p>
    <w:p w14:paraId="77B33FF7" w14:textId="77777777" w:rsidR="007B6848" w:rsidRPr="008467B6" w:rsidRDefault="007B6848" w:rsidP="007B6848">
      <w:pPr>
        <w:pStyle w:val="Heading4"/>
      </w:pPr>
      <w:bookmarkStart w:id="142" w:name="_Ref466536472"/>
      <w:r w:rsidRPr="008467B6">
        <w:t>Example of encoder setting</w:t>
      </w:r>
      <w:bookmarkEnd w:id="142"/>
    </w:p>
    <w:p w14:paraId="32A9E4D6" w14:textId="77777777" w:rsidR="007B6848" w:rsidRPr="008467B6" w:rsidRDefault="007B6848" w:rsidP="007B6848">
      <w:r w:rsidRPr="00980878">
        <w:t xml:space="preserve">Study in </w:t>
      </w:r>
      <w:r w:rsidRPr="00980878">
        <w:fldChar w:fldCharType="begin"/>
      </w:r>
      <w:r w:rsidRPr="00980878">
        <w:instrText xml:space="preserve"> REF _Ref465328414 \r \h </w:instrText>
      </w:r>
      <w:r w:rsidRPr="00980878">
        <w:fldChar w:fldCharType="separate"/>
      </w:r>
      <w:r>
        <w:t>[20]</w:t>
      </w:r>
      <w:r w:rsidRPr="00980878">
        <w:fldChar w:fldCharType="end"/>
      </w:r>
      <w:r w:rsidRPr="00980878">
        <w:t xml:space="preserve"> shows: 1) Y</w:t>
      </w:r>
      <w:r w:rsidRPr="008467B6">
        <w:sym w:font="Symbol" w:char="F0A2"/>
      </w:r>
      <w:r w:rsidRPr="00980878">
        <w:t xml:space="preserve"> component in Y</w:t>
      </w:r>
      <w:r w:rsidRPr="008467B6">
        <w:sym w:font="Symbol" w:char="F0A2"/>
      </w:r>
      <w:r w:rsidRPr="00980878">
        <w:t>CbCr and I component in IC</w:t>
      </w:r>
      <w:r w:rsidRPr="00980878">
        <w:rPr>
          <w:vertAlign w:val="subscript"/>
        </w:rPr>
        <w:t>T</w:t>
      </w:r>
      <w:r w:rsidRPr="00980878">
        <w:t>C</w:t>
      </w:r>
      <w:r w:rsidRPr="00980878">
        <w:rPr>
          <w:vertAlign w:val="subscript"/>
        </w:rPr>
        <w:t>P</w:t>
      </w:r>
      <w:r w:rsidRPr="00980878">
        <w:t xml:space="preserve"> have very similar compression characteristics in terms of variance; this results in similar coding bits given same luma quantizer. It suggests that techniques designed to improve coding efficiency of Y</w:t>
      </w:r>
      <w:r w:rsidRPr="008467B6">
        <w:sym w:font="Symbol" w:char="F0A2"/>
      </w:r>
      <w:r w:rsidRPr="00980878">
        <w:t xml:space="preserve"> component (e.g., perceptual luma quantization </w:t>
      </w:r>
      <w:r w:rsidRPr="008467B6">
        <w:t xml:space="preserve">in </w:t>
      </w:r>
      <w:r w:rsidRPr="00275358">
        <w:fldChar w:fldCharType="begin"/>
      </w:r>
      <w:r w:rsidRPr="008467B6">
        <w:instrText xml:space="preserve"> REF _Ref448495076 \r \h </w:instrText>
      </w:r>
      <w:r w:rsidRPr="00275358">
        <w:fldChar w:fldCharType="separate"/>
      </w:r>
      <w:r>
        <w:t>[1]</w:t>
      </w:r>
      <w:r w:rsidRPr="00275358">
        <w:fldChar w:fldCharType="end"/>
      </w:r>
      <w:r w:rsidRPr="008467B6">
        <w:t xml:space="preserve">) </w:t>
      </w:r>
      <w:r w:rsidRPr="00980878">
        <w:t>can be used for I component directly. 2) for colour components, C</w:t>
      </w:r>
      <w:r w:rsidRPr="00980878">
        <w:rPr>
          <w:vertAlign w:val="subscript"/>
        </w:rPr>
        <w:t xml:space="preserve">T </w:t>
      </w:r>
      <w:r w:rsidRPr="00980878">
        <w:t>and C</w:t>
      </w:r>
      <w:r w:rsidRPr="00980878">
        <w:rPr>
          <w:vertAlign w:val="subscript"/>
        </w:rPr>
        <w:t xml:space="preserve">P </w:t>
      </w:r>
      <w:r w:rsidRPr="00980878">
        <w:t xml:space="preserve">have higher variance level than Cb and Cr, thus modifications have to be applied for technologies designed to improve chroma coding efficiency, such as the adaptive chroma QP offset model </w:t>
      </w:r>
      <w:r w:rsidRPr="008467B6">
        <w:t xml:space="preserve">in </w:t>
      </w:r>
      <w:r w:rsidRPr="00275358">
        <w:fldChar w:fldCharType="begin"/>
      </w:r>
      <w:r w:rsidRPr="008467B6">
        <w:instrText xml:space="preserve"> REF _Ref448495076 \r \h </w:instrText>
      </w:r>
      <w:r w:rsidRPr="00275358">
        <w:fldChar w:fldCharType="separate"/>
      </w:r>
      <w:r>
        <w:t>[1]</w:t>
      </w:r>
      <w:r w:rsidRPr="00275358">
        <w:fldChar w:fldCharType="end"/>
      </w:r>
      <w:r w:rsidRPr="008467B6">
        <w:t>.</w:t>
      </w:r>
    </w:p>
    <w:p w14:paraId="3ABCB431" w14:textId="77777777" w:rsidR="007B6848" w:rsidRPr="008467B6" w:rsidRDefault="007B6848" w:rsidP="007B6848">
      <w:r w:rsidRPr="008467B6">
        <w:t xml:space="preserve">In the following example on how to set chromaQP offset for </w:t>
      </w:r>
      <w:r w:rsidRPr="00980878">
        <w:t>IC</w:t>
      </w:r>
      <w:r w:rsidRPr="00980878">
        <w:rPr>
          <w:vertAlign w:val="subscript"/>
        </w:rPr>
        <w:t>T</w:t>
      </w:r>
      <w:r w:rsidRPr="00980878">
        <w:t>C</w:t>
      </w:r>
      <w:r w:rsidRPr="00980878">
        <w:rPr>
          <w:vertAlign w:val="subscript"/>
        </w:rPr>
        <w:t>P</w:t>
      </w:r>
      <w:r w:rsidRPr="008467B6">
        <w:t xml:space="preserve">, it is assumed that the colour primaries of the mastering display/capture device are known. </w:t>
      </w:r>
    </w:p>
    <w:p w14:paraId="74599C75" w14:textId="77777777" w:rsidR="007B6848" w:rsidRPr="008467B6" w:rsidRDefault="007B6848" w:rsidP="007B6848">
      <w:r w:rsidRPr="008467B6">
        <w:t xml:space="preserve">Based on this knowledge, the following model is used to assign QP offsets for Cb, corresponding to </w:t>
      </w:r>
      <w:r w:rsidRPr="00980878">
        <w:t>C</w:t>
      </w:r>
      <w:r w:rsidRPr="00980878">
        <w:rPr>
          <w:vertAlign w:val="subscript"/>
        </w:rPr>
        <w:t>T,</w:t>
      </w:r>
      <w:r w:rsidRPr="008467B6">
        <w:t xml:space="preserve"> and Cr, corresponding to </w:t>
      </w:r>
      <w:r w:rsidRPr="00980878">
        <w:t>C</w:t>
      </w:r>
      <w:r w:rsidRPr="00980878">
        <w:rPr>
          <w:vertAlign w:val="subscript"/>
        </w:rPr>
        <w:t>P</w:t>
      </w:r>
      <w:r w:rsidRPr="00980878">
        <w:t xml:space="preserve">, </w:t>
      </w:r>
      <w:r w:rsidRPr="008467B6">
        <w:t xml:space="preserve">based on the luma QP and a factor dependent on the </w:t>
      </w:r>
      <w:r>
        <w:t xml:space="preserve">capture and </w:t>
      </w:r>
      <w:r w:rsidRPr="008467B6">
        <w:t>representation colour primaries. The model is expressed as:</w:t>
      </w:r>
    </w:p>
    <w:p w14:paraId="2CD41A7C" w14:textId="77777777" w:rsidR="007B6848" w:rsidRPr="008467B6" w:rsidRDefault="007B6848" w:rsidP="007B6848">
      <w:pPr>
        <w:widowControl w:val="0"/>
        <w:jc w:val="left"/>
        <w:rPr>
          <w:color w:val="000000"/>
          <w:sz w:val="12"/>
          <w:szCs w:val="12"/>
        </w:rPr>
      </w:pPr>
      <w:r w:rsidRPr="008467B6">
        <w:tab/>
      </w:r>
      <m:oMath>
        <m:r>
          <m:rPr>
            <m:sty m:val="p"/>
          </m:rPr>
          <w:rPr>
            <w:rFonts w:ascii="Cambria Math" w:hAnsi="Cambria Math"/>
          </w:rPr>
          <m:t>QPoffsetCb = Clip3(-12, 12, CbOffset+ Clip3</m:t>
        </m:r>
        <m:d>
          <m:dPr>
            <m:ctrlPr>
              <w:rPr>
                <w:rFonts w:ascii="Cambria Math" w:hAnsi="Cambria Math"/>
              </w:rPr>
            </m:ctrlPr>
          </m:dPr>
          <m:e>
            <m:r>
              <m:rPr>
                <m:sty m:val="p"/>
              </m:rPr>
              <w:rPr>
                <w:rFonts w:ascii="Cambria Math" w:hAnsi="Cambria Math"/>
              </w:rPr>
              <m:t>-12, 0,Round</m:t>
            </m:r>
            <m:d>
              <m:dPr>
                <m:ctrlPr>
                  <w:rPr>
                    <w:rFonts w:ascii="Cambria Math" w:hAnsi="Cambria Math"/>
                  </w:rPr>
                </m:ctrlPr>
              </m:dPr>
              <m:e>
                <m:sSub>
                  <m:sSubPr>
                    <m:ctrlPr>
                      <w:rPr>
                        <w:rFonts w:ascii="Cambria Math" w:hAnsi="Cambria Math"/>
                      </w:rPr>
                    </m:ctrlPr>
                  </m:sSubPr>
                  <m:e>
                    <m:r>
                      <m:rPr>
                        <m:sty m:val="p"/>
                      </m:rPr>
                      <w:rPr>
                        <w:rFonts w:ascii="Cambria Math" w:hAnsi="Cambria Math"/>
                      </w:rPr>
                      <m:t>c</m:t>
                    </m:r>
                  </m:e>
                  <m:sub>
                    <m:r>
                      <m:rPr>
                        <m:sty m:val="p"/>
                      </m:rPr>
                      <w:rPr>
                        <w:rFonts w:ascii="Cambria Math" w:hAnsi="Cambria Math"/>
                        <w:vertAlign w:val="subscript"/>
                      </w:rPr>
                      <m:t>cb</m:t>
                    </m:r>
                  </m:sub>
                </m:sSub>
                <m:r>
                  <m:rPr>
                    <m:sty m:val="p"/>
                  </m:rPr>
                  <w:rPr>
                    <w:rFonts w:ascii="Cambria Math" w:hAnsi="Cambria Math"/>
                  </w:rPr>
                  <m:t xml:space="preserve"> * </m:t>
                </m:r>
                <m:d>
                  <m:dPr>
                    <m:ctrlPr>
                      <w:rPr>
                        <w:rFonts w:ascii="Cambria Math" w:hAnsi="Cambria Math"/>
                      </w:rPr>
                    </m:ctrlPr>
                  </m:dPr>
                  <m:e>
                    <m:r>
                      <m:rPr>
                        <m:sty m:val="p"/>
                      </m:rPr>
                      <w:rPr>
                        <w:rFonts w:ascii="Cambria Math" w:hAnsi="Cambria Math"/>
                      </w:rPr>
                      <m:t>k * QP+l</m:t>
                    </m:r>
                  </m:e>
                </m:d>
              </m:e>
            </m:d>
          </m:e>
        </m:d>
        <m:r>
          <w:rPr>
            <w:rFonts w:ascii="Cambria Math" w:hAnsi="Cambria Math"/>
          </w:rPr>
          <m:t>)</m:t>
        </m:r>
      </m:oMath>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21</w:t>
      </w:r>
      <w:r>
        <w:rPr>
          <w:noProof/>
        </w:rPr>
        <w:fldChar w:fldCharType="end"/>
      </w:r>
      <w:r w:rsidRPr="008467B6">
        <w:t>)</w:t>
      </w:r>
    </w:p>
    <w:p w14:paraId="6008C2C3" w14:textId="77777777" w:rsidR="007B6848" w:rsidRPr="008467B6" w:rsidRDefault="007B6848" w:rsidP="007B6848">
      <w:pPr>
        <w:widowControl w:val="0"/>
        <w:jc w:val="left"/>
        <w:rPr>
          <w:color w:val="000000"/>
          <w:sz w:val="12"/>
          <w:szCs w:val="12"/>
        </w:rPr>
      </w:pPr>
      <w:r w:rsidRPr="008467B6">
        <w:tab/>
      </w:r>
      <m:oMath>
        <m:r>
          <m:rPr>
            <m:sty m:val="p"/>
          </m:rPr>
          <w:rPr>
            <w:rFonts w:ascii="Cambria Math" w:hAnsi="Cambria Math"/>
          </w:rPr>
          <m:t>QPoffsetCr = Clip3(-12, 12, CrOffset+ Clip3</m:t>
        </m:r>
        <m:d>
          <m:dPr>
            <m:ctrlPr>
              <w:rPr>
                <w:rFonts w:ascii="Cambria Math" w:hAnsi="Cambria Math"/>
              </w:rPr>
            </m:ctrlPr>
          </m:dPr>
          <m:e>
            <m:r>
              <m:rPr>
                <m:sty m:val="p"/>
              </m:rPr>
              <w:rPr>
                <w:rFonts w:ascii="Cambria Math" w:hAnsi="Cambria Math"/>
              </w:rPr>
              <m:t>-12, 0,Round</m:t>
            </m:r>
            <m:d>
              <m:dPr>
                <m:ctrlPr>
                  <w:rPr>
                    <w:rFonts w:ascii="Cambria Math" w:hAnsi="Cambria Math"/>
                  </w:rPr>
                </m:ctrlPr>
              </m:dPr>
              <m:e>
                <m:sSub>
                  <m:sSubPr>
                    <m:ctrlPr>
                      <w:rPr>
                        <w:rFonts w:ascii="Cambria Math" w:hAnsi="Cambria Math"/>
                      </w:rPr>
                    </m:ctrlPr>
                  </m:sSubPr>
                  <m:e>
                    <m:r>
                      <m:rPr>
                        <m:sty m:val="p"/>
                      </m:rPr>
                      <w:rPr>
                        <w:rFonts w:ascii="Cambria Math" w:hAnsi="Cambria Math"/>
                      </w:rPr>
                      <m:t>c</m:t>
                    </m:r>
                  </m:e>
                  <m:sub>
                    <m:r>
                      <m:rPr>
                        <m:sty m:val="p"/>
                      </m:rPr>
                      <w:rPr>
                        <w:rFonts w:ascii="Cambria Math" w:hAnsi="Cambria Math"/>
                        <w:vertAlign w:val="subscript"/>
                      </w:rPr>
                      <m:t>cr</m:t>
                    </m:r>
                  </m:sub>
                </m:sSub>
                <m:r>
                  <m:rPr>
                    <m:sty m:val="p"/>
                  </m:rPr>
                  <w:rPr>
                    <w:rFonts w:ascii="Cambria Math" w:hAnsi="Cambria Math"/>
                  </w:rPr>
                  <m:t xml:space="preserve"> * </m:t>
                </m:r>
                <m:d>
                  <m:dPr>
                    <m:ctrlPr>
                      <w:rPr>
                        <w:rFonts w:ascii="Cambria Math" w:hAnsi="Cambria Math"/>
                      </w:rPr>
                    </m:ctrlPr>
                  </m:dPr>
                  <m:e>
                    <m:r>
                      <m:rPr>
                        <m:sty m:val="p"/>
                      </m:rPr>
                      <w:rPr>
                        <w:rFonts w:ascii="Cambria Math" w:hAnsi="Cambria Math"/>
                      </w:rPr>
                      <m:t>k * QP+l</m:t>
                    </m:r>
                  </m:e>
                </m:d>
              </m:e>
            </m:d>
          </m:e>
        </m:d>
        <m:r>
          <w:rPr>
            <w:rFonts w:ascii="Cambria Math" w:hAnsi="Cambria Math"/>
          </w:rPr>
          <m:t>)</m:t>
        </m:r>
      </m:oMath>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22</w:t>
      </w:r>
      <w:r>
        <w:rPr>
          <w:noProof/>
        </w:rPr>
        <w:fldChar w:fldCharType="end"/>
      </w:r>
      <w:r w:rsidRPr="008467B6">
        <w:t>)</w:t>
      </w:r>
    </w:p>
    <w:p w14:paraId="4B24AA20" w14:textId="77777777" w:rsidR="007B6848" w:rsidRPr="008467B6" w:rsidRDefault="007B6848" w:rsidP="007B6848">
      <w:r w:rsidRPr="008467B6">
        <w:t>where c</w:t>
      </w:r>
      <w:r w:rsidRPr="008467B6">
        <w:rPr>
          <w:vertAlign w:val="subscript"/>
        </w:rPr>
        <w:t>cb</w:t>
      </w:r>
      <w:r w:rsidRPr="008467B6">
        <w:t xml:space="preserve"> = 1 and CbOffset = 6 if the capture colour primaries are the same as the representation colour primaries, c</w:t>
      </w:r>
      <w:r w:rsidRPr="008467B6">
        <w:rPr>
          <w:vertAlign w:val="subscript"/>
        </w:rPr>
        <w:t>cb</w:t>
      </w:r>
      <w:r w:rsidRPr="008467B6">
        <w:t>=0.5 and CbOffset = 8 if the capture colour primaries are equal to the P3D65 primaries and the representation colour primaries are equal to the Rec. ITU-R BT.2020 primaries, and c</w:t>
      </w:r>
      <w:r w:rsidRPr="008467B6">
        <w:rPr>
          <w:vertAlign w:val="subscript"/>
        </w:rPr>
        <w:t>cb</w:t>
      </w:r>
      <w:r w:rsidRPr="008467B6">
        <w:t>=0.9 and CbOffset = 6 if the capture colour primaries are equal to the Rec. ITU-R BT.709 primaries and the representation primaries are equal to the Rec. ITU-R BT.2020 primaries.</w:t>
      </w:r>
    </w:p>
    <w:p w14:paraId="589F6E0E" w14:textId="77777777" w:rsidR="007B6848" w:rsidRPr="008467B6" w:rsidRDefault="007B6848" w:rsidP="007B6848">
      <w:r w:rsidRPr="008467B6">
        <w:t>Similarly, c</w:t>
      </w:r>
      <w:r w:rsidRPr="008467B6">
        <w:rPr>
          <w:vertAlign w:val="subscript"/>
        </w:rPr>
        <w:t>cr</w:t>
      </w:r>
      <w:r w:rsidRPr="008467B6">
        <w:t xml:space="preserve"> = 1 and CrOffset = 6 if the capture colour primaries are the same as the representation colour primaries, c</w:t>
      </w:r>
      <w:r w:rsidRPr="008467B6">
        <w:rPr>
          <w:vertAlign w:val="subscript"/>
        </w:rPr>
        <w:t>cr</w:t>
      </w:r>
      <w:r w:rsidRPr="008467B6">
        <w:t xml:space="preserve">=0.9 and CrOffset = 7 if the capture colour primaries are equal to the P3D65 primaries and the representation colour primaries are </w:t>
      </w:r>
      <w:r w:rsidRPr="008467B6">
        <w:lastRenderedPageBreak/>
        <w:t>equal to the Rec. ITU-R BT.2020 primaries, and c</w:t>
      </w:r>
      <w:r w:rsidRPr="008467B6">
        <w:rPr>
          <w:vertAlign w:val="subscript"/>
        </w:rPr>
        <w:t>cr</w:t>
      </w:r>
      <w:r w:rsidRPr="008467B6">
        <w:t>=1.6 and CrOffset = 6 if the capture colour primaries are equal to the Rec. ITU-R BT.709 primaries and the representation primaries are equal to the Rec. ITU-R BT.2020 primaries.</w:t>
      </w:r>
    </w:p>
    <w:p w14:paraId="774E0685" w14:textId="77777777" w:rsidR="007B6848" w:rsidRPr="008467B6" w:rsidRDefault="007B6848" w:rsidP="007B6848">
      <w:r w:rsidRPr="008467B6">
        <w:t xml:space="preserve">Finally, </w:t>
      </w:r>
      <m:oMath>
        <m:r>
          <m:rPr>
            <m:sty m:val="p"/>
          </m:rPr>
          <w:rPr>
            <w:rFonts w:ascii="Cambria Math" w:hAnsi="Cambria Math"/>
          </w:rPr>
          <m:t>k=-0.46</m:t>
        </m:r>
      </m:oMath>
      <w:r w:rsidRPr="008467B6">
        <w:t xml:space="preserve"> and </w:t>
      </w:r>
      <m:oMath>
        <m:r>
          <m:rPr>
            <m:sty m:val="p"/>
          </m:rPr>
          <w:rPr>
            <w:rFonts w:ascii="Cambria Math" w:hAnsi="Cambria Math"/>
          </w:rPr>
          <m:t>l=10</m:t>
        </m:r>
      </m:oMath>
      <w:r w:rsidRPr="008467B6">
        <w:t xml:space="preserve">. </w:t>
      </w:r>
    </w:p>
    <w:p w14:paraId="075D0AB1" w14:textId="77777777" w:rsidR="007B6848" w:rsidRPr="008467B6" w:rsidRDefault="007B6848" w:rsidP="007B6848">
      <w:pPr>
        <w:pStyle w:val="Heading4"/>
      </w:pPr>
      <w:r w:rsidRPr="008467B6">
        <w:t>HEVC encoding</w:t>
      </w:r>
    </w:p>
    <w:p w14:paraId="176FCAD8" w14:textId="77777777" w:rsidR="007B6848" w:rsidRPr="008467B6" w:rsidRDefault="007B6848" w:rsidP="007B6848">
      <w:r w:rsidRPr="008467B6">
        <w:t xml:space="preserve">When creating the HEVC bitstream it is recommended to set syntax elements to the values listed in </w:t>
      </w:r>
      <w:r w:rsidRPr="00980878">
        <w:fldChar w:fldCharType="begin"/>
      </w:r>
      <w:r w:rsidRPr="00980878">
        <w:instrText xml:space="preserve"> REF _Ref464593301 \h </w:instrText>
      </w:r>
      <w:r w:rsidRPr="00980878">
        <w:fldChar w:fldCharType="separate"/>
      </w:r>
      <w:r w:rsidRPr="008467B6">
        <w:rPr>
          <w:lang w:val="en-US"/>
        </w:rPr>
        <w:t xml:space="preserve">Table </w:t>
      </w:r>
      <w:r>
        <w:rPr>
          <w:noProof/>
          <w:lang w:val="en-US"/>
        </w:rPr>
        <w:t>6</w:t>
      </w:r>
      <w:r w:rsidRPr="008467B6">
        <w:rPr>
          <w:lang w:val="en-US"/>
        </w:rPr>
        <w:noBreakHyphen/>
      </w:r>
      <w:r>
        <w:rPr>
          <w:noProof/>
          <w:lang w:val="en-US"/>
        </w:rPr>
        <w:t>3</w:t>
      </w:r>
      <w:r w:rsidRPr="00980878">
        <w:fldChar w:fldCharType="end"/>
      </w:r>
      <w:r w:rsidRPr="008467B6">
        <w:t xml:space="preserve"> in the sequence parameter set (SPS) of the bitstream. The syntax elements in </w:t>
      </w:r>
      <w:r w:rsidRPr="00980878">
        <w:fldChar w:fldCharType="begin"/>
      </w:r>
      <w:r w:rsidRPr="00980878">
        <w:instrText xml:space="preserve"> REF _Ref464593301 \h </w:instrText>
      </w:r>
      <w:r w:rsidRPr="00980878">
        <w:fldChar w:fldCharType="separate"/>
      </w:r>
      <w:r w:rsidRPr="008467B6">
        <w:rPr>
          <w:lang w:val="en-US"/>
        </w:rPr>
        <w:t xml:space="preserve">Table </w:t>
      </w:r>
      <w:r>
        <w:rPr>
          <w:noProof/>
          <w:lang w:val="en-US"/>
        </w:rPr>
        <w:t>6</w:t>
      </w:r>
      <w:r w:rsidRPr="008467B6">
        <w:rPr>
          <w:lang w:val="en-US"/>
        </w:rPr>
        <w:noBreakHyphen/>
      </w:r>
      <w:r>
        <w:rPr>
          <w:noProof/>
          <w:lang w:val="en-US"/>
        </w:rPr>
        <w:t>3</w:t>
      </w:r>
      <w:r w:rsidRPr="00980878">
        <w:fldChar w:fldCharType="end"/>
      </w:r>
      <w:r w:rsidRPr="008467B6">
        <w:t xml:space="preserve"> are conveyed in the Video Usability Information syntax branch of the SPS defined in Annex E of the HEVC specification. They may also be duplicated and carried in various application-layer headers.</w:t>
      </w:r>
    </w:p>
    <w:p w14:paraId="36C59031" w14:textId="77777777" w:rsidR="007B6848" w:rsidRPr="008467B6" w:rsidRDefault="007B6848" w:rsidP="007B6848">
      <w:pPr>
        <w:pStyle w:val="Caption"/>
        <w:rPr>
          <w:lang w:val="en-US"/>
        </w:rPr>
      </w:pPr>
      <w:bookmarkStart w:id="143" w:name="_Ref464593301"/>
      <w:r w:rsidRPr="008467B6">
        <w:rPr>
          <w:lang w:val="en-US"/>
        </w:rPr>
        <w:t xml:space="preserve">Table </w:t>
      </w:r>
      <w:r w:rsidRPr="00980878">
        <w:rPr>
          <w:lang w:val="en-US"/>
        </w:rPr>
        <w:fldChar w:fldCharType="begin"/>
      </w:r>
      <w:r w:rsidRPr="008467B6">
        <w:rPr>
          <w:lang w:val="en-US"/>
        </w:rPr>
        <w:instrText xml:space="preserve"> STYLEREF 1 \s </w:instrText>
      </w:r>
      <w:r w:rsidRPr="00980878">
        <w:rPr>
          <w:lang w:val="en-US"/>
        </w:rPr>
        <w:fldChar w:fldCharType="separate"/>
      </w:r>
      <w:r>
        <w:rPr>
          <w:noProof/>
          <w:lang w:val="en-US"/>
        </w:rPr>
        <w:t>6</w:t>
      </w:r>
      <w:r w:rsidRPr="00980878">
        <w:rPr>
          <w:lang w:val="en-US"/>
        </w:rPr>
        <w:fldChar w:fldCharType="end"/>
      </w:r>
      <w:r w:rsidRPr="008467B6">
        <w:rPr>
          <w:lang w:val="en-US"/>
        </w:rPr>
        <w:noBreakHyphen/>
      </w:r>
      <w:r w:rsidRPr="00980878">
        <w:rPr>
          <w:lang w:val="en-US"/>
        </w:rPr>
        <w:fldChar w:fldCharType="begin"/>
      </w:r>
      <w:r w:rsidRPr="008467B6">
        <w:rPr>
          <w:lang w:val="en-US"/>
        </w:rPr>
        <w:instrText xml:space="preserve"> SEQ Table \* ARABIC \s 1 </w:instrText>
      </w:r>
      <w:r w:rsidRPr="00980878">
        <w:rPr>
          <w:lang w:val="en-US"/>
        </w:rPr>
        <w:fldChar w:fldCharType="separate"/>
      </w:r>
      <w:r>
        <w:rPr>
          <w:noProof/>
          <w:lang w:val="en-US"/>
        </w:rPr>
        <w:t>3</w:t>
      </w:r>
      <w:r w:rsidRPr="00980878">
        <w:rPr>
          <w:lang w:val="en-US"/>
        </w:rPr>
        <w:fldChar w:fldCharType="end"/>
      </w:r>
      <w:bookmarkEnd w:id="143"/>
      <w:r w:rsidRPr="008467B6">
        <w:rPr>
          <w:lang w:val="en-US"/>
        </w:rPr>
        <w:t xml:space="preserve"> – </w:t>
      </w:r>
      <w:r w:rsidRPr="008467B6">
        <w:rPr>
          <w:szCs w:val="20"/>
          <w:lang w:val="en-US"/>
        </w:rPr>
        <w:t>Recommended settings for HEVC encoding</w:t>
      </w:r>
      <w:r>
        <w:rPr>
          <w:szCs w:val="20"/>
          <w:lang w:val="en-US"/>
        </w:rPr>
        <w:t>.</w:t>
      </w:r>
    </w:p>
    <w:tbl>
      <w:tblPr>
        <w:tblW w:w="35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78"/>
        <w:gridCol w:w="2063"/>
        <w:gridCol w:w="2092"/>
      </w:tblGrid>
      <w:tr w:rsidR="007B6848" w:rsidRPr="008467B6" w14:paraId="334B7F61" w14:textId="77777777" w:rsidTr="004B3F76">
        <w:trPr>
          <w:trHeight w:val="255"/>
          <w:jc w:val="center"/>
        </w:trPr>
        <w:tc>
          <w:tcPr>
            <w:tcW w:w="2128" w:type="pct"/>
            <w:noWrap/>
            <w:tcMar>
              <w:top w:w="9" w:type="dxa"/>
              <w:left w:w="29" w:type="dxa"/>
              <w:bottom w:w="0" w:type="dxa"/>
              <w:right w:w="29" w:type="dxa"/>
            </w:tcMar>
            <w:vAlign w:val="center"/>
          </w:tcPr>
          <w:p w14:paraId="54398BD4" w14:textId="77777777" w:rsidR="007B6848" w:rsidRPr="008467B6" w:rsidRDefault="007B6848" w:rsidP="004B3F76">
            <w:pPr>
              <w:keepNext/>
              <w:spacing w:before="0"/>
              <w:jc w:val="center"/>
              <w:rPr>
                <w:rFonts w:eastAsia="Arial Unicode MS"/>
                <w:b/>
                <w:sz w:val="18"/>
              </w:rPr>
            </w:pPr>
            <w:r w:rsidRPr="008467B6">
              <w:rPr>
                <w:b/>
                <w:sz w:val="18"/>
              </w:rPr>
              <w:t>Syntax element</w:t>
            </w:r>
          </w:p>
        </w:tc>
        <w:tc>
          <w:tcPr>
            <w:tcW w:w="1426" w:type="pct"/>
            <w:tcMar>
              <w:left w:w="29" w:type="dxa"/>
              <w:right w:w="29" w:type="dxa"/>
            </w:tcMar>
            <w:vAlign w:val="center"/>
          </w:tcPr>
          <w:p w14:paraId="3EB630A9" w14:textId="77777777" w:rsidR="007B6848" w:rsidRPr="008467B6" w:rsidRDefault="007B6848" w:rsidP="004B3F76">
            <w:pPr>
              <w:keepNext/>
              <w:tabs>
                <w:tab w:val="left" w:pos="1800"/>
                <w:tab w:val="left" w:pos="2160"/>
                <w:tab w:val="left" w:pos="2520"/>
                <w:tab w:val="left" w:pos="2880"/>
              </w:tabs>
              <w:spacing w:before="0" w:after="60"/>
              <w:jc w:val="center"/>
              <w:outlineLvl w:val="8"/>
              <w:rPr>
                <w:b/>
                <w:sz w:val="18"/>
              </w:rPr>
            </w:pPr>
            <w:r w:rsidRPr="008467B6">
              <w:rPr>
                <w:b/>
                <w:sz w:val="18"/>
              </w:rPr>
              <w:t>Location</w:t>
            </w:r>
          </w:p>
        </w:tc>
        <w:tc>
          <w:tcPr>
            <w:tcW w:w="1446" w:type="pct"/>
            <w:noWrap/>
            <w:tcMar>
              <w:top w:w="9" w:type="dxa"/>
              <w:left w:w="29" w:type="dxa"/>
              <w:bottom w:w="0" w:type="dxa"/>
              <w:right w:w="29" w:type="dxa"/>
            </w:tcMar>
            <w:vAlign w:val="center"/>
          </w:tcPr>
          <w:p w14:paraId="6E75ABC4" w14:textId="77777777" w:rsidR="007B6848" w:rsidRPr="008467B6" w:rsidRDefault="007B6848" w:rsidP="004B3F76">
            <w:pPr>
              <w:keepNext/>
              <w:spacing w:before="0"/>
              <w:jc w:val="center"/>
              <w:rPr>
                <w:rFonts w:eastAsia="Arial Unicode MS"/>
                <w:b/>
                <w:bCs/>
                <w:iCs/>
                <w:sz w:val="18"/>
                <w:szCs w:val="26"/>
              </w:rPr>
            </w:pPr>
            <w:r w:rsidRPr="008467B6">
              <w:rPr>
                <w:b/>
                <w:sz w:val="18"/>
              </w:rPr>
              <w:t xml:space="preserve">Recommended </w:t>
            </w:r>
            <w:r w:rsidRPr="008467B6">
              <w:rPr>
                <w:b/>
                <w:sz w:val="18"/>
              </w:rPr>
              <w:br/>
              <w:t>value</w:t>
            </w:r>
          </w:p>
        </w:tc>
      </w:tr>
      <w:tr w:rsidR="007B6848" w:rsidRPr="008467B6" w14:paraId="78030924" w14:textId="77777777" w:rsidTr="004B3F76">
        <w:trPr>
          <w:trHeight w:val="255"/>
          <w:jc w:val="center"/>
        </w:trPr>
        <w:tc>
          <w:tcPr>
            <w:tcW w:w="2128" w:type="pct"/>
            <w:noWrap/>
            <w:tcMar>
              <w:top w:w="9" w:type="dxa"/>
              <w:left w:w="29" w:type="dxa"/>
              <w:bottom w:w="0" w:type="dxa"/>
              <w:right w:w="29" w:type="dxa"/>
            </w:tcMar>
            <w:vAlign w:val="center"/>
          </w:tcPr>
          <w:p w14:paraId="72628BC5"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general_profile_space</w:t>
            </w:r>
          </w:p>
        </w:tc>
        <w:tc>
          <w:tcPr>
            <w:tcW w:w="1426" w:type="pct"/>
            <w:tcMar>
              <w:left w:w="29" w:type="dxa"/>
              <w:right w:w="29" w:type="dxa"/>
            </w:tcMar>
            <w:vAlign w:val="center"/>
          </w:tcPr>
          <w:p w14:paraId="4998F51C"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profile_tier_level()</w:t>
            </w:r>
          </w:p>
        </w:tc>
        <w:tc>
          <w:tcPr>
            <w:tcW w:w="1446" w:type="pct"/>
            <w:noWrap/>
            <w:tcMar>
              <w:top w:w="9" w:type="dxa"/>
              <w:left w:w="29" w:type="dxa"/>
              <w:bottom w:w="0" w:type="dxa"/>
              <w:right w:w="29" w:type="dxa"/>
            </w:tcMar>
            <w:vAlign w:val="center"/>
          </w:tcPr>
          <w:p w14:paraId="0C00066C"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0</w:t>
            </w:r>
          </w:p>
        </w:tc>
      </w:tr>
      <w:tr w:rsidR="007B6848" w:rsidRPr="008467B6" w14:paraId="291F9EE8" w14:textId="77777777" w:rsidTr="004B3F76">
        <w:trPr>
          <w:trHeight w:val="255"/>
          <w:jc w:val="center"/>
        </w:trPr>
        <w:tc>
          <w:tcPr>
            <w:tcW w:w="2128" w:type="pct"/>
            <w:noWrap/>
            <w:tcMar>
              <w:top w:w="9" w:type="dxa"/>
              <w:left w:w="29" w:type="dxa"/>
              <w:bottom w:w="0" w:type="dxa"/>
              <w:right w:w="29" w:type="dxa"/>
            </w:tcMar>
            <w:vAlign w:val="center"/>
          </w:tcPr>
          <w:p w14:paraId="278294DA" w14:textId="77777777" w:rsidR="007B6848" w:rsidRPr="008467B6" w:rsidRDefault="007B6848" w:rsidP="004B3F76">
            <w:pPr>
              <w:keepNext/>
              <w:spacing w:before="0"/>
              <w:jc w:val="center"/>
              <w:rPr>
                <w:sz w:val="18"/>
              </w:rPr>
            </w:pPr>
            <w:r w:rsidRPr="008467B6">
              <w:rPr>
                <w:sz w:val="18"/>
              </w:rPr>
              <w:t>general_profile_idc</w:t>
            </w:r>
          </w:p>
        </w:tc>
        <w:tc>
          <w:tcPr>
            <w:tcW w:w="1426" w:type="pct"/>
            <w:tcMar>
              <w:left w:w="29" w:type="dxa"/>
              <w:right w:w="29" w:type="dxa"/>
            </w:tcMar>
            <w:vAlign w:val="center"/>
          </w:tcPr>
          <w:p w14:paraId="579542E4"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profile_tier_level()</w:t>
            </w:r>
          </w:p>
        </w:tc>
        <w:tc>
          <w:tcPr>
            <w:tcW w:w="1446" w:type="pct"/>
            <w:noWrap/>
            <w:tcMar>
              <w:top w:w="9" w:type="dxa"/>
              <w:left w:w="29" w:type="dxa"/>
              <w:bottom w:w="0" w:type="dxa"/>
              <w:right w:w="29" w:type="dxa"/>
            </w:tcMar>
            <w:vAlign w:val="center"/>
          </w:tcPr>
          <w:p w14:paraId="1433FA8D"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2 (Main 10)</w:t>
            </w:r>
          </w:p>
        </w:tc>
      </w:tr>
      <w:tr w:rsidR="007B6848" w:rsidRPr="008467B6" w14:paraId="35C5ED76" w14:textId="77777777" w:rsidTr="004B3F76">
        <w:trPr>
          <w:trHeight w:val="255"/>
          <w:jc w:val="center"/>
        </w:trPr>
        <w:tc>
          <w:tcPr>
            <w:tcW w:w="2128" w:type="pct"/>
            <w:noWrap/>
            <w:tcMar>
              <w:top w:w="9" w:type="dxa"/>
              <w:left w:w="29" w:type="dxa"/>
              <w:bottom w:w="0" w:type="dxa"/>
              <w:right w:w="29" w:type="dxa"/>
            </w:tcMar>
            <w:vAlign w:val="center"/>
          </w:tcPr>
          <w:p w14:paraId="3D200026" w14:textId="77777777" w:rsidR="007B6848" w:rsidRPr="008467B6" w:rsidRDefault="007B6848" w:rsidP="004B3F76">
            <w:pPr>
              <w:keepNext/>
              <w:tabs>
                <w:tab w:val="left" w:pos="1800"/>
                <w:tab w:val="left" w:pos="2160"/>
                <w:tab w:val="left" w:pos="2520"/>
                <w:tab w:val="left" w:pos="2880"/>
              </w:tabs>
              <w:spacing w:before="0" w:after="60"/>
              <w:jc w:val="center"/>
              <w:outlineLvl w:val="8"/>
              <w:rPr>
                <w:bCs/>
                <w:sz w:val="18"/>
              </w:rPr>
            </w:pPr>
            <w:r w:rsidRPr="008467B6">
              <w:rPr>
                <w:bCs/>
                <w:sz w:val="18"/>
              </w:rPr>
              <w:t>vui_parameters_present_flag</w:t>
            </w:r>
          </w:p>
        </w:tc>
        <w:tc>
          <w:tcPr>
            <w:tcW w:w="1426" w:type="pct"/>
            <w:tcMar>
              <w:left w:w="29" w:type="dxa"/>
              <w:right w:w="29" w:type="dxa"/>
            </w:tcMar>
            <w:vAlign w:val="center"/>
          </w:tcPr>
          <w:p w14:paraId="0FB291CB"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seq_parameter_set_rbsp( )</w:t>
            </w:r>
          </w:p>
        </w:tc>
        <w:tc>
          <w:tcPr>
            <w:tcW w:w="1446" w:type="pct"/>
            <w:noWrap/>
            <w:tcMar>
              <w:top w:w="9" w:type="dxa"/>
              <w:left w:w="29" w:type="dxa"/>
              <w:bottom w:w="0" w:type="dxa"/>
              <w:right w:w="29" w:type="dxa"/>
            </w:tcMar>
            <w:vAlign w:val="center"/>
          </w:tcPr>
          <w:p w14:paraId="508FC002"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3B174806" w14:textId="77777777" w:rsidTr="004B3F76">
        <w:trPr>
          <w:trHeight w:val="255"/>
          <w:jc w:val="center"/>
        </w:trPr>
        <w:tc>
          <w:tcPr>
            <w:tcW w:w="2128" w:type="pct"/>
            <w:noWrap/>
            <w:tcMar>
              <w:top w:w="9" w:type="dxa"/>
              <w:left w:w="29" w:type="dxa"/>
              <w:bottom w:w="0" w:type="dxa"/>
              <w:right w:w="29" w:type="dxa"/>
            </w:tcMar>
            <w:vAlign w:val="center"/>
          </w:tcPr>
          <w:p w14:paraId="05338E74" w14:textId="77777777" w:rsidR="007B6848" w:rsidRPr="008467B6" w:rsidRDefault="007B6848" w:rsidP="004B3F76">
            <w:pPr>
              <w:keepNext/>
              <w:tabs>
                <w:tab w:val="left" w:pos="1800"/>
                <w:tab w:val="left" w:pos="2160"/>
                <w:tab w:val="left" w:pos="2520"/>
                <w:tab w:val="left" w:pos="2880"/>
              </w:tabs>
              <w:spacing w:before="0" w:after="60"/>
              <w:jc w:val="center"/>
              <w:outlineLvl w:val="8"/>
              <w:rPr>
                <w:bCs/>
                <w:sz w:val="18"/>
              </w:rPr>
            </w:pPr>
            <w:r w:rsidRPr="008467B6">
              <w:rPr>
                <w:bCs/>
                <w:sz w:val="18"/>
              </w:rPr>
              <w:t>video_signal_type_present_flag</w:t>
            </w:r>
          </w:p>
        </w:tc>
        <w:tc>
          <w:tcPr>
            <w:tcW w:w="1426" w:type="pct"/>
            <w:tcMar>
              <w:left w:w="29" w:type="dxa"/>
              <w:right w:w="29" w:type="dxa"/>
            </w:tcMar>
            <w:vAlign w:val="center"/>
          </w:tcPr>
          <w:p w14:paraId="25ECAFAA"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041BD717"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32D6B304" w14:textId="77777777" w:rsidTr="004B3F76">
        <w:trPr>
          <w:trHeight w:val="255"/>
          <w:jc w:val="center"/>
        </w:trPr>
        <w:tc>
          <w:tcPr>
            <w:tcW w:w="2128" w:type="pct"/>
            <w:noWrap/>
            <w:tcMar>
              <w:top w:w="9" w:type="dxa"/>
              <w:left w:w="29" w:type="dxa"/>
              <w:bottom w:w="0" w:type="dxa"/>
              <w:right w:w="29" w:type="dxa"/>
            </w:tcMar>
            <w:vAlign w:val="center"/>
          </w:tcPr>
          <w:p w14:paraId="0732F0A4" w14:textId="77777777" w:rsidR="007B6848" w:rsidRPr="008467B6" w:rsidRDefault="007B6848" w:rsidP="004B3F76">
            <w:pPr>
              <w:keepNext/>
              <w:spacing w:before="0"/>
              <w:jc w:val="center"/>
              <w:rPr>
                <w:sz w:val="18"/>
              </w:rPr>
            </w:pPr>
            <w:r w:rsidRPr="008467B6">
              <w:rPr>
                <w:bCs/>
                <w:sz w:val="18"/>
              </w:rPr>
              <w:t>video_full_range_flag</w:t>
            </w:r>
          </w:p>
        </w:tc>
        <w:tc>
          <w:tcPr>
            <w:tcW w:w="1426" w:type="pct"/>
            <w:tcMar>
              <w:left w:w="29" w:type="dxa"/>
              <w:right w:w="29" w:type="dxa"/>
            </w:tcMar>
            <w:vAlign w:val="center"/>
          </w:tcPr>
          <w:p w14:paraId="48466A9E"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5074FB3A"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0</w:t>
            </w:r>
          </w:p>
        </w:tc>
      </w:tr>
      <w:tr w:rsidR="007B6848" w:rsidRPr="008467B6" w14:paraId="2E444ED8" w14:textId="77777777" w:rsidTr="004B3F76">
        <w:trPr>
          <w:trHeight w:val="255"/>
          <w:jc w:val="center"/>
        </w:trPr>
        <w:tc>
          <w:tcPr>
            <w:tcW w:w="2128" w:type="pct"/>
            <w:noWrap/>
            <w:tcMar>
              <w:top w:w="9" w:type="dxa"/>
              <w:left w:w="29" w:type="dxa"/>
              <w:bottom w:w="0" w:type="dxa"/>
              <w:right w:w="29" w:type="dxa"/>
            </w:tcMar>
            <w:vAlign w:val="center"/>
          </w:tcPr>
          <w:p w14:paraId="719E7D36"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colour_description_present_flag</w:t>
            </w:r>
          </w:p>
        </w:tc>
        <w:tc>
          <w:tcPr>
            <w:tcW w:w="1426" w:type="pct"/>
            <w:tcMar>
              <w:left w:w="29" w:type="dxa"/>
              <w:right w:w="29" w:type="dxa"/>
            </w:tcMar>
            <w:vAlign w:val="center"/>
          </w:tcPr>
          <w:p w14:paraId="68367BDF"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0D3B1293" w14:textId="77777777" w:rsidR="007B6848" w:rsidRPr="008467B6" w:rsidRDefault="007B6848" w:rsidP="004B3F76">
            <w:pPr>
              <w:keepNext/>
              <w:spacing w:before="0"/>
              <w:jc w:val="center"/>
              <w:rPr>
                <w:sz w:val="18"/>
              </w:rPr>
            </w:pPr>
            <w:r w:rsidRPr="008467B6">
              <w:rPr>
                <w:sz w:val="18"/>
              </w:rPr>
              <w:t>1</w:t>
            </w:r>
          </w:p>
        </w:tc>
      </w:tr>
      <w:tr w:rsidR="007B6848" w:rsidRPr="008467B6" w14:paraId="73F6F576" w14:textId="77777777" w:rsidTr="004B3F76">
        <w:trPr>
          <w:trHeight w:val="255"/>
          <w:jc w:val="center"/>
        </w:trPr>
        <w:tc>
          <w:tcPr>
            <w:tcW w:w="2128" w:type="pct"/>
            <w:noWrap/>
            <w:tcMar>
              <w:top w:w="9" w:type="dxa"/>
              <w:left w:w="29" w:type="dxa"/>
              <w:bottom w:w="0" w:type="dxa"/>
              <w:right w:w="29" w:type="dxa"/>
            </w:tcMar>
            <w:vAlign w:val="center"/>
          </w:tcPr>
          <w:p w14:paraId="0D918C37" w14:textId="77777777" w:rsidR="007B6848" w:rsidRPr="008467B6" w:rsidRDefault="007B6848" w:rsidP="004B3F76">
            <w:pPr>
              <w:keepNext/>
              <w:spacing w:before="0"/>
              <w:jc w:val="center"/>
              <w:rPr>
                <w:rFonts w:eastAsia="Arial Unicode MS"/>
                <w:sz w:val="18"/>
              </w:rPr>
            </w:pPr>
            <w:r w:rsidRPr="008467B6">
              <w:rPr>
                <w:sz w:val="18"/>
              </w:rPr>
              <w:t>colour_primaries</w:t>
            </w:r>
          </w:p>
        </w:tc>
        <w:tc>
          <w:tcPr>
            <w:tcW w:w="1426" w:type="pct"/>
            <w:tcMar>
              <w:left w:w="29" w:type="dxa"/>
              <w:right w:w="29" w:type="dxa"/>
            </w:tcMar>
            <w:vAlign w:val="center"/>
          </w:tcPr>
          <w:p w14:paraId="23BCC1FF" w14:textId="77777777" w:rsidR="007B6848" w:rsidRPr="008467B6" w:rsidRDefault="007B6848" w:rsidP="004B3F76">
            <w:pPr>
              <w:keepNext/>
              <w:spacing w:before="0"/>
              <w:jc w:val="center"/>
              <w:rPr>
                <w:sz w:val="18"/>
              </w:rPr>
            </w:pPr>
            <w:r w:rsidRPr="00980878">
              <w:rPr>
                <w:sz w:val="18"/>
              </w:rPr>
              <w:t>vui_parameters( )</w:t>
            </w:r>
          </w:p>
        </w:tc>
        <w:tc>
          <w:tcPr>
            <w:tcW w:w="1446" w:type="pct"/>
            <w:noWrap/>
            <w:tcMar>
              <w:top w:w="9" w:type="dxa"/>
              <w:left w:w="29" w:type="dxa"/>
              <w:bottom w:w="0" w:type="dxa"/>
              <w:right w:w="29" w:type="dxa"/>
            </w:tcMar>
            <w:vAlign w:val="center"/>
          </w:tcPr>
          <w:p w14:paraId="1B6B06F7" w14:textId="77777777" w:rsidR="007B6848" w:rsidRPr="008467B6" w:rsidRDefault="007B6848" w:rsidP="004B3F76">
            <w:pPr>
              <w:keepNext/>
              <w:spacing w:before="0"/>
              <w:jc w:val="center"/>
              <w:rPr>
                <w:rFonts w:eastAsia="Arial Unicode MS"/>
                <w:bCs/>
                <w:iCs/>
                <w:sz w:val="18"/>
                <w:szCs w:val="26"/>
              </w:rPr>
            </w:pPr>
            <w:r w:rsidRPr="008467B6">
              <w:rPr>
                <w:sz w:val="18"/>
              </w:rPr>
              <w:t>9</w:t>
            </w:r>
          </w:p>
        </w:tc>
      </w:tr>
      <w:tr w:rsidR="007B6848" w:rsidRPr="008467B6" w14:paraId="68DABAEE" w14:textId="77777777" w:rsidTr="004B3F76">
        <w:trPr>
          <w:trHeight w:val="255"/>
          <w:jc w:val="center"/>
        </w:trPr>
        <w:tc>
          <w:tcPr>
            <w:tcW w:w="2128" w:type="pct"/>
            <w:noWrap/>
            <w:tcMar>
              <w:top w:w="9" w:type="dxa"/>
              <w:left w:w="29" w:type="dxa"/>
              <w:bottom w:w="0" w:type="dxa"/>
              <w:right w:w="29" w:type="dxa"/>
            </w:tcMar>
            <w:vAlign w:val="center"/>
          </w:tcPr>
          <w:p w14:paraId="6433B7DC" w14:textId="77777777" w:rsidR="007B6848" w:rsidRPr="008467B6" w:rsidRDefault="007B6848" w:rsidP="004B3F76">
            <w:pPr>
              <w:keepNext/>
              <w:spacing w:before="0"/>
              <w:jc w:val="center"/>
              <w:rPr>
                <w:bCs/>
                <w:sz w:val="18"/>
              </w:rPr>
            </w:pPr>
            <w:r w:rsidRPr="008467B6">
              <w:rPr>
                <w:sz w:val="18"/>
              </w:rPr>
              <w:t>transfer_characteristics</w:t>
            </w:r>
          </w:p>
        </w:tc>
        <w:tc>
          <w:tcPr>
            <w:tcW w:w="1426" w:type="pct"/>
            <w:tcMar>
              <w:left w:w="29" w:type="dxa"/>
              <w:right w:w="29" w:type="dxa"/>
            </w:tcMar>
            <w:vAlign w:val="center"/>
          </w:tcPr>
          <w:p w14:paraId="2F2166D6"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2F72F982"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16</w:t>
            </w:r>
          </w:p>
        </w:tc>
      </w:tr>
      <w:tr w:rsidR="007B6848" w:rsidRPr="008467B6" w14:paraId="69F62D0A" w14:textId="77777777" w:rsidTr="004B3F76">
        <w:trPr>
          <w:trHeight w:val="255"/>
          <w:jc w:val="center"/>
        </w:trPr>
        <w:tc>
          <w:tcPr>
            <w:tcW w:w="2128" w:type="pct"/>
            <w:noWrap/>
            <w:tcMar>
              <w:top w:w="9" w:type="dxa"/>
              <w:left w:w="29" w:type="dxa"/>
              <w:bottom w:w="0" w:type="dxa"/>
              <w:right w:w="29" w:type="dxa"/>
            </w:tcMar>
            <w:vAlign w:val="center"/>
          </w:tcPr>
          <w:p w14:paraId="2A4219F9" w14:textId="77777777" w:rsidR="007B6848" w:rsidRPr="008467B6" w:rsidRDefault="007B6848" w:rsidP="004B3F76">
            <w:pPr>
              <w:keepNext/>
              <w:spacing w:before="0"/>
              <w:jc w:val="center"/>
              <w:rPr>
                <w:rFonts w:eastAsia="?l?r ??’c"/>
                <w:sz w:val="18"/>
              </w:rPr>
            </w:pPr>
            <w:r w:rsidRPr="008467B6">
              <w:rPr>
                <w:sz w:val="18"/>
              </w:rPr>
              <w:t>matrix_coeffs</w:t>
            </w:r>
          </w:p>
        </w:tc>
        <w:tc>
          <w:tcPr>
            <w:tcW w:w="1426" w:type="pct"/>
            <w:tcMar>
              <w:left w:w="29" w:type="dxa"/>
              <w:right w:w="29" w:type="dxa"/>
            </w:tcMar>
            <w:vAlign w:val="center"/>
          </w:tcPr>
          <w:p w14:paraId="44EB334F"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0E1C2CFA" w14:textId="77777777" w:rsidR="007B6848" w:rsidRPr="008467B6" w:rsidDel="00B84102"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14</w:t>
            </w:r>
          </w:p>
        </w:tc>
      </w:tr>
      <w:tr w:rsidR="007B6848" w:rsidRPr="008467B6" w14:paraId="0FBDDDF5" w14:textId="77777777" w:rsidTr="004B3F76">
        <w:trPr>
          <w:trHeight w:val="255"/>
          <w:jc w:val="center"/>
        </w:trPr>
        <w:tc>
          <w:tcPr>
            <w:tcW w:w="2128" w:type="pct"/>
            <w:noWrap/>
            <w:tcMar>
              <w:top w:w="9" w:type="dxa"/>
              <w:left w:w="29" w:type="dxa"/>
              <w:bottom w:w="0" w:type="dxa"/>
              <w:right w:w="29" w:type="dxa"/>
            </w:tcMar>
            <w:vAlign w:val="center"/>
          </w:tcPr>
          <w:p w14:paraId="242AB7A5"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chroma_loc_info_present_flag</w:t>
            </w:r>
          </w:p>
        </w:tc>
        <w:tc>
          <w:tcPr>
            <w:tcW w:w="1426" w:type="pct"/>
            <w:tcMar>
              <w:left w:w="29" w:type="dxa"/>
              <w:right w:w="29" w:type="dxa"/>
            </w:tcMar>
            <w:vAlign w:val="center"/>
          </w:tcPr>
          <w:p w14:paraId="15D3F4B5"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7F5F8D54"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5A8A2B3B" w14:textId="77777777" w:rsidTr="004B3F76">
        <w:trPr>
          <w:trHeight w:val="255"/>
          <w:jc w:val="center"/>
        </w:trPr>
        <w:tc>
          <w:tcPr>
            <w:tcW w:w="2128" w:type="pct"/>
            <w:noWrap/>
            <w:tcMar>
              <w:top w:w="9" w:type="dxa"/>
              <w:left w:w="29" w:type="dxa"/>
              <w:bottom w:w="0" w:type="dxa"/>
              <w:right w:w="29" w:type="dxa"/>
            </w:tcMar>
            <w:vAlign w:val="center"/>
          </w:tcPr>
          <w:p w14:paraId="01F8BF06" w14:textId="77777777" w:rsidR="007B6848" w:rsidRPr="008467B6" w:rsidRDefault="007B6848" w:rsidP="004B3F76">
            <w:pPr>
              <w:keepNext/>
              <w:spacing w:before="0"/>
              <w:jc w:val="center"/>
              <w:rPr>
                <w:sz w:val="18"/>
              </w:rPr>
            </w:pPr>
            <w:r w:rsidRPr="008467B6">
              <w:rPr>
                <w:sz w:val="18"/>
              </w:rPr>
              <w:t>chroma_sample_loc_type_top_field</w:t>
            </w:r>
          </w:p>
        </w:tc>
        <w:tc>
          <w:tcPr>
            <w:tcW w:w="1426" w:type="pct"/>
            <w:tcMar>
              <w:left w:w="29" w:type="dxa"/>
              <w:right w:w="29" w:type="dxa"/>
            </w:tcMar>
            <w:vAlign w:val="center"/>
          </w:tcPr>
          <w:p w14:paraId="3EC4F371"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24BBFA9D"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2</w:t>
            </w:r>
          </w:p>
        </w:tc>
      </w:tr>
      <w:tr w:rsidR="007B6848" w:rsidRPr="008467B6" w14:paraId="4D8A3366" w14:textId="77777777" w:rsidTr="004B3F76">
        <w:trPr>
          <w:trHeight w:val="255"/>
          <w:jc w:val="center"/>
        </w:trPr>
        <w:tc>
          <w:tcPr>
            <w:tcW w:w="2128" w:type="pct"/>
            <w:noWrap/>
            <w:tcMar>
              <w:top w:w="9" w:type="dxa"/>
              <w:left w:w="29" w:type="dxa"/>
              <w:bottom w:w="0" w:type="dxa"/>
              <w:right w:w="29" w:type="dxa"/>
            </w:tcMar>
            <w:vAlign w:val="center"/>
          </w:tcPr>
          <w:p w14:paraId="01A95A3E" w14:textId="77777777" w:rsidR="007B6848" w:rsidRPr="008467B6" w:rsidRDefault="007B6848" w:rsidP="004B3F76">
            <w:pPr>
              <w:keepNext/>
              <w:spacing w:before="0"/>
              <w:jc w:val="center"/>
              <w:rPr>
                <w:sz w:val="18"/>
              </w:rPr>
            </w:pPr>
            <w:r w:rsidRPr="008467B6">
              <w:rPr>
                <w:sz w:val="18"/>
              </w:rPr>
              <w:t>chroma_sample_loc_type_bottom_field</w:t>
            </w:r>
          </w:p>
        </w:tc>
        <w:tc>
          <w:tcPr>
            <w:tcW w:w="1426" w:type="pct"/>
            <w:tcMar>
              <w:left w:w="29" w:type="dxa"/>
              <w:right w:w="29" w:type="dxa"/>
            </w:tcMar>
            <w:vAlign w:val="center"/>
          </w:tcPr>
          <w:p w14:paraId="58F7ADE6"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1446" w:type="pct"/>
            <w:noWrap/>
            <w:tcMar>
              <w:top w:w="9" w:type="dxa"/>
              <w:left w:w="29" w:type="dxa"/>
              <w:bottom w:w="0" w:type="dxa"/>
              <w:right w:w="29" w:type="dxa"/>
            </w:tcMar>
            <w:vAlign w:val="center"/>
          </w:tcPr>
          <w:p w14:paraId="30D7454C"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2</w:t>
            </w:r>
          </w:p>
        </w:tc>
      </w:tr>
    </w:tbl>
    <w:p w14:paraId="49E2B223" w14:textId="77777777" w:rsidR="007B6848" w:rsidRPr="008467B6" w:rsidRDefault="007B6848" w:rsidP="007B6848">
      <w:pPr>
        <w:rPr>
          <w:b/>
          <w:bCs/>
        </w:rPr>
      </w:pPr>
      <w:r w:rsidRPr="008467B6">
        <w:t>For HDR/WCG content represented with the colour primaries of Rec. ITU-R BT.2020, Rec. ITU-R BT.2100 PQ transfer function and IC</w:t>
      </w:r>
      <w:r w:rsidRPr="008467B6">
        <w:rPr>
          <w:vertAlign w:val="subscript"/>
        </w:rPr>
        <w:t>T</w:t>
      </w:r>
      <w:r w:rsidRPr="008467B6">
        <w:t>C</w:t>
      </w:r>
      <w:r w:rsidRPr="008467B6">
        <w:rPr>
          <w:vertAlign w:val="subscript"/>
        </w:rPr>
        <w:t>P</w:t>
      </w:r>
      <w:r w:rsidRPr="008467B6">
        <w:t xml:space="preserve"> color representation, the video characteristics is typically different compared to the video characteristics of SDR content represented with Rec. ITU-R BT.709 colour primaries and Rec. ITU-R BT.709 OETF (Rec. ITU-R BT.1886 EOTF) transfer function. </w:t>
      </w:r>
      <w:r>
        <w:t xml:space="preserve">Chroma QP adjustment, as described in sub-clause </w:t>
      </w:r>
      <w:r>
        <w:fldChar w:fldCharType="begin"/>
      </w:r>
      <w:r>
        <w:instrText xml:space="preserve"> REF _Ref466536472 \r \h </w:instrText>
      </w:r>
      <w:r>
        <w:fldChar w:fldCharType="separate"/>
      </w:r>
      <w:r>
        <w:t>6.3.2.1</w:t>
      </w:r>
      <w:r>
        <w:fldChar w:fldCharType="end"/>
      </w:r>
      <w:r>
        <w:t xml:space="preserve"> can be performed by adjusting and controlling the H</w:t>
      </w:r>
      <w:r w:rsidRPr="00123D62">
        <w:t xml:space="preserve">EVC </w:t>
      </w:r>
      <w:r w:rsidRPr="007C37A2">
        <w:t xml:space="preserve">syntax elements </w:t>
      </w:r>
      <w:r w:rsidRPr="001A5B18">
        <w:rPr>
          <w:lang w:eastAsia="ko-KR"/>
        </w:rPr>
        <w:t>pps_cb_qp_offset, slice_cb_qp_offset, pps_cr_</w:t>
      </w:r>
      <w:r w:rsidRPr="006036B2">
        <w:rPr>
          <w:lang w:eastAsia="ko-KR"/>
        </w:rPr>
        <w:t>qp_offset and slice_cr_qp_offse</w:t>
      </w:r>
      <w:r>
        <w:rPr>
          <w:lang w:eastAsia="ko-KR"/>
        </w:rPr>
        <w:t>t. Similarly, perceptual luma quantization as discussed in sub-clause</w:t>
      </w:r>
      <w:r>
        <w:t xml:space="preserve"> </w:t>
      </w:r>
      <w:r>
        <w:fldChar w:fldCharType="begin"/>
      </w:r>
      <w:r>
        <w:instrText xml:space="preserve"> REF _Ref466536472 \r \h </w:instrText>
      </w:r>
      <w:r>
        <w:fldChar w:fldCharType="separate"/>
      </w:r>
      <w:r>
        <w:t>6.3.2.1</w:t>
      </w:r>
      <w:r>
        <w:fldChar w:fldCharType="end"/>
      </w:r>
      <w:r w:rsidRPr="00127BBE">
        <w:t xml:space="preserve"> </w:t>
      </w:r>
      <w:r>
        <w:t xml:space="preserve">could be achieved by adjusting </w:t>
      </w:r>
      <w:r w:rsidRPr="008D4437">
        <w:rPr>
          <w:lang w:eastAsia="ko-KR"/>
        </w:rPr>
        <w:t>the syntax elements cu_qp_delta_abs and cu_qp_delta_sign_flag</w:t>
      </w:r>
      <w:r w:rsidRPr="008467B6">
        <w:rPr>
          <w:lang w:eastAsia="ko-KR"/>
        </w:rPr>
        <w:t>.</w:t>
      </w:r>
    </w:p>
    <w:p w14:paraId="18D8B9A4" w14:textId="77777777" w:rsidR="007B6848" w:rsidRPr="008467B6" w:rsidRDefault="007B6848" w:rsidP="007B6848">
      <w:pPr>
        <w:pStyle w:val="Heading4"/>
      </w:pPr>
      <w:r w:rsidRPr="008467B6">
        <w:t>AVC encoding</w:t>
      </w:r>
    </w:p>
    <w:p w14:paraId="4D5682A6" w14:textId="77777777" w:rsidR="007B6848" w:rsidRPr="008467B6" w:rsidRDefault="007B6848" w:rsidP="007B6848">
      <w:r w:rsidRPr="008467B6">
        <w:t xml:space="preserve">When creating the AVC bitstream it is recommended to set syntax elements to the values listed in </w:t>
      </w:r>
      <w:r>
        <w:fldChar w:fldCharType="begin"/>
      </w:r>
      <w:r>
        <w:instrText xml:space="preserve"> REF _Ref466898003 \h </w:instrText>
      </w:r>
      <w:r>
        <w:fldChar w:fldCharType="separate"/>
      </w:r>
      <w:r w:rsidRPr="008467B6">
        <w:rPr>
          <w:lang w:val="en-US"/>
        </w:rPr>
        <w:t xml:space="preserve">Table </w:t>
      </w:r>
      <w:r>
        <w:rPr>
          <w:noProof/>
          <w:lang w:val="en-US"/>
        </w:rPr>
        <w:t>6</w:t>
      </w:r>
      <w:r w:rsidRPr="008467B6">
        <w:rPr>
          <w:lang w:val="en-US"/>
        </w:rPr>
        <w:noBreakHyphen/>
      </w:r>
      <w:r>
        <w:rPr>
          <w:noProof/>
          <w:lang w:val="en-US"/>
        </w:rPr>
        <w:t>4</w:t>
      </w:r>
      <w:r>
        <w:fldChar w:fldCharType="end"/>
      </w:r>
      <w:r>
        <w:t xml:space="preserve"> </w:t>
      </w:r>
      <w:r w:rsidRPr="008467B6">
        <w:t xml:space="preserve">in the SPS of the bitstream. The syntax elements in </w:t>
      </w:r>
      <w:r>
        <w:fldChar w:fldCharType="begin"/>
      </w:r>
      <w:r>
        <w:instrText xml:space="preserve"> REF _Ref466898003 \h </w:instrText>
      </w:r>
      <w:r>
        <w:fldChar w:fldCharType="separate"/>
      </w:r>
      <w:r w:rsidRPr="008467B6">
        <w:rPr>
          <w:lang w:val="en-US"/>
        </w:rPr>
        <w:t xml:space="preserve">Table </w:t>
      </w:r>
      <w:r>
        <w:rPr>
          <w:noProof/>
          <w:lang w:val="en-US"/>
        </w:rPr>
        <w:t>6</w:t>
      </w:r>
      <w:r w:rsidRPr="008467B6">
        <w:rPr>
          <w:lang w:val="en-US"/>
        </w:rPr>
        <w:noBreakHyphen/>
      </w:r>
      <w:r>
        <w:rPr>
          <w:noProof/>
          <w:lang w:val="en-US"/>
        </w:rPr>
        <w:t>4</w:t>
      </w:r>
      <w:r>
        <w:fldChar w:fldCharType="end"/>
      </w:r>
      <w:r>
        <w:t xml:space="preserve"> </w:t>
      </w:r>
      <w:r w:rsidRPr="008467B6">
        <w:t>are conveyed in the Video Usability Information syntax branch of the SPS defined in Annex E of the AVC specification. They may also be duplicated and carried in various application-layer headers.</w:t>
      </w:r>
      <w:bookmarkStart w:id="144" w:name="_Ref464593291"/>
    </w:p>
    <w:p w14:paraId="0ADEEB61" w14:textId="77777777" w:rsidR="007B6848" w:rsidRPr="008467B6" w:rsidRDefault="007B6848" w:rsidP="007B6848">
      <w:pPr>
        <w:rPr>
          <w:rFonts w:eastAsia="SimSun"/>
          <w:b/>
          <w:bCs/>
        </w:rPr>
      </w:pPr>
      <w:bookmarkStart w:id="145" w:name="_Ref466538903"/>
    </w:p>
    <w:p w14:paraId="24F8B03F" w14:textId="77777777" w:rsidR="007B6848" w:rsidRPr="008467B6" w:rsidRDefault="007B6848" w:rsidP="007B6848">
      <w:pPr>
        <w:pStyle w:val="Caption"/>
        <w:rPr>
          <w:lang w:val="en-US"/>
        </w:rPr>
      </w:pPr>
      <w:bookmarkStart w:id="146" w:name="_Ref466898003"/>
      <w:r w:rsidRPr="008467B6">
        <w:rPr>
          <w:lang w:val="en-US"/>
        </w:rPr>
        <w:t xml:space="preserve">Table </w:t>
      </w:r>
      <w:r w:rsidRPr="00980878">
        <w:rPr>
          <w:lang w:val="en-US"/>
        </w:rPr>
        <w:fldChar w:fldCharType="begin"/>
      </w:r>
      <w:r w:rsidRPr="008467B6">
        <w:rPr>
          <w:lang w:val="en-US"/>
        </w:rPr>
        <w:instrText xml:space="preserve"> STYLEREF 1 \s </w:instrText>
      </w:r>
      <w:r w:rsidRPr="00980878">
        <w:rPr>
          <w:lang w:val="en-US"/>
        </w:rPr>
        <w:fldChar w:fldCharType="separate"/>
      </w:r>
      <w:r>
        <w:rPr>
          <w:noProof/>
          <w:lang w:val="en-US"/>
        </w:rPr>
        <w:t>6</w:t>
      </w:r>
      <w:r w:rsidRPr="00980878">
        <w:rPr>
          <w:lang w:val="en-US"/>
        </w:rPr>
        <w:fldChar w:fldCharType="end"/>
      </w:r>
      <w:r w:rsidRPr="008467B6">
        <w:rPr>
          <w:lang w:val="en-US"/>
        </w:rPr>
        <w:noBreakHyphen/>
      </w:r>
      <w:r w:rsidRPr="00980878">
        <w:rPr>
          <w:lang w:val="en-US"/>
        </w:rPr>
        <w:fldChar w:fldCharType="begin"/>
      </w:r>
      <w:r w:rsidRPr="008467B6">
        <w:rPr>
          <w:lang w:val="en-US"/>
        </w:rPr>
        <w:instrText xml:space="preserve"> SEQ Table \* ARABIC \s 1 </w:instrText>
      </w:r>
      <w:r w:rsidRPr="00980878">
        <w:rPr>
          <w:lang w:val="en-US"/>
        </w:rPr>
        <w:fldChar w:fldCharType="separate"/>
      </w:r>
      <w:r>
        <w:rPr>
          <w:noProof/>
          <w:lang w:val="en-US"/>
        </w:rPr>
        <w:t>4</w:t>
      </w:r>
      <w:r w:rsidRPr="00980878">
        <w:rPr>
          <w:lang w:val="en-US"/>
        </w:rPr>
        <w:fldChar w:fldCharType="end"/>
      </w:r>
      <w:bookmarkEnd w:id="144"/>
      <w:bookmarkEnd w:id="145"/>
      <w:bookmarkEnd w:id="146"/>
      <w:r w:rsidRPr="008467B6">
        <w:rPr>
          <w:lang w:val="en-US"/>
        </w:rPr>
        <w:t xml:space="preserve"> – </w:t>
      </w:r>
      <w:r w:rsidRPr="008467B6">
        <w:rPr>
          <w:szCs w:val="20"/>
          <w:lang w:val="en-US"/>
        </w:rPr>
        <w:t>Recommended settings for AVC encoding</w:t>
      </w:r>
      <w:r w:rsidRPr="008467B6">
        <w:rPr>
          <w:lang w:val="en-US"/>
        </w:rPr>
        <w:t>.</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44"/>
        <w:gridCol w:w="2097"/>
        <w:gridCol w:w="1286"/>
      </w:tblGrid>
      <w:tr w:rsidR="007B6848" w:rsidRPr="008467B6" w14:paraId="62FA87AD" w14:textId="77777777" w:rsidTr="004B3F76">
        <w:trPr>
          <w:trHeight w:val="255"/>
          <w:jc w:val="center"/>
        </w:trPr>
        <w:tc>
          <w:tcPr>
            <w:tcW w:w="2408" w:type="pct"/>
            <w:noWrap/>
            <w:tcMar>
              <w:top w:w="9" w:type="dxa"/>
              <w:left w:w="29" w:type="dxa"/>
              <w:bottom w:w="0" w:type="dxa"/>
              <w:right w:w="29" w:type="dxa"/>
            </w:tcMar>
            <w:vAlign w:val="center"/>
          </w:tcPr>
          <w:p w14:paraId="738E29B7" w14:textId="77777777" w:rsidR="007B6848" w:rsidRPr="008467B6" w:rsidRDefault="007B6848" w:rsidP="004B3F76">
            <w:pPr>
              <w:keepNext/>
              <w:spacing w:before="0"/>
              <w:jc w:val="center"/>
              <w:rPr>
                <w:rFonts w:eastAsia="Arial Unicode MS"/>
                <w:b/>
                <w:sz w:val="18"/>
              </w:rPr>
            </w:pPr>
            <w:r w:rsidRPr="008467B6">
              <w:rPr>
                <w:b/>
                <w:sz w:val="18"/>
              </w:rPr>
              <w:lastRenderedPageBreak/>
              <w:t>Syntax element</w:t>
            </w:r>
          </w:p>
        </w:tc>
        <w:tc>
          <w:tcPr>
            <w:tcW w:w="1606" w:type="pct"/>
            <w:tcMar>
              <w:left w:w="29" w:type="dxa"/>
              <w:right w:w="29" w:type="dxa"/>
            </w:tcMar>
            <w:vAlign w:val="center"/>
          </w:tcPr>
          <w:p w14:paraId="2FE3409A" w14:textId="77777777" w:rsidR="007B6848" w:rsidRPr="008467B6" w:rsidRDefault="007B6848" w:rsidP="004B3F76">
            <w:pPr>
              <w:keepNext/>
              <w:spacing w:before="0"/>
              <w:jc w:val="center"/>
              <w:rPr>
                <w:b/>
                <w:sz w:val="18"/>
              </w:rPr>
            </w:pPr>
            <w:r w:rsidRPr="008467B6">
              <w:rPr>
                <w:b/>
                <w:sz w:val="18"/>
              </w:rPr>
              <w:t>Location</w:t>
            </w:r>
          </w:p>
        </w:tc>
        <w:tc>
          <w:tcPr>
            <w:tcW w:w="985" w:type="pct"/>
            <w:noWrap/>
            <w:tcMar>
              <w:top w:w="9" w:type="dxa"/>
              <w:left w:w="29" w:type="dxa"/>
              <w:bottom w:w="0" w:type="dxa"/>
              <w:right w:w="29" w:type="dxa"/>
            </w:tcMar>
            <w:vAlign w:val="center"/>
          </w:tcPr>
          <w:p w14:paraId="3C3215CF" w14:textId="77777777" w:rsidR="007B6848" w:rsidRPr="008467B6" w:rsidRDefault="007B6848" w:rsidP="004B3F76">
            <w:pPr>
              <w:keepNext/>
              <w:spacing w:before="0"/>
              <w:jc w:val="center"/>
              <w:rPr>
                <w:b/>
                <w:sz w:val="18"/>
              </w:rPr>
            </w:pPr>
            <w:r w:rsidRPr="008467B6">
              <w:rPr>
                <w:b/>
                <w:sz w:val="18"/>
              </w:rPr>
              <w:t>Recommended</w:t>
            </w:r>
          </w:p>
          <w:p w14:paraId="687B7313" w14:textId="77777777" w:rsidR="007B6848" w:rsidRPr="008467B6" w:rsidRDefault="007B6848" w:rsidP="004B3F76">
            <w:pPr>
              <w:keepNext/>
              <w:spacing w:before="0"/>
              <w:jc w:val="center"/>
              <w:rPr>
                <w:rFonts w:eastAsia="Arial Unicode MS"/>
                <w:b/>
                <w:bCs/>
                <w:iCs/>
                <w:sz w:val="18"/>
                <w:szCs w:val="26"/>
              </w:rPr>
            </w:pPr>
            <w:r w:rsidRPr="008467B6">
              <w:rPr>
                <w:b/>
                <w:sz w:val="18"/>
              </w:rPr>
              <w:t>value</w:t>
            </w:r>
          </w:p>
        </w:tc>
      </w:tr>
      <w:tr w:rsidR="007B6848" w:rsidRPr="008467B6" w14:paraId="6D699F72" w14:textId="77777777" w:rsidTr="004B3F76">
        <w:trPr>
          <w:trHeight w:val="255"/>
          <w:jc w:val="center"/>
        </w:trPr>
        <w:tc>
          <w:tcPr>
            <w:tcW w:w="2408" w:type="pct"/>
            <w:noWrap/>
            <w:tcMar>
              <w:top w:w="9" w:type="dxa"/>
              <w:left w:w="29" w:type="dxa"/>
              <w:bottom w:w="0" w:type="dxa"/>
              <w:right w:w="29" w:type="dxa"/>
            </w:tcMar>
            <w:vAlign w:val="center"/>
          </w:tcPr>
          <w:p w14:paraId="4033E7A4"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profile_idc</w:t>
            </w:r>
          </w:p>
        </w:tc>
        <w:tc>
          <w:tcPr>
            <w:tcW w:w="1606" w:type="pct"/>
            <w:tcMar>
              <w:left w:w="29" w:type="dxa"/>
              <w:right w:w="29" w:type="dxa"/>
            </w:tcMar>
            <w:vAlign w:val="center"/>
          </w:tcPr>
          <w:p w14:paraId="224A58B8"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seq_parameter_set_data( )</w:t>
            </w:r>
          </w:p>
        </w:tc>
        <w:tc>
          <w:tcPr>
            <w:tcW w:w="985" w:type="pct"/>
            <w:noWrap/>
            <w:tcMar>
              <w:top w:w="9" w:type="dxa"/>
              <w:left w:w="29" w:type="dxa"/>
              <w:bottom w:w="0" w:type="dxa"/>
              <w:right w:w="29" w:type="dxa"/>
            </w:tcMar>
            <w:vAlign w:val="center"/>
          </w:tcPr>
          <w:p w14:paraId="193A5207"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110</w:t>
            </w:r>
          </w:p>
        </w:tc>
      </w:tr>
      <w:tr w:rsidR="007B6848" w:rsidRPr="008467B6" w14:paraId="0CD69B77" w14:textId="77777777" w:rsidTr="004B3F76">
        <w:trPr>
          <w:trHeight w:val="255"/>
          <w:jc w:val="center"/>
        </w:trPr>
        <w:tc>
          <w:tcPr>
            <w:tcW w:w="2408" w:type="pct"/>
            <w:noWrap/>
            <w:tcMar>
              <w:top w:w="9" w:type="dxa"/>
              <w:left w:w="29" w:type="dxa"/>
              <w:bottom w:w="0" w:type="dxa"/>
              <w:right w:w="29" w:type="dxa"/>
            </w:tcMar>
            <w:vAlign w:val="center"/>
          </w:tcPr>
          <w:p w14:paraId="0816CE81" w14:textId="77777777" w:rsidR="007B6848" w:rsidRPr="008467B6" w:rsidRDefault="007B6848" w:rsidP="004B3F76">
            <w:pPr>
              <w:keepNext/>
              <w:spacing w:before="0"/>
              <w:jc w:val="center"/>
              <w:rPr>
                <w:bCs/>
                <w:sz w:val="18"/>
              </w:rPr>
            </w:pPr>
            <w:r w:rsidRPr="008467B6">
              <w:rPr>
                <w:bCs/>
                <w:sz w:val="18"/>
              </w:rPr>
              <w:t>vui_parameters_present_flag</w:t>
            </w:r>
          </w:p>
        </w:tc>
        <w:tc>
          <w:tcPr>
            <w:tcW w:w="1606" w:type="pct"/>
            <w:tcMar>
              <w:left w:w="29" w:type="dxa"/>
              <w:right w:w="29" w:type="dxa"/>
            </w:tcMar>
            <w:vAlign w:val="center"/>
          </w:tcPr>
          <w:p w14:paraId="6DFCE887"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seq_parameter_set_data( )</w:t>
            </w:r>
          </w:p>
        </w:tc>
        <w:tc>
          <w:tcPr>
            <w:tcW w:w="985" w:type="pct"/>
            <w:noWrap/>
            <w:tcMar>
              <w:top w:w="9" w:type="dxa"/>
              <w:left w:w="29" w:type="dxa"/>
              <w:bottom w:w="0" w:type="dxa"/>
              <w:right w:w="29" w:type="dxa"/>
            </w:tcMar>
            <w:vAlign w:val="center"/>
          </w:tcPr>
          <w:p w14:paraId="1A716FB1"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25A6327D" w14:textId="77777777" w:rsidTr="004B3F76">
        <w:trPr>
          <w:trHeight w:val="255"/>
          <w:jc w:val="center"/>
        </w:trPr>
        <w:tc>
          <w:tcPr>
            <w:tcW w:w="2408" w:type="pct"/>
            <w:noWrap/>
            <w:tcMar>
              <w:top w:w="9" w:type="dxa"/>
              <w:left w:w="29" w:type="dxa"/>
              <w:bottom w:w="0" w:type="dxa"/>
              <w:right w:w="29" w:type="dxa"/>
            </w:tcMar>
            <w:vAlign w:val="center"/>
          </w:tcPr>
          <w:p w14:paraId="2016E69F" w14:textId="77777777" w:rsidR="007B6848" w:rsidRPr="008467B6" w:rsidRDefault="007B6848" w:rsidP="004B3F76">
            <w:pPr>
              <w:keepNext/>
              <w:spacing w:before="0"/>
              <w:jc w:val="center"/>
              <w:rPr>
                <w:bCs/>
                <w:sz w:val="18"/>
              </w:rPr>
            </w:pPr>
            <w:r w:rsidRPr="008467B6">
              <w:rPr>
                <w:bCs/>
                <w:sz w:val="18"/>
              </w:rPr>
              <w:t>video_signal_type_present_flag</w:t>
            </w:r>
          </w:p>
        </w:tc>
        <w:tc>
          <w:tcPr>
            <w:tcW w:w="1606" w:type="pct"/>
            <w:tcMar>
              <w:left w:w="29" w:type="dxa"/>
              <w:right w:w="29" w:type="dxa"/>
            </w:tcMar>
            <w:vAlign w:val="center"/>
          </w:tcPr>
          <w:p w14:paraId="299A12B1"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16CBDB3B"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391305D3" w14:textId="77777777" w:rsidTr="004B3F76">
        <w:trPr>
          <w:trHeight w:val="255"/>
          <w:jc w:val="center"/>
        </w:trPr>
        <w:tc>
          <w:tcPr>
            <w:tcW w:w="2408" w:type="pct"/>
            <w:noWrap/>
            <w:tcMar>
              <w:top w:w="9" w:type="dxa"/>
              <w:left w:w="29" w:type="dxa"/>
              <w:bottom w:w="0" w:type="dxa"/>
              <w:right w:w="29" w:type="dxa"/>
            </w:tcMar>
            <w:vAlign w:val="center"/>
          </w:tcPr>
          <w:p w14:paraId="73EBA6E5" w14:textId="77777777" w:rsidR="007B6848" w:rsidRPr="008467B6" w:rsidRDefault="007B6848" w:rsidP="004B3F76">
            <w:pPr>
              <w:keepNext/>
              <w:spacing w:before="0"/>
              <w:jc w:val="center"/>
              <w:rPr>
                <w:sz w:val="18"/>
              </w:rPr>
            </w:pPr>
            <w:r w:rsidRPr="008467B6">
              <w:rPr>
                <w:bCs/>
                <w:sz w:val="18"/>
              </w:rPr>
              <w:t>video_full_range_flag</w:t>
            </w:r>
          </w:p>
        </w:tc>
        <w:tc>
          <w:tcPr>
            <w:tcW w:w="1606" w:type="pct"/>
            <w:tcMar>
              <w:left w:w="29" w:type="dxa"/>
              <w:right w:w="29" w:type="dxa"/>
            </w:tcMar>
            <w:vAlign w:val="center"/>
          </w:tcPr>
          <w:p w14:paraId="326E95F4"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577B87BB"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0</w:t>
            </w:r>
          </w:p>
        </w:tc>
      </w:tr>
      <w:tr w:rsidR="007B6848" w:rsidRPr="008467B6" w14:paraId="79CB588D" w14:textId="77777777" w:rsidTr="004B3F76">
        <w:trPr>
          <w:trHeight w:val="255"/>
          <w:jc w:val="center"/>
        </w:trPr>
        <w:tc>
          <w:tcPr>
            <w:tcW w:w="2408" w:type="pct"/>
            <w:noWrap/>
            <w:tcMar>
              <w:top w:w="9" w:type="dxa"/>
              <w:left w:w="29" w:type="dxa"/>
              <w:bottom w:w="0" w:type="dxa"/>
              <w:right w:w="29" w:type="dxa"/>
            </w:tcMar>
            <w:vAlign w:val="center"/>
          </w:tcPr>
          <w:p w14:paraId="29D330EB" w14:textId="77777777" w:rsidR="007B6848" w:rsidRPr="008467B6" w:rsidRDefault="007B6848" w:rsidP="004B3F76">
            <w:pPr>
              <w:keepNext/>
              <w:spacing w:before="0"/>
              <w:jc w:val="center"/>
              <w:rPr>
                <w:sz w:val="18"/>
              </w:rPr>
            </w:pPr>
            <w:r w:rsidRPr="008467B6">
              <w:rPr>
                <w:sz w:val="18"/>
              </w:rPr>
              <w:t>colour_description_present_flag</w:t>
            </w:r>
          </w:p>
        </w:tc>
        <w:tc>
          <w:tcPr>
            <w:tcW w:w="1606" w:type="pct"/>
            <w:tcMar>
              <w:left w:w="29" w:type="dxa"/>
              <w:right w:w="29" w:type="dxa"/>
            </w:tcMar>
            <w:vAlign w:val="center"/>
          </w:tcPr>
          <w:p w14:paraId="260862DE" w14:textId="77777777" w:rsidR="007B6848" w:rsidRPr="00980878" w:rsidRDefault="007B6848" w:rsidP="004B3F76">
            <w:pPr>
              <w:keepNext/>
              <w:spacing w:before="0"/>
              <w:jc w:val="center"/>
              <w:rPr>
                <w:sz w:val="18"/>
              </w:rPr>
            </w:pPr>
            <w:r w:rsidRPr="00980878">
              <w:rPr>
                <w:sz w:val="18"/>
              </w:rPr>
              <w:t>vui_parameters( )</w:t>
            </w:r>
          </w:p>
        </w:tc>
        <w:tc>
          <w:tcPr>
            <w:tcW w:w="985" w:type="pct"/>
            <w:noWrap/>
            <w:tcMar>
              <w:top w:w="9" w:type="dxa"/>
              <w:left w:w="29" w:type="dxa"/>
              <w:bottom w:w="0" w:type="dxa"/>
              <w:right w:w="29" w:type="dxa"/>
            </w:tcMar>
            <w:vAlign w:val="center"/>
          </w:tcPr>
          <w:p w14:paraId="2AC59AAB" w14:textId="77777777" w:rsidR="007B6848" w:rsidRPr="008467B6" w:rsidRDefault="007B6848" w:rsidP="004B3F76">
            <w:pPr>
              <w:keepNext/>
              <w:spacing w:before="0"/>
              <w:jc w:val="center"/>
              <w:rPr>
                <w:sz w:val="18"/>
              </w:rPr>
            </w:pPr>
            <w:r w:rsidRPr="008467B6">
              <w:rPr>
                <w:sz w:val="18"/>
              </w:rPr>
              <w:t>1</w:t>
            </w:r>
          </w:p>
        </w:tc>
      </w:tr>
      <w:tr w:rsidR="007B6848" w:rsidRPr="008467B6" w14:paraId="2B23F202" w14:textId="77777777" w:rsidTr="004B3F76">
        <w:trPr>
          <w:trHeight w:val="255"/>
          <w:jc w:val="center"/>
        </w:trPr>
        <w:tc>
          <w:tcPr>
            <w:tcW w:w="2408" w:type="pct"/>
            <w:noWrap/>
            <w:tcMar>
              <w:top w:w="9" w:type="dxa"/>
              <w:left w:w="29" w:type="dxa"/>
              <w:bottom w:w="0" w:type="dxa"/>
              <w:right w:w="29" w:type="dxa"/>
            </w:tcMar>
            <w:vAlign w:val="center"/>
          </w:tcPr>
          <w:p w14:paraId="09110F8A" w14:textId="77777777" w:rsidR="007B6848" w:rsidRPr="008467B6" w:rsidRDefault="007B6848" w:rsidP="004B3F76">
            <w:pPr>
              <w:keepNext/>
              <w:spacing w:before="0"/>
              <w:jc w:val="center"/>
              <w:rPr>
                <w:rFonts w:eastAsia="Arial Unicode MS"/>
                <w:sz w:val="18"/>
              </w:rPr>
            </w:pPr>
            <w:r w:rsidRPr="008467B6">
              <w:rPr>
                <w:sz w:val="18"/>
              </w:rPr>
              <w:t>colour_primaries</w:t>
            </w:r>
          </w:p>
        </w:tc>
        <w:tc>
          <w:tcPr>
            <w:tcW w:w="1606" w:type="pct"/>
            <w:tcMar>
              <w:left w:w="29" w:type="dxa"/>
              <w:right w:w="29" w:type="dxa"/>
            </w:tcMar>
            <w:vAlign w:val="center"/>
          </w:tcPr>
          <w:p w14:paraId="6E8DCD6A" w14:textId="77777777" w:rsidR="007B6848" w:rsidRPr="008467B6" w:rsidRDefault="007B6848" w:rsidP="004B3F76">
            <w:pPr>
              <w:keepNext/>
              <w:spacing w:before="0"/>
              <w:jc w:val="center"/>
              <w:rPr>
                <w:sz w:val="18"/>
              </w:rPr>
            </w:pPr>
            <w:r w:rsidRPr="00980878">
              <w:rPr>
                <w:sz w:val="18"/>
              </w:rPr>
              <w:t>vui_parameters( )</w:t>
            </w:r>
          </w:p>
        </w:tc>
        <w:tc>
          <w:tcPr>
            <w:tcW w:w="985" w:type="pct"/>
            <w:noWrap/>
            <w:tcMar>
              <w:top w:w="9" w:type="dxa"/>
              <w:left w:w="29" w:type="dxa"/>
              <w:bottom w:w="0" w:type="dxa"/>
              <w:right w:w="29" w:type="dxa"/>
            </w:tcMar>
            <w:vAlign w:val="center"/>
          </w:tcPr>
          <w:p w14:paraId="510E42C2" w14:textId="77777777" w:rsidR="007B6848" w:rsidRPr="008467B6" w:rsidRDefault="007B6848" w:rsidP="004B3F76">
            <w:pPr>
              <w:keepNext/>
              <w:spacing w:before="0"/>
              <w:jc w:val="center"/>
              <w:rPr>
                <w:rFonts w:eastAsia="Arial Unicode MS"/>
                <w:bCs/>
                <w:iCs/>
                <w:sz w:val="18"/>
                <w:szCs w:val="26"/>
              </w:rPr>
            </w:pPr>
            <w:r w:rsidRPr="008467B6">
              <w:rPr>
                <w:sz w:val="18"/>
              </w:rPr>
              <w:t>9</w:t>
            </w:r>
          </w:p>
        </w:tc>
      </w:tr>
      <w:tr w:rsidR="007B6848" w:rsidRPr="008467B6" w14:paraId="5EF12B63" w14:textId="77777777" w:rsidTr="004B3F76">
        <w:trPr>
          <w:trHeight w:val="255"/>
          <w:jc w:val="center"/>
        </w:trPr>
        <w:tc>
          <w:tcPr>
            <w:tcW w:w="2408" w:type="pct"/>
            <w:noWrap/>
            <w:tcMar>
              <w:top w:w="9" w:type="dxa"/>
              <w:left w:w="29" w:type="dxa"/>
              <w:bottom w:w="0" w:type="dxa"/>
              <w:right w:w="29" w:type="dxa"/>
            </w:tcMar>
            <w:vAlign w:val="center"/>
          </w:tcPr>
          <w:p w14:paraId="1D07EEED" w14:textId="77777777" w:rsidR="007B6848" w:rsidRPr="008467B6" w:rsidRDefault="007B6848" w:rsidP="004B3F76">
            <w:pPr>
              <w:keepNext/>
              <w:spacing w:before="0"/>
              <w:jc w:val="center"/>
              <w:rPr>
                <w:bCs/>
                <w:sz w:val="18"/>
              </w:rPr>
            </w:pPr>
            <w:r w:rsidRPr="008467B6">
              <w:rPr>
                <w:sz w:val="18"/>
              </w:rPr>
              <w:t>transfer_characteristics</w:t>
            </w:r>
          </w:p>
        </w:tc>
        <w:tc>
          <w:tcPr>
            <w:tcW w:w="1606" w:type="pct"/>
            <w:tcMar>
              <w:left w:w="29" w:type="dxa"/>
              <w:right w:w="29" w:type="dxa"/>
            </w:tcMar>
            <w:vAlign w:val="center"/>
          </w:tcPr>
          <w:p w14:paraId="5465B66A"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5D13E2D0"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16</w:t>
            </w:r>
          </w:p>
        </w:tc>
      </w:tr>
      <w:tr w:rsidR="007B6848" w:rsidRPr="008467B6" w14:paraId="13B7FDD4" w14:textId="77777777" w:rsidTr="004B3F76">
        <w:trPr>
          <w:trHeight w:val="255"/>
          <w:jc w:val="center"/>
        </w:trPr>
        <w:tc>
          <w:tcPr>
            <w:tcW w:w="2408" w:type="pct"/>
            <w:noWrap/>
            <w:tcMar>
              <w:top w:w="9" w:type="dxa"/>
              <w:left w:w="29" w:type="dxa"/>
              <w:bottom w:w="0" w:type="dxa"/>
              <w:right w:w="29" w:type="dxa"/>
            </w:tcMar>
            <w:vAlign w:val="center"/>
          </w:tcPr>
          <w:p w14:paraId="651A6F65" w14:textId="77777777" w:rsidR="007B6848" w:rsidRPr="008467B6" w:rsidRDefault="007B6848" w:rsidP="004B3F76">
            <w:pPr>
              <w:keepNext/>
              <w:spacing w:before="0"/>
              <w:jc w:val="center"/>
              <w:rPr>
                <w:rFonts w:eastAsia="?l?r ??’c"/>
                <w:sz w:val="18"/>
              </w:rPr>
            </w:pPr>
            <w:r w:rsidRPr="008467B6">
              <w:rPr>
                <w:sz w:val="18"/>
              </w:rPr>
              <w:t>matrix_coefficients</w:t>
            </w:r>
          </w:p>
        </w:tc>
        <w:tc>
          <w:tcPr>
            <w:tcW w:w="1606" w:type="pct"/>
            <w:tcMar>
              <w:left w:w="29" w:type="dxa"/>
              <w:right w:w="29" w:type="dxa"/>
            </w:tcMar>
            <w:vAlign w:val="center"/>
          </w:tcPr>
          <w:p w14:paraId="42306E40"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5702710E" w14:textId="77777777" w:rsidR="007B6848" w:rsidRPr="008467B6" w:rsidDel="00B84102"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14</w:t>
            </w:r>
          </w:p>
        </w:tc>
      </w:tr>
      <w:tr w:rsidR="007B6848" w:rsidRPr="008467B6" w14:paraId="340D0BDB" w14:textId="77777777" w:rsidTr="004B3F76">
        <w:trPr>
          <w:trHeight w:val="255"/>
          <w:jc w:val="center"/>
        </w:trPr>
        <w:tc>
          <w:tcPr>
            <w:tcW w:w="2408" w:type="pct"/>
            <w:noWrap/>
            <w:tcMar>
              <w:top w:w="9" w:type="dxa"/>
              <w:left w:w="29" w:type="dxa"/>
              <w:bottom w:w="0" w:type="dxa"/>
              <w:right w:w="29" w:type="dxa"/>
            </w:tcMar>
            <w:vAlign w:val="center"/>
          </w:tcPr>
          <w:p w14:paraId="14917C65" w14:textId="77777777" w:rsidR="007B6848" w:rsidRPr="008467B6" w:rsidRDefault="007B6848" w:rsidP="004B3F76">
            <w:pPr>
              <w:keepNext/>
              <w:spacing w:before="0"/>
              <w:jc w:val="center"/>
              <w:rPr>
                <w:sz w:val="18"/>
              </w:rPr>
            </w:pPr>
            <w:r w:rsidRPr="008467B6">
              <w:rPr>
                <w:sz w:val="18"/>
              </w:rPr>
              <w:t>chroma_loc_info_present_flag</w:t>
            </w:r>
          </w:p>
        </w:tc>
        <w:tc>
          <w:tcPr>
            <w:tcW w:w="1606" w:type="pct"/>
            <w:tcMar>
              <w:left w:w="29" w:type="dxa"/>
              <w:right w:w="29" w:type="dxa"/>
            </w:tcMar>
            <w:vAlign w:val="center"/>
          </w:tcPr>
          <w:p w14:paraId="2C5DE205" w14:textId="77777777" w:rsidR="007B6848" w:rsidRPr="00980878"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28B49D8E"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1</w:t>
            </w:r>
          </w:p>
        </w:tc>
      </w:tr>
      <w:tr w:rsidR="007B6848" w:rsidRPr="008467B6" w14:paraId="16F16E16" w14:textId="77777777" w:rsidTr="004B3F76">
        <w:trPr>
          <w:trHeight w:val="255"/>
          <w:jc w:val="center"/>
        </w:trPr>
        <w:tc>
          <w:tcPr>
            <w:tcW w:w="2408" w:type="pct"/>
            <w:noWrap/>
            <w:tcMar>
              <w:top w:w="9" w:type="dxa"/>
              <w:left w:w="29" w:type="dxa"/>
              <w:bottom w:w="0" w:type="dxa"/>
              <w:right w:w="29" w:type="dxa"/>
            </w:tcMar>
            <w:vAlign w:val="center"/>
          </w:tcPr>
          <w:p w14:paraId="738C9E08" w14:textId="77777777" w:rsidR="007B6848" w:rsidRPr="008467B6" w:rsidRDefault="007B6848" w:rsidP="004B3F76">
            <w:pPr>
              <w:keepNext/>
              <w:spacing w:before="0"/>
              <w:jc w:val="center"/>
              <w:rPr>
                <w:sz w:val="18"/>
              </w:rPr>
            </w:pPr>
            <w:r w:rsidRPr="008467B6">
              <w:rPr>
                <w:sz w:val="18"/>
              </w:rPr>
              <w:t>chroma_sample_loc_type_top_field</w:t>
            </w:r>
          </w:p>
        </w:tc>
        <w:tc>
          <w:tcPr>
            <w:tcW w:w="1606" w:type="pct"/>
            <w:tcMar>
              <w:left w:w="29" w:type="dxa"/>
              <w:right w:w="29" w:type="dxa"/>
            </w:tcMar>
            <w:vAlign w:val="center"/>
          </w:tcPr>
          <w:p w14:paraId="74979210"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75CB6513"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2</w:t>
            </w:r>
          </w:p>
        </w:tc>
      </w:tr>
      <w:tr w:rsidR="007B6848" w:rsidRPr="008467B6" w14:paraId="374897F1" w14:textId="77777777" w:rsidTr="004B3F76">
        <w:trPr>
          <w:trHeight w:val="255"/>
          <w:jc w:val="center"/>
        </w:trPr>
        <w:tc>
          <w:tcPr>
            <w:tcW w:w="2408" w:type="pct"/>
            <w:noWrap/>
            <w:tcMar>
              <w:top w:w="9" w:type="dxa"/>
              <w:left w:w="29" w:type="dxa"/>
              <w:bottom w:w="0" w:type="dxa"/>
              <w:right w:w="29" w:type="dxa"/>
            </w:tcMar>
            <w:vAlign w:val="center"/>
          </w:tcPr>
          <w:p w14:paraId="4718EFEC" w14:textId="77777777" w:rsidR="007B6848" w:rsidRPr="008467B6" w:rsidRDefault="007B6848" w:rsidP="004B3F76">
            <w:pPr>
              <w:keepNext/>
              <w:spacing w:before="0"/>
              <w:jc w:val="center"/>
              <w:rPr>
                <w:sz w:val="18"/>
              </w:rPr>
            </w:pPr>
            <w:r w:rsidRPr="008467B6">
              <w:rPr>
                <w:sz w:val="18"/>
              </w:rPr>
              <w:t>chroma_sample_loc_type_bottom_field</w:t>
            </w:r>
          </w:p>
        </w:tc>
        <w:tc>
          <w:tcPr>
            <w:tcW w:w="1606" w:type="pct"/>
            <w:tcMar>
              <w:left w:w="29" w:type="dxa"/>
              <w:right w:w="29" w:type="dxa"/>
            </w:tcMar>
            <w:vAlign w:val="center"/>
          </w:tcPr>
          <w:p w14:paraId="22B917D6"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980878">
              <w:rPr>
                <w:sz w:val="18"/>
              </w:rPr>
              <w:t>vui_parameters( )</w:t>
            </w:r>
          </w:p>
        </w:tc>
        <w:tc>
          <w:tcPr>
            <w:tcW w:w="985" w:type="pct"/>
            <w:noWrap/>
            <w:tcMar>
              <w:top w:w="9" w:type="dxa"/>
              <w:left w:w="29" w:type="dxa"/>
              <w:bottom w:w="0" w:type="dxa"/>
              <w:right w:w="29" w:type="dxa"/>
            </w:tcMar>
            <w:vAlign w:val="center"/>
          </w:tcPr>
          <w:p w14:paraId="31D4442F" w14:textId="77777777" w:rsidR="007B6848" w:rsidRPr="008467B6" w:rsidRDefault="007B6848" w:rsidP="004B3F76">
            <w:pPr>
              <w:keepNext/>
              <w:tabs>
                <w:tab w:val="left" w:pos="1800"/>
                <w:tab w:val="left" w:pos="2160"/>
                <w:tab w:val="left" w:pos="2520"/>
                <w:tab w:val="left" w:pos="2880"/>
              </w:tabs>
              <w:spacing w:before="0" w:after="60"/>
              <w:jc w:val="center"/>
              <w:outlineLvl w:val="8"/>
              <w:rPr>
                <w:sz w:val="18"/>
              </w:rPr>
            </w:pPr>
            <w:r w:rsidRPr="008467B6">
              <w:rPr>
                <w:sz w:val="18"/>
              </w:rPr>
              <w:t>2</w:t>
            </w:r>
          </w:p>
        </w:tc>
      </w:tr>
    </w:tbl>
    <w:p w14:paraId="76F9BC5C" w14:textId="77777777" w:rsidR="007B6848" w:rsidRPr="008467B6" w:rsidRDefault="007B6848" w:rsidP="007B6848">
      <w:r w:rsidRPr="008467B6">
        <w:t>For HDR/WCG content represented with the colour primaries of Rec. ITU-R BT.2020, Rec. ITU-R BT.2100 PQ transfer function and IC</w:t>
      </w:r>
      <w:r w:rsidRPr="008467B6">
        <w:rPr>
          <w:vertAlign w:val="subscript"/>
        </w:rPr>
        <w:t>T</w:t>
      </w:r>
      <w:r w:rsidRPr="008467B6">
        <w:t>C</w:t>
      </w:r>
      <w:r w:rsidRPr="008467B6">
        <w:rPr>
          <w:vertAlign w:val="subscript"/>
        </w:rPr>
        <w:t>P</w:t>
      </w:r>
      <w:r w:rsidRPr="008467B6">
        <w:t xml:space="preserve"> color representation, the video characteristics is typically different compared to the video characteristics of SDR content represented with Rec. ITU-R BT.709 colour primaries and Rec. ITU-R BT.709 transfer function. </w:t>
      </w:r>
      <w:r>
        <w:t xml:space="preserve">Chroma QP adjustment, as described in sub-clause </w:t>
      </w:r>
      <w:r>
        <w:fldChar w:fldCharType="begin"/>
      </w:r>
      <w:r>
        <w:instrText xml:space="preserve"> REF _Ref466536472 \r \h </w:instrText>
      </w:r>
      <w:r>
        <w:fldChar w:fldCharType="separate"/>
      </w:r>
      <w:r>
        <w:t>6.3.2.1</w:t>
      </w:r>
      <w:r>
        <w:fldChar w:fldCharType="end"/>
      </w:r>
      <w:r>
        <w:t xml:space="preserve"> can be performed by adjusting and controlling AVC</w:t>
      </w:r>
      <w:r w:rsidRPr="00123D62">
        <w:t xml:space="preserve"> </w:t>
      </w:r>
      <w:r w:rsidRPr="007C37A2">
        <w:t xml:space="preserve">syntax elements </w:t>
      </w:r>
      <w:r w:rsidRPr="00123D62">
        <w:rPr>
          <w:lang w:eastAsia="ko-KR"/>
        </w:rPr>
        <w:t>chroma_qp_index_off</w:t>
      </w:r>
      <w:r w:rsidRPr="007C37A2">
        <w:rPr>
          <w:lang w:eastAsia="ko-KR"/>
        </w:rPr>
        <w:t xml:space="preserve">set and </w:t>
      </w:r>
      <w:r w:rsidRPr="001A5B18">
        <w:rPr>
          <w:bCs/>
        </w:rPr>
        <w:t>second_chroma_qp_index_offset</w:t>
      </w:r>
      <w:r>
        <w:rPr>
          <w:lang w:eastAsia="ko-KR"/>
        </w:rPr>
        <w:t>. Similarly, perceptual luma quantization as discussed in sub-clause</w:t>
      </w:r>
      <w:r>
        <w:t xml:space="preserve"> </w:t>
      </w:r>
      <w:r>
        <w:fldChar w:fldCharType="begin"/>
      </w:r>
      <w:r>
        <w:instrText xml:space="preserve"> REF _Ref466536472 \r \h </w:instrText>
      </w:r>
      <w:r>
        <w:fldChar w:fldCharType="separate"/>
      </w:r>
      <w:r>
        <w:t>6.3.2.1</w:t>
      </w:r>
      <w:r>
        <w:fldChar w:fldCharType="end"/>
      </w:r>
      <w:r w:rsidRPr="00127BBE">
        <w:t xml:space="preserve"> </w:t>
      </w:r>
      <w:r>
        <w:t xml:space="preserve">could be achieved by adjusting </w:t>
      </w:r>
      <w:r w:rsidRPr="008D4437">
        <w:rPr>
          <w:lang w:eastAsia="ko-KR"/>
        </w:rPr>
        <w:t>the syntax element</w:t>
      </w:r>
      <w:r>
        <w:rPr>
          <w:lang w:eastAsia="ko-KR"/>
        </w:rPr>
        <w:t xml:space="preserve"> </w:t>
      </w:r>
      <w:r w:rsidRPr="008D4437">
        <w:rPr>
          <w:lang w:eastAsia="ko-KR"/>
        </w:rPr>
        <w:t>mb_qp_delta</w:t>
      </w:r>
      <w:r w:rsidRPr="008467B6">
        <w:rPr>
          <w:lang w:eastAsia="ko-KR"/>
        </w:rPr>
        <w:t>.</w:t>
      </w:r>
    </w:p>
    <w:p w14:paraId="65BBFE05" w14:textId="77777777" w:rsidR="007B6848" w:rsidRPr="008467B6" w:rsidRDefault="007B6848" w:rsidP="007B6848">
      <w:pPr>
        <w:pStyle w:val="Heading3"/>
      </w:pPr>
      <w:bookmarkStart w:id="147" w:name="_Ref464737512"/>
      <w:bookmarkStart w:id="148" w:name="_Toc467226103"/>
      <w:r w:rsidRPr="008467B6">
        <w:t>Decoding process</w:t>
      </w:r>
      <w:bookmarkEnd w:id="147"/>
      <w:bookmarkEnd w:id="148"/>
    </w:p>
    <w:p w14:paraId="780CF588" w14:textId="77777777" w:rsidR="007B6848" w:rsidRPr="008467B6" w:rsidRDefault="007B6848" w:rsidP="007B6848">
      <w:r w:rsidRPr="008467B6">
        <w:t>When the bitstream is an HEVC bitstream</w:t>
      </w:r>
      <w:r>
        <w:t>,</w:t>
      </w:r>
      <w:r w:rsidRPr="008467B6">
        <w:t xml:space="preserve"> the decoding process as in the HEVC specification </w:t>
      </w:r>
      <w:r>
        <w:fldChar w:fldCharType="begin"/>
      </w:r>
      <w:r>
        <w:instrText xml:space="preserve"> REF _Ref324152123 \r \h </w:instrText>
      </w:r>
      <w:r>
        <w:fldChar w:fldCharType="separate"/>
      </w:r>
      <w:r>
        <w:t>[4]</w:t>
      </w:r>
      <w:r>
        <w:fldChar w:fldCharType="end"/>
      </w:r>
      <w:r w:rsidRPr="008467B6">
        <w:fldChar w:fldCharType="begin"/>
      </w:r>
      <w:r w:rsidRPr="008467B6">
        <w:instrText xml:space="preserve"> REF _Ref464312482 \r \h </w:instrText>
      </w:r>
      <w:r w:rsidRPr="008467B6">
        <w:fldChar w:fldCharType="separate"/>
      </w:r>
      <w:r>
        <w:t>[5]</w:t>
      </w:r>
      <w:r w:rsidRPr="008467B6">
        <w:fldChar w:fldCharType="end"/>
      </w:r>
      <w:r w:rsidRPr="008467B6">
        <w:t xml:space="preserve"> is performed. </w:t>
      </w:r>
    </w:p>
    <w:p w14:paraId="24345BF1" w14:textId="77777777" w:rsidR="007B6848" w:rsidRPr="00980878" w:rsidRDefault="007B6848" w:rsidP="007B6848">
      <w:r w:rsidRPr="008467B6">
        <w:t>When the bitstream is an AVC bitstream</w:t>
      </w:r>
      <w:r>
        <w:t>,</w:t>
      </w:r>
      <w:r w:rsidRPr="008467B6">
        <w:t xml:space="preserve"> the decoding process in the AVC specification</w:t>
      </w:r>
      <w:r>
        <w:t xml:space="preserve"> </w:t>
      </w:r>
      <w:r>
        <w:fldChar w:fldCharType="begin"/>
      </w:r>
      <w:r>
        <w:instrText xml:space="preserve"> REF _Ref467236857 \r \h </w:instrText>
      </w:r>
      <w:r>
        <w:fldChar w:fldCharType="separate"/>
      </w:r>
      <w:r>
        <w:t>[6]</w:t>
      </w:r>
      <w:r>
        <w:fldChar w:fldCharType="end"/>
      </w:r>
      <w:r>
        <w:fldChar w:fldCharType="begin"/>
      </w:r>
      <w:r>
        <w:instrText xml:space="preserve"> REF _Ref467236864 \r \h </w:instrText>
      </w:r>
      <w:r>
        <w:fldChar w:fldCharType="separate"/>
      </w:r>
      <w:r>
        <w:t>[7]</w:t>
      </w:r>
      <w:r>
        <w:fldChar w:fldCharType="end"/>
      </w:r>
      <w:r w:rsidRPr="008467B6">
        <w:t xml:space="preserve"> is performed. </w:t>
      </w:r>
    </w:p>
    <w:p w14:paraId="07B7F802" w14:textId="77777777" w:rsidR="007B6848" w:rsidRPr="00980878" w:rsidRDefault="007B6848" w:rsidP="007B6848">
      <w:pPr>
        <w:spacing w:before="60"/>
        <w:ind w:left="360"/>
      </w:pPr>
      <w:r w:rsidRPr="00980878">
        <w:t>NOTE – The decoding process for HDR/WCG video is not different from the decoding process of SDR video.</w:t>
      </w:r>
    </w:p>
    <w:p w14:paraId="37B214D5" w14:textId="77777777" w:rsidR="007B6848" w:rsidRPr="008467B6" w:rsidRDefault="007B6848" w:rsidP="007B6848">
      <w:pPr>
        <w:pStyle w:val="Heading3"/>
      </w:pPr>
      <w:bookmarkStart w:id="149" w:name="_Ref464737521"/>
      <w:bookmarkStart w:id="150" w:name="_Toc467226104"/>
      <w:r w:rsidRPr="008467B6">
        <w:t>Post-decoding process</w:t>
      </w:r>
      <w:bookmarkEnd w:id="149"/>
      <w:bookmarkEnd w:id="150"/>
    </w:p>
    <w:p w14:paraId="45D5FA62" w14:textId="77777777" w:rsidR="007B6848" w:rsidRPr="008467B6" w:rsidRDefault="007B6848" w:rsidP="007B6848">
      <w:pPr>
        <w:rPr>
          <w:lang w:eastAsia="ko-KR"/>
        </w:rPr>
      </w:pPr>
      <w:r w:rsidRPr="008467B6">
        <w:rPr>
          <w:lang w:eastAsia="ko-KR"/>
        </w:rPr>
        <w:t>The post-decoding stage includes the following components:</w:t>
      </w:r>
    </w:p>
    <w:p w14:paraId="3CF3549F" w14:textId="77777777" w:rsidR="007B6848" w:rsidRPr="008467B6" w:rsidRDefault="007B6848" w:rsidP="007B6848">
      <w:pPr>
        <w:pStyle w:val="ListParagraph"/>
        <w:numPr>
          <w:ilvl w:val="0"/>
          <w:numId w:val="8"/>
        </w:numPr>
        <w:rPr>
          <w:lang w:eastAsia="ko-KR"/>
        </w:rPr>
      </w:pPr>
      <w:r w:rsidRPr="008467B6">
        <w:rPr>
          <w:lang w:eastAsia="ko-KR"/>
        </w:rPr>
        <w:t xml:space="preserve">a chroma up-conversion component that converts data from 4:2:0 to 4:4:4, </w:t>
      </w:r>
      <w:r w:rsidRPr="008467B6">
        <w:t xml:space="preserve">following the same process described in sub-clause </w:t>
      </w:r>
      <w:r>
        <w:t>9.1.2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lang w:eastAsia="ko-KR"/>
        </w:rPr>
        <w:t>,</w:t>
      </w:r>
    </w:p>
    <w:p w14:paraId="5E023B7D" w14:textId="77777777" w:rsidR="007B6848" w:rsidRPr="008467B6" w:rsidRDefault="007B6848" w:rsidP="007B6848">
      <w:pPr>
        <w:pStyle w:val="ListParagraph"/>
        <w:numPr>
          <w:ilvl w:val="0"/>
          <w:numId w:val="8"/>
        </w:numPr>
        <w:rPr>
          <w:lang w:eastAsia="ko-KR"/>
        </w:rPr>
      </w:pPr>
      <w:r w:rsidRPr="008467B6">
        <w:rPr>
          <w:lang w:eastAsia="ko-KR"/>
        </w:rPr>
        <w:t xml:space="preserve">a conversion component that converts a fixed-point representation, i.e. 10 bits, to a floating-point representation, </w:t>
      </w:r>
      <w:r w:rsidRPr="008467B6">
        <w:t xml:space="preserve">following the same process described in sub-clause </w:t>
      </w:r>
      <w:r>
        <w:t>9.1.1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lang w:eastAsia="ko-KR"/>
        </w:rPr>
        <w:t>,</w:t>
      </w:r>
    </w:p>
    <w:p w14:paraId="16B1218D" w14:textId="77777777" w:rsidR="007B6848" w:rsidRPr="008467B6" w:rsidRDefault="007B6848" w:rsidP="007B6848">
      <w:pPr>
        <w:pStyle w:val="ListParagraph"/>
        <w:numPr>
          <w:ilvl w:val="0"/>
          <w:numId w:val="8"/>
        </w:numPr>
        <w:rPr>
          <w:lang w:eastAsia="ko-KR"/>
        </w:rPr>
      </w:pPr>
      <w:r w:rsidRPr="008467B6">
        <w:rPr>
          <w:lang w:eastAsia="ko-KR"/>
        </w:rPr>
        <w:t xml:space="preserve">a colour format conversion component that converts data from the </w:t>
      </w:r>
      <w:r w:rsidRPr="00980878">
        <w:t>IC</w:t>
      </w:r>
      <w:r w:rsidRPr="00980878">
        <w:rPr>
          <w:vertAlign w:val="subscript"/>
        </w:rPr>
        <w:t>T</w:t>
      </w:r>
      <w:r w:rsidRPr="00980878">
        <w:t>C</w:t>
      </w:r>
      <w:r w:rsidRPr="00980878">
        <w:rPr>
          <w:vertAlign w:val="subscript"/>
        </w:rPr>
        <w:t>P</w:t>
      </w:r>
      <w:r w:rsidRPr="008467B6">
        <w:rPr>
          <w:lang w:eastAsia="ko-KR"/>
        </w:rPr>
        <w:t xml:space="preserve"> representation back to the non-</w:t>
      </w:r>
      <w:r w:rsidRPr="008467B6">
        <w:t xml:space="preserve">linear </w:t>
      </w:r>
      <w:r w:rsidRPr="008467B6">
        <w:rPr>
          <w:lang w:eastAsia="ko-KR"/>
        </w:rPr>
        <w:t xml:space="preserve"> L</w:t>
      </w:r>
      <w:r w:rsidRPr="008467B6">
        <w:sym w:font="Symbol" w:char="F0A2"/>
      </w:r>
      <w:r w:rsidRPr="008467B6">
        <w:rPr>
          <w:lang w:eastAsia="ko-KR"/>
        </w:rPr>
        <w:t>M</w:t>
      </w:r>
      <w:r w:rsidRPr="008467B6">
        <w:sym w:font="Symbol" w:char="F0A2"/>
      </w:r>
      <w:r w:rsidRPr="008467B6">
        <w:rPr>
          <w:lang w:eastAsia="ko-KR"/>
        </w:rPr>
        <w:t>S</w:t>
      </w:r>
      <w:r w:rsidRPr="008467B6">
        <w:sym w:font="Symbol" w:char="F0A2"/>
      </w:r>
      <w:r w:rsidRPr="008467B6">
        <w:rPr>
          <w:lang w:eastAsia="ko-KR"/>
        </w:rPr>
        <w:t xml:space="preserve"> representation, described in sub-clause </w:t>
      </w:r>
      <w:r w:rsidRPr="00980878">
        <w:rPr>
          <w:lang w:eastAsia="ko-KR"/>
        </w:rPr>
        <w:fldChar w:fldCharType="begin"/>
      </w:r>
      <w:r w:rsidRPr="008467B6">
        <w:rPr>
          <w:lang w:eastAsia="ko-KR"/>
        </w:rPr>
        <w:instrText xml:space="preserve"> REF _Ref466894775 \r \h </w:instrText>
      </w:r>
      <w:r w:rsidRPr="00980878">
        <w:rPr>
          <w:lang w:eastAsia="ko-KR"/>
        </w:rPr>
      </w:r>
      <w:r w:rsidRPr="00980878">
        <w:rPr>
          <w:lang w:eastAsia="ko-KR"/>
        </w:rPr>
        <w:fldChar w:fldCharType="separate"/>
      </w:r>
      <w:r>
        <w:rPr>
          <w:lang w:eastAsia="ko-KR"/>
        </w:rPr>
        <w:t>6.3.4.1</w:t>
      </w:r>
      <w:r w:rsidRPr="00980878">
        <w:rPr>
          <w:lang w:eastAsia="ko-KR"/>
        </w:rPr>
        <w:fldChar w:fldCharType="end"/>
      </w:r>
      <w:r w:rsidRPr="008467B6">
        <w:rPr>
          <w:lang w:eastAsia="ko-KR"/>
        </w:rPr>
        <w:t xml:space="preserve">, </w:t>
      </w:r>
    </w:p>
    <w:p w14:paraId="2460CA5C" w14:textId="77777777" w:rsidR="007B6848" w:rsidRPr="008467B6" w:rsidRDefault="007B6848" w:rsidP="007B6848">
      <w:pPr>
        <w:pStyle w:val="ListParagraph"/>
        <w:numPr>
          <w:ilvl w:val="0"/>
          <w:numId w:val="8"/>
        </w:numPr>
        <w:rPr>
          <w:lang w:eastAsia="ko-KR"/>
        </w:rPr>
      </w:pPr>
      <w:r w:rsidRPr="008467B6">
        <w:rPr>
          <w:lang w:eastAsia="ko-KR"/>
        </w:rPr>
        <w:t>a conversion component from the non-</w:t>
      </w:r>
      <w:r w:rsidRPr="008467B6">
        <w:t xml:space="preserve">linear </w:t>
      </w:r>
      <w:r w:rsidRPr="008467B6">
        <w:rPr>
          <w:lang w:eastAsia="ko-KR"/>
        </w:rPr>
        <w:t>L</w:t>
      </w:r>
      <w:r w:rsidRPr="008467B6">
        <w:sym w:font="Symbol" w:char="F0A2"/>
      </w:r>
      <w:r w:rsidRPr="008467B6">
        <w:rPr>
          <w:lang w:eastAsia="ko-KR"/>
        </w:rPr>
        <w:t>M</w:t>
      </w:r>
      <w:r w:rsidRPr="008467B6">
        <w:sym w:font="Symbol" w:char="F0A2"/>
      </w:r>
      <w:r w:rsidRPr="008467B6">
        <w:rPr>
          <w:lang w:eastAsia="ko-KR"/>
        </w:rPr>
        <w:t>S</w:t>
      </w:r>
      <w:r w:rsidRPr="008467B6">
        <w:sym w:font="Symbol" w:char="F0A2"/>
      </w:r>
      <w:r w:rsidRPr="008467B6">
        <w:rPr>
          <w:lang w:eastAsia="ko-KR"/>
        </w:rPr>
        <w:t xml:space="preserve"> data representation back to a </w:t>
      </w:r>
      <w:r w:rsidRPr="008467B6">
        <w:t xml:space="preserve">linear </w:t>
      </w:r>
      <w:r w:rsidRPr="008467B6">
        <w:rPr>
          <w:lang w:eastAsia="ko-KR"/>
        </w:rPr>
        <w:t xml:space="preserve">LMS data representation, described in sub-clause </w:t>
      </w:r>
      <w:r w:rsidRPr="00980878">
        <w:rPr>
          <w:lang w:eastAsia="ko-KR"/>
        </w:rPr>
        <w:fldChar w:fldCharType="begin"/>
      </w:r>
      <w:r w:rsidRPr="008467B6">
        <w:rPr>
          <w:lang w:eastAsia="ko-KR"/>
        </w:rPr>
        <w:instrText xml:space="preserve"> REF _Ref466894776 \r \h </w:instrText>
      </w:r>
      <w:r w:rsidRPr="00980878">
        <w:rPr>
          <w:lang w:eastAsia="ko-KR"/>
        </w:rPr>
      </w:r>
      <w:r w:rsidRPr="00980878">
        <w:rPr>
          <w:lang w:eastAsia="ko-KR"/>
        </w:rPr>
        <w:fldChar w:fldCharType="separate"/>
      </w:r>
      <w:r>
        <w:rPr>
          <w:lang w:eastAsia="ko-KR"/>
        </w:rPr>
        <w:t>6.3.4.2</w:t>
      </w:r>
      <w:r w:rsidRPr="00980878">
        <w:rPr>
          <w:lang w:eastAsia="ko-KR"/>
        </w:rPr>
        <w:fldChar w:fldCharType="end"/>
      </w:r>
      <w:r w:rsidRPr="008467B6">
        <w:rPr>
          <w:lang w:eastAsia="ko-KR"/>
        </w:rPr>
        <w:t>,</w:t>
      </w:r>
    </w:p>
    <w:p w14:paraId="303FDE60" w14:textId="77777777" w:rsidR="007B6848" w:rsidRPr="008467B6" w:rsidRDefault="007B6848" w:rsidP="007B6848">
      <w:pPr>
        <w:pStyle w:val="ListParagraph"/>
        <w:numPr>
          <w:ilvl w:val="0"/>
          <w:numId w:val="8"/>
        </w:numPr>
        <w:rPr>
          <w:lang w:eastAsia="ko-KR"/>
        </w:rPr>
      </w:pPr>
      <w:r w:rsidRPr="008467B6">
        <w:rPr>
          <w:lang w:eastAsia="ko-KR"/>
        </w:rPr>
        <w:t xml:space="preserve">a conversion component from a </w:t>
      </w:r>
      <w:r w:rsidRPr="008467B6">
        <w:t xml:space="preserve">linear </w:t>
      </w:r>
      <w:r w:rsidRPr="008467B6">
        <w:rPr>
          <w:lang w:eastAsia="ko-KR"/>
        </w:rPr>
        <w:t xml:space="preserve">LMS data representation to a </w:t>
      </w:r>
      <w:r w:rsidRPr="008467B6">
        <w:t xml:space="preserve">linear </w:t>
      </w:r>
      <w:r w:rsidRPr="008467B6">
        <w:rPr>
          <w:lang w:eastAsia="ko-KR"/>
        </w:rPr>
        <w:t xml:space="preserve">RGB data representation, described in sub-clause </w:t>
      </w:r>
      <w:r w:rsidRPr="00980878">
        <w:rPr>
          <w:lang w:eastAsia="ko-KR"/>
        </w:rPr>
        <w:fldChar w:fldCharType="begin"/>
      </w:r>
      <w:r w:rsidRPr="008467B6">
        <w:rPr>
          <w:lang w:eastAsia="ko-KR"/>
        </w:rPr>
        <w:instrText xml:space="preserve"> REF _Ref466894777 \r \h </w:instrText>
      </w:r>
      <w:r w:rsidRPr="00980878">
        <w:rPr>
          <w:lang w:eastAsia="ko-KR"/>
        </w:rPr>
      </w:r>
      <w:r w:rsidRPr="00980878">
        <w:rPr>
          <w:lang w:eastAsia="ko-KR"/>
        </w:rPr>
        <w:fldChar w:fldCharType="separate"/>
      </w:r>
      <w:r>
        <w:rPr>
          <w:lang w:eastAsia="ko-KR"/>
        </w:rPr>
        <w:t>6.3.4.3</w:t>
      </w:r>
      <w:r w:rsidRPr="00980878">
        <w:rPr>
          <w:lang w:eastAsia="ko-KR"/>
        </w:rPr>
        <w:fldChar w:fldCharType="end"/>
      </w:r>
      <w:r w:rsidRPr="008467B6">
        <w:rPr>
          <w:lang w:eastAsia="ko-KR"/>
        </w:rPr>
        <w:t>.</w:t>
      </w:r>
    </w:p>
    <w:p w14:paraId="1D42D022" w14:textId="77777777" w:rsidR="007B6848" w:rsidRPr="008467B6" w:rsidRDefault="007B6848" w:rsidP="007B6848">
      <w:pPr>
        <w:pStyle w:val="ListParagraph"/>
        <w:rPr>
          <w:lang w:eastAsia="ko-KR"/>
        </w:rPr>
      </w:pPr>
    </w:p>
    <w:p w14:paraId="2737783A" w14:textId="77777777" w:rsidR="007B6848" w:rsidRPr="008467B6" w:rsidRDefault="007B6848" w:rsidP="007B6848">
      <w:pPr>
        <w:pStyle w:val="SPIEbodytext"/>
        <w:jc w:val="center"/>
      </w:pPr>
      <w:r w:rsidRPr="00980878">
        <w:object w:dxaOrig="8550" w:dyaOrig="1180" w14:anchorId="19E4414F">
          <v:shape id="_x0000_i1026" type="#_x0000_t75" style="width:429.5pt;height:60.6pt" o:ole="">
            <v:imagedata r:id="rId21" o:title=""/>
          </v:shape>
          <o:OLEObject Type="Embed" ProgID="Visio.Drawing.11" ShapeID="_x0000_i1026" DrawAspect="Content" ObjectID="_1541247483" r:id="rId22"/>
        </w:object>
      </w:r>
    </w:p>
    <w:p w14:paraId="160C14AD" w14:textId="77777777" w:rsidR="007B6848" w:rsidRPr="008467B6" w:rsidRDefault="007B6848" w:rsidP="007B6848">
      <w:pPr>
        <w:pStyle w:val="Caption"/>
        <w:rPr>
          <w:szCs w:val="20"/>
          <w:lang w:val="en-US"/>
        </w:rPr>
      </w:pPr>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6</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5</w:t>
      </w:r>
      <w:r>
        <w:rPr>
          <w:lang w:val="en-US"/>
        </w:rPr>
        <w:fldChar w:fldCharType="end"/>
      </w:r>
      <w:r w:rsidRPr="008467B6">
        <w:rPr>
          <w:lang w:val="en-US"/>
        </w:rPr>
        <w:t xml:space="preserve"> – </w:t>
      </w:r>
      <w:r w:rsidRPr="00980878">
        <w:rPr>
          <w:lang w:val="en-US"/>
        </w:rPr>
        <w:t>Conventional post-decoding process system diagram.</w:t>
      </w:r>
    </w:p>
    <w:p w14:paraId="6881EEE3" w14:textId="77777777" w:rsidR="007B6848" w:rsidRPr="008467B6" w:rsidRDefault="007B6848" w:rsidP="007B6848">
      <w:pPr>
        <w:pStyle w:val="Heading4"/>
      </w:pPr>
      <w:bookmarkStart w:id="151" w:name="_Ref466894775"/>
      <w:r w:rsidRPr="008467B6">
        <w:t xml:space="preserve">Colour representation conversion: </w:t>
      </w:r>
      <w:r w:rsidRPr="00980878">
        <w:t>IC</w:t>
      </w:r>
      <w:r w:rsidRPr="00980878">
        <w:rPr>
          <w:vertAlign w:val="subscript"/>
        </w:rPr>
        <w:t>T</w:t>
      </w:r>
      <w:r w:rsidRPr="00980878">
        <w:t>C</w:t>
      </w:r>
      <w:r w:rsidRPr="00980878">
        <w:rPr>
          <w:vertAlign w:val="subscript"/>
        </w:rPr>
        <w:t>P</w:t>
      </w:r>
      <w:r w:rsidRPr="008467B6">
        <w:t xml:space="preserve"> to L</w:t>
      </w:r>
      <w:r w:rsidRPr="008467B6">
        <w:sym w:font="Symbol" w:char="F0A2"/>
      </w:r>
      <w:r w:rsidRPr="008467B6">
        <w:t>M</w:t>
      </w:r>
      <w:r w:rsidRPr="008467B6">
        <w:sym w:font="Symbol" w:char="F0A2"/>
      </w:r>
      <w:r w:rsidRPr="008467B6">
        <w:t>S</w:t>
      </w:r>
      <w:r w:rsidRPr="008467B6">
        <w:sym w:font="Symbol" w:char="F0A2"/>
      </w:r>
      <w:bookmarkEnd w:id="151"/>
    </w:p>
    <w:p w14:paraId="5BB66396" w14:textId="77777777" w:rsidR="007B6848" w:rsidRPr="008467B6" w:rsidRDefault="007B6848" w:rsidP="007B6848">
      <w:r w:rsidRPr="008467B6">
        <w:t xml:space="preserve">Conversion from the </w:t>
      </w:r>
      <w:r w:rsidRPr="00980878">
        <w:t>IC</w:t>
      </w:r>
      <w:r w:rsidRPr="00980878">
        <w:rPr>
          <w:vertAlign w:val="subscript"/>
        </w:rPr>
        <w:t>T</w:t>
      </w:r>
      <w:r w:rsidRPr="00980878">
        <w:t>C</w:t>
      </w:r>
      <w:r w:rsidRPr="00980878">
        <w:rPr>
          <w:vertAlign w:val="subscript"/>
        </w:rPr>
        <w:t>P</w:t>
      </w:r>
      <w:r w:rsidRPr="008467B6">
        <w:t xml:space="preserve"> representation back to the L</w:t>
      </w:r>
      <w:r w:rsidRPr="008467B6">
        <w:sym w:font="Symbol" w:char="F0A2"/>
      </w:r>
      <w:r w:rsidRPr="008467B6">
        <w:t>M</w:t>
      </w:r>
      <w:r w:rsidRPr="008467B6">
        <w:sym w:font="Symbol" w:char="F0A2"/>
      </w:r>
      <w:r w:rsidRPr="008467B6">
        <w:t>S</w:t>
      </w:r>
      <w:r w:rsidRPr="008467B6">
        <w:sym w:font="Symbol" w:char="F0A2"/>
      </w:r>
      <w:r w:rsidRPr="008467B6">
        <w:t xml:space="preserve"> representation can be performed using a 3x3 matrix conversion process.</w:t>
      </w:r>
    </w:p>
    <w:p w14:paraId="7F176B9F" w14:textId="77777777" w:rsidR="007B6848" w:rsidRPr="008467B6" w:rsidRDefault="007B6848" w:rsidP="007B6848">
      <w:r w:rsidRPr="008467B6">
        <w:lastRenderedPageBreak/>
        <w:tab/>
      </w:r>
      <m:oMath>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rPr>
                    <m:t>L</m:t>
                  </m:r>
                  <m:r>
                    <m:rPr>
                      <m:sty m:val="p"/>
                    </m:rPr>
                    <w:rPr>
                      <w:rFonts w:ascii="Cambria Math" w:hAnsi="Cambria Math" w:hint="eastAsia"/>
                    </w:rPr>
                    <m:t>'</m:t>
                  </m:r>
                </m:e>
              </m:mr>
              <m:mr>
                <m:e>
                  <m:r>
                    <m:rPr>
                      <m:sty m:val="p"/>
                    </m:rPr>
                    <w:rPr>
                      <w:rFonts w:ascii="Cambria Math" w:hAnsi="Cambria Math"/>
                    </w:rPr>
                    <m:t>M</m:t>
                  </m:r>
                  <m:r>
                    <m:rPr>
                      <m:sty m:val="p"/>
                    </m:rPr>
                    <w:rPr>
                      <w:rFonts w:ascii="Cambria Math" w:hAnsi="Cambria Math" w:hint="eastAsia"/>
                    </w:rPr>
                    <m:t>'</m:t>
                  </m:r>
                </m:e>
              </m:mr>
              <m:mr>
                <m:e>
                  <m:r>
                    <m:rPr>
                      <m:sty m:val="p"/>
                    </m:rPr>
                    <w:rPr>
                      <w:rFonts w:ascii="Cambria Math" w:hAnsi="Cambria Math"/>
                    </w:rPr>
                    <m:t>S</m:t>
                  </m:r>
                  <m:r>
                    <m:rPr>
                      <m:sty m:val="p"/>
                    </m:rPr>
                    <w:rPr>
                      <w:rFonts w:ascii="Cambria Math" w:hAnsi="Cambria Math" w:hint="eastAsia"/>
                    </w:rPr>
                    <m:t>'</m:t>
                  </m:r>
                </m:e>
              </m:mr>
            </m:m>
          </m:e>
        </m:d>
        <m:r>
          <w:rPr>
            <w:rFonts w:ascii="Cambria Math" w:hAnsi="Cambria Math"/>
          </w:rPr>
          <m:t>=</m:t>
        </m:r>
        <m:d>
          <m:dPr>
            <m:begChr m:val="["/>
            <m:endChr m:val="]"/>
            <m:ctrlPr>
              <w:rPr>
                <w:rFonts w:ascii="Cambria Math" w:hAnsi="Cambria Math"/>
                <w:i/>
              </w:rPr>
            </m:ctrlPr>
          </m:dPr>
          <m:e>
            <m:m>
              <m:mPr>
                <m:mcs>
                  <m:mc>
                    <m:mcPr>
                      <m:count m:val="3"/>
                      <m:mcJc m:val="left"/>
                    </m:mcPr>
                  </m:mc>
                </m:mcs>
                <m:ctrlPr>
                  <w:rPr>
                    <w:rFonts w:ascii="Cambria Math" w:hAnsi="Cambria Math"/>
                    <w:i/>
                  </w:rPr>
                </m:ctrlPr>
              </m:mPr>
              <m:mr>
                <m:e>
                  <m:r>
                    <w:rPr>
                      <w:rFonts w:ascii="Cambria Math" w:hAnsi="Cambria Math"/>
                    </w:rPr>
                    <m:t>1</m:t>
                  </m:r>
                </m:e>
                <m:e>
                  <m:r>
                    <m:rPr>
                      <m:sty m:val="p"/>
                    </m:rPr>
                    <w:rPr>
                      <w:rFonts w:ascii="Cambria Math" w:hAnsi="Cambria Math"/>
                    </w:rPr>
                    <m:t>0.008609037037933</m:t>
                  </m:r>
                </m:e>
                <m:e>
                  <m:r>
                    <m:rPr>
                      <m:sty m:val="p"/>
                    </m:rPr>
                    <w:rPr>
                      <w:rFonts w:ascii="Cambria Math" w:hAnsi="Cambria Math"/>
                    </w:rPr>
                    <m:t>0.111029625003026</m:t>
                  </m:r>
                </m:e>
              </m:mr>
              <m:mr>
                <m:e>
                  <m:r>
                    <w:rPr>
                      <w:rFonts w:ascii="Cambria Math" w:hAnsi="Cambria Math"/>
                    </w:rPr>
                    <m:t>1</m:t>
                  </m:r>
                </m:e>
                <m:e>
                  <m:r>
                    <w:rPr>
                      <w:rFonts w:ascii="Cambria Math" w:hAnsi="Cambria Math"/>
                    </w:rPr>
                    <m:t>-</m:t>
                  </m:r>
                  <m:r>
                    <m:rPr>
                      <m:sty m:val="p"/>
                    </m:rPr>
                    <w:rPr>
                      <w:rFonts w:ascii="Cambria Math" w:hAnsi="Cambria Math"/>
                    </w:rPr>
                    <m:t>0.008609037037933</m:t>
                  </m:r>
                </m:e>
                <m:e>
                  <m:r>
                    <w:rPr>
                      <w:rFonts w:ascii="Cambria Math" w:hAnsi="Cambria Math"/>
                    </w:rPr>
                    <m:t>-</m:t>
                  </m:r>
                  <m:r>
                    <m:rPr>
                      <m:sty m:val="p"/>
                    </m:rPr>
                    <w:rPr>
                      <w:rFonts w:ascii="Cambria Math" w:hAnsi="Cambria Math"/>
                    </w:rPr>
                    <m:t>0.111029625003026</m:t>
                  </m:r>
                </m:e>
              </m:mr>
              <m:mr>
                <m:e>
                  <m:r>
                    <w:rPr>
                      <w:rFonts w:ascii="Cambria Math" w:hAnsi="Cambria Math"/>
                    </w:rPr>
                    <m:t>1</m:t>
                  </m:r>
                </m:e>
                <m:e>
                  <m:r>
                    <m:rPr>
                      <m:sty m:val="p"/>
                    </m:rPr>
                    <w:rPr>
                      <w:rFonts w:ascii="Cambria Math" w:hAnsi="Cambria Math"/>
                    </w:rPr>
                    <m:t>0.560031335710679</m:t>
                  </m:r>
                </m:e>
                <m:e>
                  <m:r>
                    <w:rPr>
                      <w:rFonts w:ascii="Cambria Math" w:hAnsi="Cambria Math"/>
                    </w:rPr>
                    <m:t>-</m:t>
                  </m:r>
                  <m:r>
                    <m:rPr>
                      <m:sty m:val="p"/>
                    </m:rPr>
                    <w:rPr>
                      <w:rFonts w:ascii="Cambria Math" w:hAnsi="Cambria Math"/>
                    </w:rPr>
                    <m:t>0.320627174987319</m:t>
                  </m:r>
                </m:e>
              </m:mr>
            </m:m>
          </m:e>
        </m:d>
        <m:d>
          <m:dPr>
            <m:begChr m:val="["/>
            <m:endChr m:val="]"/>
            <m:ctrlPr>
              <w:rPr>
                <w:rFonts w:ascii="Cambria Math" w:hAnsi="Cambria Math"/>
                <w:i/>
              </w:rPr>
            </m:ctrlPr>
          </m:dPr>
          <m:e>
            <m:m>
              <m:mPr>
                <m:mcs>
                  <m:mc>
                    <m:mcPr>
                      <m:count m:val="1"/>
                      <m:mcJc m:val="left"/>
                    </m:mcPr>
                  </m:mc>
                </m:mcs>
                <m:ctrlPr>
                  <w:rPr>
                    <w:rFonts w:ascii="Cambria Math" w:hAnsi="Cambria Math"/>
                  </w:rPr>
                </m:ctrlPr>
              </m:mPr>
              <m:mr>
                <m:e>
                  <m:r>
                    <m:rPr>
                      <m:sty m:val="p"/>
                    </m:rPr>
                    <w:rPr>
                      <w:rFonts w:ascii="Cambria Math" w:hAnsi="Cambria Math"/>
                    </w:rPr>
                    <m:t>I</m:t>
                  </m:r>
                </m:e>
              </m:mr>
              <m:mr>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T</m:t>
                      </m:r>
                    </m:sub>
                  </m:sSub>
                </m:e>
              </m:mr>
              <m:mr>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P</m:t>
                      </m:r>
                    </m:sub>
                  </m:sSub>
                </m:e>
              </m:mr>
            </m:m>
          </m:e>
        </m:d>
      </m:oMath>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23</w:t>
      </w:r>
      <w:r>
        <w:rPr>
          <w:noProof/>
        </w:rPr>
        <w:fldChar w:fldCharType="end"/>
      </w:r>
      <w:r w:rsidRPr="008467B6">
        <w:t>)</w:t>
      </w:r>
    </w:p>
    <w:p w14:paraId="4088B5D0" w14:textId="77777777" w:rsidR="007B6848" w:rsidRPr="008467B6" w:rsidRDefault="007B6848" w:rsidP="007B6848">
      <w:pPr>
        <w:pStyle w:val="Heading4"/>
      </w:pPr>
      <w:bookmarkStart w:id="152" w:name="_Ref466894776"/>
      <w:r w:rsidRPr="008467B6">
        <w:t>Conversion from a non-linear to a linear light representation: L</w:t>
      </w:r>
      <w:r w:rsidRPr="008467B6">
        <w:sym w:font="Symbol" w:char="F0A2"/>
      </w:r>
      <w:r w:rsidRPr="008467B6">
        <w:t>M</w:t>
      </w:r>
      <w:r w:rsidRPr="008467B6">
        <w:sym w:font="Symbol" w:char="F0A2"/>
      </w:r>
      <w:r w:rsidRPr="008467B6">
        <w:t>S</w:t>
      </w:r>
      <w:r w:rsidRPr="008467B6">
        <w:sym w:font="Symbol" w:char="F0A2"/>
      </w:r>
      <w:r w:rsidRPr="008467B6">
        <w:t xml:space="preserve"> to LMS</w:t>
      </w:r>
      <w:bookmarkEnd w:id="152"/>
    </w:p>
    <w:p w14:paraId="57B3BA90"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rsidRPr="008467B6">
        <w:t xml:space="preserve">This </w:t>
      </w:r>
      <w:r>
        <w:t>PQ EOTF (equation (6.7))</w:t>
      </w:r>
      <w:r w:rsidRPr="008467B6">
        <w:t xml:space="preserve"> is applied to all L</w:t>
      </w:r>
      <w:r w:rsidRPr="008467B6">
        <w:sym w:font="Symbol" w:char="F0A2"/>
      </w:r>
      <w:r w:rsidRPr="008467B6">
        <w:t>, M</w:t>
      </w:r>
      <w:r w:rsidRPr="008467B6">
        <w:sym w:font="Symbol" w:char="F0A2"/>
      </w:r>
      <w:r w:rsidRPr="008467B6">
        <w:t>, and S</w:t>
      </w:r>
      <w:r w:rsidRPr="008467B6">
        <w:sym w:font="Symbol" w:char="F0A2"/>
      </w:r>
      <w:r w:rsidRPr="008467B6">
        <w:t xml:space="preserve"> non-linear representations, resulting in their linear light counterparts L, M, and S as follows</w:t>
      </w:r>
      <w:r>
        <w:t>:</w:t>
      </w:r>
    </w:p>
    <w:p w14:paraId="25090386" w14:textId="77777777" w:rsidR="007B6848" w:rsidRPr="008467B6" w:rsidRDefault="007B6848" w:rsidP="007B6848">
      <w:pPr>
        <w:tabs>
          <w:tab w:val="clear" w:pos="792"/>
          <w:tab w:val="clear" w:pos="1195"/>
          <w:tab w:val="clear" w:pos="1584"/>
          <w:tab w:val="clear" w:pos="1987"/>
          <w:tab w:val="left" w:pos="794"/>
          <w:tab w:val="left" w:pos="1191"/>
          <w:tab w:val="left" w:pos="1588"/>
          <w:tab w:val="left" w:pos="1985"/>
        </w:tabs>
      </w:pPr>
      <w:r w:rsidRPr="008467B6">
        <w:tab/>
        <w:t xml:space="preserve">L = </w:t>
      </w:r>
      <w:r>
        <w:t>EO</w:t>
      </w:r>
      <w:r w:rsidRPr="008467B6">
        <w:t>TF</w:t>
      </w:r>
      <w:r w:rsidRPr="001F3EF3">
        <w:rPr>
          <w:vertAlign w:val="subscript"/>
        </w:rPr>
        <w:t>PQ</w:t>
      </w:r>
      <w:r w:rsidRPr="008467B6">
        <w:t>( L</w:t>
      </w:r>
      <w:r w:rsidRPr="008467B6">
        <w:sym w:font="Symbol" w:char="F0A2"/>
      </w:r>
      <w:r w:rsidRPr="008467B6">
        <w:t xml:space="preserve"> )</w:t>
      </w:r>
      <w:r w:rsidRPr="008467B6">
        <w:tab/>
      </w:r>
      <w:r>
        <w:tab/>
      </w:r>
      <w:r w:rsidRPr="008467B6">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24</w:t>
      </w:r>
      <w:r>
        <w:rPr>
          <w:noProof/>
        </w:rPr>
        <w:fldChar w:fldCharType="end"/>
      </w:r>
      <w:r w:rsidRPr="008467B6">
        <w:t>)</w:t>
      </w:r>
    </w:p>
    <w:p w14:paraId="65D90405" w14:textId="77777777" w:rsidR="007B6848" w:rsidRPr="008467B6" w:rsidRDefault="007B6848" w:rsidP="007B6848">
      <w:r w:rsidRPr="008467B6">
        <w:tab/>
        <w:t xml:space="preserve">M = </w:t>
      </w:r>
      <w:r>
        <w:t>EO</w:t>
      </w:r>
      <w:r w:rsidRPr="008467B6">
        <w:t>TF</w:t>
      </w:r>
      <w:r w:rsidRPr="001F3EF3">
        <w:rPr>
          <w:vertAlign w:val="subscript"/>
        </w:rPr>
        <w:t>PQ</w:t>
      </w:r>
      <w:r w:rsidRPr="008467B6">
        <w:t>( M</w:t>
      </w:r>
      <w:r w:rsidRPr="008467B6">
        <w:sym w:font="Symbol" w:char="F0A2"/>
      </w:r>
      <w:r w:rsidRPr="008467B6">
        <w:t xml:space="preserve"> )</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25</w:t>
      </w:r>
      <w:r>
        <w:rPr>
          <w:noProof/>
        </w:rPr>
        <w:fldChar w:fldCharType="end"/>
      </w:r>
      <w:r w:rsidRPr="008467B6">
        <w:t>)</w:t>
      </w:r>
    </w:p>
    <w:p w14:paraId="517C1393" w14:textId="77777777" w:rsidR="007B6848" w:rsidRPr="008467B6" w:rsidRDefault="007B6848" w:rsidP="007B6848">
      <w:r w:rsidRPr="008467B6">
        <w:tab/>
        <w:t xml:space="preserve">S = </w:t>
      </w:r>
      <w:r>
        <w:t>EO</w:t>
      </w:r>
      <w:r w:rsidRPr="008467B6">
        <w:t>TF</w:t>
      </w:r>
      <w:r w:rsidRPr="001F3EF3">
        <w:rPr>
          <w:vertAlign w:val="subscript"/>
        </w:rPr>
        <w:t>PQ</w:t>
      </w:r>
      <w:r w:rsidRPr="008467B6">
        <w:t>( S</w:t>
      </w:r>
      <w:r w:rsidRPr="008467B6">
        <w:sym w:font="Symbol" w:char="F0A2"/>
      </w:r>
      <w:r w:rsidRPr="008467B6">
        <w:t xml:space="preserve"> )</w:t>
      </w:r>
      <w:r w:rsidRPr="008467B6">
        <w:tab/>
      </w:r>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26</w:t>
      </w:r>
      <w:r>
        <w:rPr>
          <w:noProof/>
        </w:rPr>
        <w:fldChar w:fldCharType="end"/>
      </w:r>
      <w:r w:rsidRPr="008467B6">
        <w:t>)</w:t>
      </w:r>
    </w:p>
    <w:p w14:paraId="2007CD7D" w14:textId="77777777" w:rsidR="007B6848" w:rsidRPr="008467B6" w:rsidRDefault="007B6848" w:rsidP="007B6848">
      <w:pPr>
        <w:pStyle w:val="Heading4"/>
      </w:pPr>
      <w:bookmarkStart w:id="153" w:name="_Ref466894777"/>
      <w:r w:rsidRPr="008467B6">
        <w:t>Colour representation conversion: LMS to RGB</w:t>
      </w:r>
      <w:bookmarkEnd w:id="153"/>
    </w:p>
    <w:p w14:paraId="6662FB24" w14:textId="77777777" w:rsidR="007B6848" w:rsidRPr="008467B6" w:rsidRDefault="007B6848" w:rsidP="007B6848">
      <w:r w:rsidRPr="008467B6">
        <w:t xml:space="preserve">Conversion from the </w:t>
      </w:r>
      <w:r w:rsidRPr="00980878">
        <w:t>LMS</w:t>
      </w:r>
      <w:r w:rsidRPr="008467B6">
        <w:t xml:space="preserve"> representation back to the RGB representation can be performed using a 3x3 matrix conversion process, where RGB color primaries are in accordance with Rec. ITU-R BT.2020 and Rec. ITU-R BT.2100 and each component, L, M, S, R, G, and B, is a number between 0.0 (representing no light) and 1.0 (representing 10 000 cd/m</w:t>
      </w:r>
      <w:r w:rsidRPr="008467B6">
        <w:rPr>
          <w:vertAlign w:val="superscript"/>
        </w:rPr>
        <w:t>2</w:t>
      </w:r>
      <w:r w:rsidRPr="008467B6">
        <w:t>).</w:t>
      </w:r>
    </w:p>
    <w:p w14:paraId="7E497FE5"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left"/>
                    </m:mcPr>
                  </m:mc>
                </m:mcs>
                <m:ctrlPr>
                  <w:rPr>
                    <w:rFonts w:ascii="Cambria Math" w:hAnsi="Cambria Math"/>
                  </w:rPr>
                </m:ctrlPr>
              </m:mPr>
              <m:mr>
                <m:e>
                  <m:r>
                    <m:rPr>
                      <m:sty m:val="p"/>
                    </m:rPr>
                    <w:rPr>
                      <w:rFonts w:ascii="Cambria Math" w:hAnsi="Cambria Math"/>
                    </w:rPr>
                    <m:t>R</m:t>
                  </m:r>
                </m:e>
              </m:mr>
              <m:mr>
                <m:e>
                  <m:r>
                    <m:rPr>
                      <m:sty m:val="p"/>
                    </m:rPr>
                    <w:rPr>
                      <w:rFonts w:ascii="Cambria Math" w:hAnsi="Cambria Math"/>
                    </w:rPr>
                    <m:t>G</m:t>
                  </m:r>
                </m:e>
              </m:mr>
              <m:mr>
                <m:e>
                  <m:r>
                    <m:rPr>
                      <m:sty m:val="p"/>
                    </m:rPr>
                    <w:rPr>
                      <w:rFonts w:ascii="Cambria Math" w:hAnsi="Cambria Math"/>
                    </w:rPr>
                    <m:t>B</m:t>
                  </m:r>
                </m:e>
              </m:mr>
            </m:m>
          </m:e>
        </m:d>
        <m:r>
          <w:rPr>
            <w:rFonts w:ascii="Cambria Math" w:hAnsi="Cambria Math"/>
          </w:rPr>
          <m:t>=</m:t>
        </m:r>
        <m:d>
          <m:dPr>
            <m:begChr m:val="["/>
            <m:endChr m:val="]"/>
            <m:ctrlPr>
              <w:rPr>
                <w:rFonts w:ascii="Cambria Math" w:hAnsi="Cambria Math"/>
                <w:i/>
              </w:rPr>
            </m:ctrlPr>
          </m:dPr>
          <m:e>
            <m:m>
              <m:mPr>
                <m:mcs>
                  <m:mc>
                    <m:mcPr>
                      <m:count m:val="3"/>
                      <m:mcJc m:val="left"/>
                    </m:mcPr>
                  </m:mc>
                </m:mcs>
                <m:ctrlPr>
                  <w:rPr>
                    <w:rFonts w:ascii="Cambria Math" w:hAnsi="Cambria Math"/>
                    <w:i/>
                  </w:rPr>
                </m:ctrlPr>
              </m:mPr>
              <m:mr>
                <m:e>
                  <m:r>
                    <m:rPr>
                      <m:sty m:val="p"/>
                    </m:rPr>
                    <w:rPr>
                      <w:rFonts w:ascii="Cambria Math" w:hAnsi="Cambria Math"/>
                    </w:rPr>
                    <m:t>3.436606694333079</m:t>
                  </m:r>
                </m:e>
                <m:e>
                  <m:r>
                    <m:rPr>
                      <m:sty m:val="p"/>
                    </m:rPr>
                    <w:rPr>
                      <w:rFonts w:ascii="Cambria Math" w:hAnsi="Cambria Math"/>
                    </w:rPr>
                    <m:t>-2.506452118656270</m:t>
                  </m:r>
                </m:e>
                <m:e>
                  <m:r>
                    <m:rPr>
                      <m:sty m:val="p"/>
                    </m:rPr>
                    <w:rPr>
                      <w:rFonts w:ascii="Cambria Math" w:hAnsi="Cambria Math"/>
                    </w:rPr>
                    <m:t>0.069845424323191</m:t>
                  </m:r>
                </m:e>
              </m:mr>
              <m:mr>
                <m:e>
                  <m:r>
                    <m:rPr>
                      <m:sty m:val="p"/>
                    </m:rPr>
                    <w:rPr>
                      <w:rFonts w:ascii="Cambria Math" w:hAnsi="Cambria Math"/>
                    </w:rPr>
                    <m:t>-0.791329555598929</m:t>
                  </m:r>
                </m:e>
                <m:e>
                  <m:r>
                    <m:rPr>
                      <m:sty m:val="p"/>
                    </m:rPr>
                    <w:rPr>
                      <w:rFonts w:ascii="Cambria Math" w:hAnsi="Cambria Math"/>
                    </w:rPr>
                    <m:t>1.983600451792291</m:t>
                  </m:r>
                </m:e>
                <m:e>
                  <m:r>
                    <w:rPr>
                      <w:rFonts w:ascii="Cambria Math" w:hAnsi="Cambria Math"/>
                    </w:rPr>
                    <m:t>-</m:t>
                  </m:r>
                  <m:r>
                    <m:rPr>
                      <m:sty m:val="p"/>
                    </m:rPr>
                    <w:rPr>
                      <w:rFonts w:ascii="Cambria Math" w:hAnsi="Cambria Math"/>
                    </w:rPr>
                    <m:t>0.192270896193362</m:t>
                  </m:r>
                </m:e>
              </m:mr>
              <m:mr>
                <m:e>
                  <m:r>
                    <m:rPr>
                      <m:sty m:val="p"/>
                    </m:rPr>
                    <w:rPr>
                      <w:rFonts w:ascii="Cambria Math" w:hAnsi="Cambria Math"/>
                    </w:rPr>
                    <m:t>-0.025949899690593</m:t>
                  </m:r>
                </m:e>
                <m:e>
                  <m:r>
                    <w:rPr>
                      <w:rFonts w:ascii="Cambria Math" w:hAnsi="Cambria Math"/>
                    </w:rPr>
                    <m:t>-</m:t>
                  </m:r>
                  <m:r>
                    <m:rPr>
                      <m:sty m:val="p"/>
                    </m:rPr>
                    <w:rPr>
                      <w:rFonts w:ascii="Cambria Math" w:hAnsi="Cambria Math"/>
                    </w:rPr>
                    <m:t>0.098913714711726</m:t>
                  </m:r>
                </m:e>
                <m:e>
                  <m:r>
                    <m:rPr>
                      <m:sty m:val="p"/>
                    </m:rPr>
                    <w:rPr>
                      <w:rFonts w:ascii="Cambria Math" w:hAnsi="Cambria Math"/>
                    </w:rPr>
                    <m:t>1.124863614402319</m:t>
                  </m:r>
                </m:e>
              </m:mr>
            </m:m>
          </m:e>
        </m:d>
        <m:d>
          <m:dPr>
            <m:begChr m:val="["/>
            <m:endChr m:val="]"/>
            <m:ctrlPr>
              <w:rPr>
                <w:rFonts w:ascii="Cambria Math" w:hAnsi="Cambria Math"/>
                <w:i/>
              </w:rPr>
            </m:ctrlPr>
          </m:dPr>
          <m:e>
            <m:m>
              <m:mPr>
                <m:cGp m:val="8"/>
                <m:mcs>
                  <m:mc>
                    <m:mcPr>
                      <m:count m:val="1"/>
                      <m:mcJc m:val="left"/>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oMath>
      <w:r w:rsidRPr="008467B6">
        <w:tab/>
        <w:t>(</w:t>
      </w:r>
      <w:r>
        <w:fldChar w:fldCharType="begin"/>
      </w:r>
      <w:r>
        <w:instrText xml:space="preserve"> STYLEREF 1 \s </w:instrText>
      </w:r>
      <w:r>
        <w:fldChar w:fldCharType="separate"/>
      </w:r>
      <w:r>
        <w:rPr>
          <w:noProof/>
        </w:rPr>
        <w:t>6</w:t>
      </w:r>
      <w:r>
        <w:rPr>
          <w:noProof/>
        </w:rPr>
        <w:fldChar w:fldCharType="end"/>
      </w:r>
      <w:r w:rsidRPr="008467B6">
        <w:noBreakHyphen/>
      </w:r>
      <w:r>
        <w:fldChar w:fldCharType="begin"/>
      </w:r>
      <w:r>
        <w:instrText xml:space="preserve"> SEQ Equation \* ARABIC \s 1 </w:instrText>
      </w:r>
      <w:r>
        <w:fldChar w:fldCharType="separate"/>
      </w:r>
      <w:r>
        <w:rPr>
          <w:noProof/>
        </w:rPr>
        <w:t>27</w:t>
      </w:r>
      <w:r>
        <w:rPr>
          <w:noProof/>
        </w:rPr>
        <w:fldChar w:fldCharType="end"/>
      </w:r>
      <w:r w:rsidRPr="008467B6">
        <w:t>)</w:t>
      </w:r>
    </w:p>
    <w:p w14:paraId="64BC8301" w14:textId="77777777" w:rsidR="007B6848" w:rsidRPr="008467B6" w:rsidRDefault="007B6848" w:rsidP="007B6848">
      <w:pPr>
        <w:pStyle w:val="Heading1"/>
      </w:pPr>
      <w:bookmarkStart w:id="154" w:name="_Toc454454596"/>
      <w:bookmarkStart w:id="155" w:name="_Toc467226105"/>
      <w:bookmarkStart w:id="156" w:name="_Ref452426747"/>
      <w:bookmarkStart w:id="157" w:name="_Toc452455852"/>
      <w:r w:rsidRPr="008467B6">
        <w:t>Bitstream SDR backward compatibility with single-layer coding</w:t>
      </w:r>
      <w:bookmarkEnd w:id="154"/>
      <w:bookmarkEnd w:id="155"/>
    </w:p>
    <w:p w14:paraId="2EFA9F4C" w14:textId="77777777" w:rsidR="007B6848" w:rsidRPr="008467B6" w:rsidRDefault="007B6848" w:rsidP="007B6848">
      <w:bookmarkStart w:id="158" w:name="_Toc453764831"/>
      <w:r w:rsidRPr="008467B6">
        <w:t xml:space="preserve">Two approaches are described in this sub-clause: Approach </w:t>
      </w:r>
      <w:r w:rsidRPr="008467B6">
        <w:rPr>
          <w:szCs w:val="22"/>
        </w:rPr>
        <w:t>1 which uses a</w:t>
      </w:r>
      <w:r>
        <w:rPr>
          <w:szCs w:val="22"/>
        </w:rPr>
        <w:t xml:space="preserve"> static</w:t>
      </w:r>
      <w:r w:rsidRPr="008467B6">
        <w:rPr>
          <w:szCs w:val="22"/>
        </w:rPr>
        <w:t xml:space="preserve"> HDR opto-electrical transfer function (OETF) to deliver “native” bitstream SDR backward compatibility; and Approach 2 which applies an</w:t>
      </w:r>
      <w:r>
        <w:rPr>
          <w:szCs w:val="22"/>
        </w:rPr>
        <w:t xml:space="preserve"> “adaptive”</w:t>
      </w:r>
      <w:r w:rsidRPr="008467B6">
        <w:rPr>
          <w:szCs w:val="22"/>
        </w:rPr>
        <w:t xml:space="preserve"> HDR-to-SDR conversion process prior to the encoding, with dynamic metadata required to perform the inverse conversion after decoding. Approach 1 can be addressed with HEVC using the Rec. BT.2100 HLG transfer function. Approach 2 can be addressed with HEVC using the CRI or TMI SEI messages to convey the dynamic metadata.</w:t>
      </w:r>
    </w:p>
    <w:p w14:paraId="5FBDE998" w14:textId="77777777" w:rsidR="007B6848" w:rsidRPr="008467B6" w:rsidRDefault="007B6848" w:rsidP="007B6848">
      <w:pPr>
        <w:pStyle w:val="Heading2"/>
        <w:ind w:left="720" w:hanging="720"/>
      </w:pPr>
      <w:bookmarkStart w:id="159" w:name="_Ref465257163"/>
      <w:bookmarkStart w:id="160" w:name="_Toc467226106"/>
      <w:bookmarkEnd w:id="156"/>
      <w:bookmarkEnd w:id="157"/>
      <w:bookmarkEnd w:id="158"/>
      <w:r w:rsidRPr="008467B6">
        <w:t>Approach 1: usage of HLG for</w:t>
      </w:r>
      <w:r w:rsidRPr="008467B6">
        <w:rPr>
          <w:lang w:eastAsia="ko-KR"/>
        </w:rPr>
        <w:t xml:space="preserve"> "</w:t>
      </w:r>
      <w:r>
        <w:rPr>
          <w:lang w:eastAsia="ko-KR"/>
        </w:rPr>
        <w:t>static</w:t>
      </w:r>
      <w:r w:rsidRPr="008467B6">
        <w:rPr>
          <w:lang w:eastAsia="ko-KR"/>
        </w:rPr>
        <w:t>"</w:t>
      </w:r>
      <w:r>
        <w:rPr>
          <w:lang w:eastAsia="ko-KR"/>
        </w:rPr>
        <w:t xml:space="preserve"> </w:t>
      </w:r>
      <w:r w:rsidRPr="008467B6">
        <w:rPr>
          <w:lang w:eastAsia="ko-KR"/>
        </w:rPr>
        <w:t>bitstream SDR</w:t>
      </w:r>
      <w:r w:rsidRPr="008467B6">
        <w:t xml:space="preserve"> backward compatibility</w:t>
      </w:r>
      <w:bookmarkEnd w:id="159"/>
      <w:bookmarkEnd w:id="160"/>
    </w:p>
    <w:p w14:paraId="13B754E6" w14:textId="77777777" w:rsidR="007B6848" w:rsidRPr="008467B6" w:rsidRDefault="007B6848" w:rsidP="007B6848">
      <w:pPr>
        <w:pStyle w:val="Heading3"/>
      </w:pPr>
      <w:bookmarkStart w:id="161" w:name="_Toc467226107"/>
      <w:r w:rsidRPr="008467B6">
        <w:t>Introduction</w:t>
      </w:r>
      <w:bookmarkEnd w:id="161"/>
    </w:p>
    <w:p w14:paraId="7B40A583" w14:textId="77777777" w:rsidR="007B6848" w:rsidRPr="008467B6" w:rsidRDefault="007B6848" w:rsidP="007B6848">
      <w:pPr>
        <w:rPr>
          <w:color w:val="000000" w:themeColor="text1"/>
        </w:rPr>
      </w:pPr>
      <w:r w:rsidRPr="008467B6">
        <w:rPr>
          <w:color w:val="000000" w:themeColor="text1"/>
        </w:rPr>
        <w:t xml:space="preserve">The HLG transfer function </w:t>
      </w:r>
      <w:r w:rsidRPr="008467B6">
        <w:rPr>
          <w:color w:val="000000" w:themeColor="text1"/>
        </w:rPr>
        <w:fldChar w:fldCharType="begin"/>
      </w:r>
      <w:r w:rsidRPr="008467B6">
        <w:rPr>
          <w:color w:val="000000" w:themeColor="text1"/>
        </w:rPr>
        <w:instrText xml:space="preserve"> REF _Ref461013792 \r \h  \* MERGEFORMAT </w:instrText>
      </w:r>
      <w:r w:rsidRPr="008467B6">
        <w:rPr>
          <w:color w:val="000000" w:themeColor="text1"/>
        </w:rPr>
      </w:r>
      <w:r w:rsidRPr="008467B6">
        <w:rPr>
          <w:color w:val="000000" w:themeColor="text1"/>
        </w:rPr>
        <w:fldChar w:fldCharType="separate"/>
      </w:r>
      <w:r>
        <w:rPr>
          <w:color w:val="000000" w:themeColor="text1"/>
        </w:rPr>
        <w:t>[2]</w:t>
      </w:r>
      <w:r w:rsidRPr="008467B6">
        <w:rPr>
          <w:color w:val="000000" w:themeColor="text1"/>
        </w:rPr>
        <w:fldChar w:fldCharType="end"/>
      </w:r>
      <w:r w:rsidRPr="008467B6">
        <w:rPr>
          <w:color w:val="000000" w:themeColor="text1"/>
        </w:rPr>
        <w:t xml:space="preserve"> has been designed to provide some level of backward compatibility with the legacy SDR systems. The legacy system is taken to be the SDR systems not needing color gamut conversion (for example, not needing conversion from BT.2020 to BT.709 color primaries) but needing only dynamic range conversion. HLG is recommended to be used with BT.2020 color primaries.</w:t>
      </w:r>
    </w:p>
    <w:p w14:paraId="7A1A8800" w14:textId="77777777" w:rsidR="007B6848" w:rsidRPr="008467B6" w:rsidRDefault="007B6848" w:rsidP="007B6848">
      <w:pPr>
        <w:rPr>
          <w:color w:val="000000" w:themeColor="text1"/>
        </w:rPr>
      </w:pPr>
      <w:r w:rsidRPr="008467B6">
        <w:rPr>
          <w:color w:val="000000" w:themeColor="text1"/>
        </w:rPr>
        <w:t xml:space="preserve">Rec. </w:t>
      </w:r>
      <w:r>
        <w:rPr>
          <w:color w:val="000000" w:themeColor="text1"/>
        </w:rPr>
        <w:t xml:space="preserve">ITU-R </w:t>
      </w:r>
      <w:r w:rsidRPr="008467B6">
        <w:rPr>
          <w:color w:val="000000" w:themeColor="text1"/>
        </w:rPr>
        <w:t xml:space="preserve">BT.2100 </w:t>
      </w:r>
      <w:r w:rsidRPr="008467B6">
        <w:rPr>
          <w:color w:val="000000" w:themeColor="text1"/>
        </w:rPr>
        <w:fldChar w:fldCharType="begin"/>
      </w:r>
      <w:r w:rsidRPr="008467B6">
        <w:rPr>
          <w:color w:val="000000" w:themeColor="text1"/>
        </w:rPr>
        <w:instrText xml:space="preserve"> REF _Ref461013792 \r \h  \* MERGEFORMAT </w:instrText>
      </w:r>
      <w:r w:rsidRPr="008467B6">
        <w:rPr>
          <w:color w:val="000000" w:themeColor="text1"/>
        </w:rPr>
      </w:r>
      <w:r w:rsidRPr="008467B6">
        <w:rPr>
          <w:color w:val="000000" w:themeColor="text1"/>
        </w:rPr>
        <w:fldChar w:fldCharType="separate"/>
      </w:r>
      <w:r>
        <w:rPr>
          <w:color w:val="000000" w:themeColor="text1"/>
        </w:rPr>
        <w:t>[2]</w:t>
      </w:r>
      <w:r w:rsidRPr="008467B6">
        <w:rPr>
          <w:color w:val="000000" w:themeColor="text1"/>
        </w:rPr>
        <w:fldChar w:fldCharType="end"/>
      </w:r>
      <w:r w:rsidRPr="008467B6">
        <w:rPr>
          <w:color w:val="000000" w:themeColor="text1"/>
        </w:rPr>
        <w:t xml:space="preserve"> specifies two transfer functions, PQ and HLG. The HLG transfer function provides a scene referred signal, while the PQ transfer functions provides a display referred signal. In the scene referred approach the HDR signal represents the light in the scene (with or without artistic adjustment), for example detected by a camera, while a display referred signal represents the light emitted by a reference or grading display (with or without artistic adjustment). Since the overall optical system is non-linear (typically characterized as a power or “gamma” law) scene and display referred signals are not linearly related. This non-linearity is modeled by the Opto-Optic Transfer Function (OOTF, </w:t>
      </w:r>
      <w:r w:rsidRPr="008467B6">
        <w:rPr>
          <w:color w:val="000000" w:themeColor="text1"/>
        </w:rPr>
        <w:fldChar w:fldCharType="begin"/>
      </w:r>
      <w:r w:rsidRPr="008467B6">
        <w:rPr>
          <w:color w:val="000000" w:themeColor="text1"/>
        </w:rPr>
        <w:instrText xml:space="preserve"> REF _Ref461013792 \r \h </w:instrText>
      </w:r>
      <w:r w:rsidRPr="008467B6">
        <w:rPr>
          <w:color w:val="000000" w:themeColor="text1"/>
        </w:rPr>
      </w:r>
      <w:r w:rsidRPr="008467B6">
        <w:rPr>
          <w:color w:val="000000" w:themeColor="text1"/>
        </w:rPr>
        <w:fldChar w:fldCharType="separate"/>
      </w:r>
      <w:r>
        <w:rPr>
          <w:color w:val="000000" w:themeColor="text1"/>
        </w:rPr>
        <w:t>[2]</w:t>
      </w:r>
      <w:r w:rsidRPr="008467B6">
        <w:rPr>
          <w:color w:val="000000" w:themeColor="text1"/>
        </w:rPr>
        <w:fldChar w:fldCharType="end"/>
      </w:r>
      <w:r w:rsidRPr="00980878">
        <w:rPr>
          <w:color w:val="000000" w:themeColor="text1"/>
        </w:rPr>
        <w:fldChar w:fldCharType="begin"/>
      </w:r>
      <w:r w:rsidRPr="008467B6">
        <w:rPr>
          <w:color w:val="000000" w:themeColor="text1"/>
        </w:rPr>
        <w:instrText xml:space="preserve"> REF _Ref465410560 \r \h </w:instrText>
      </w:r>
      <w:r w:rsidRPr="00980878">
        <w:rPr>
          <w:color w:val="000000" w:themeColor="text1"/>
        </w:rPr>
      </w:r>
      <w:r w:rsidRPr="00980878">
        <w:rPr>
          <w:color w:val="000000" w:themeColor="text1"/>
        </w:rPr>
        <w:fldChar w:fldCharType="separate"/>
      </w:r>
      <w:r>
        <w:rPr>
          <w:color w:val="000000" w:themeColor="text1"/>
        </w:rPr>
        <w:t>[21]</w:t>
      </w:r>
      <w:r w:rsidRPr="00980878">
        <w:rPr>
          <w:color w:val="000000" w:themeColor="text1"/>
        </w:rPr>
        <w:fldChar w:fldCharType="end"/>
      </w:r>
      <w:r w:rsidRPr="008467B6">
        <w:rPr>
          <w:color w:val="000000" w:themeColor="text1"/>
        </w:rPr>
        <w:t xml:space="preserve">) which compensates for the changes in the tonal response of the human visual system as the eye adapts. With scene referred signals the primary transfer function is the OETF, which defines how the signal is related to linear scene light. For a display referred signal the primary transfer function is the EOTF which defines how the signal should be converted to be displayed on a reference or grading monitor. Display referred signals may not be used directly in scene referred systems, even if both correspond to “linear light”, without distorting the pictures. More details about the differences between scene and display referred signals can be found in Annex A of Rec. </w:t>
      </w:r>
      <w:r>
        <w:rPr>
          <w:color w:val="000000" w:themeColor="text1"/>
        </w:rPr>
        <w:t xml:space="preserve">ITU-R </w:t>
      </w:r>
      <w:r w:rsidRPr="008467B6">
        <w:rPr>
          <w:color w:val="000000" w:themeColor="text1"/>
        </w:rPr>
        <w:t xml:space="preserve">BT.2100 </w:t>
      </w:r>
      <w:r w:rsidRPr="008467B6">
        <w:rPr>
          <w:color w:val="000000" w:themeColor="text1"/>
        </w:rPr>
        <w:fldChar w:fldCharType="begin"/>
      </w:r>
      <w:r w:rsidRPr="008467B6">
        <w:rPr>
          <w:color w:val="000000" w:themeColor="text1"/>
        </w:rPr>
        <w:instrText xml:space="preserve"> REF _Ref461013792 \r \h  \* MERGEFORMAT </w:instrText>
      </w:r>
      <w:r w:rsidRPr="008467B6">
        <w:rPr>
          <w:color w:val="000000" w:themeColor="text1"/>
        </w:rPr>
      </w:r>
      <w:r w:rsidRPr="008467B6">
        <w:rPr>
          <w:color w:val="000000" w:themeColor="text1"/>
        </w:rPr>
        <w:fldChar w:fldCharType="separate"/>
      </w:r>
      <w:r>
        <w:rPr>
          <w:color w:val="000000" w:themeColor="text1"/>
        </w:rPr>
        <w:t>[2]</w:t>
      </w:r>
      <w:r w:rsidRPr="008467B6">
        <w:rPr>
          <w:color w:val="000000" w:themeColor="text1"/>
        </w:rPr>
        <w:fldChar w:fldCharType="end"/>
      </w:r>
      <w:r w:rsidRPr="008467B6">
        <w:rPr>
          <w:color w:val="000000" w:themeColor="text1"/>
        </w:rPr>
        <w:t xml:space="preserve">. </w:t>
      </w:r>
    </w:p>
    <w:p w14:paraId="66E05A1D" w14:textId="77777777" w:rsidR="007B6848" w:rsidRPr="00980878" w:rsidRDefault="007B6848" w:rsidP="007B6848">
      <w:pPr>
        <w:spacing w:before="60"/>
        <w:ind w:left="288"/>
        <w:rPr>
          <w:sz w:val="18"/>
          <w:szCs w:val="18"/>
        </w:rPr>
      </w:pPr>
      <w:r w:rsidRPr="008467B6">
        <w:rPr>
          <w:sz w:val="18"/>
        </w:rPr>
        <w:t xml:space="preserve">NOTE – The conversion and coding workflow </w:t>
      </w:r>
      <w:r w:rsidRPr="008467B6">
        <w:rPr>
          <w:sz w:val="18"/>
          <w:szCs w:val="18"/>
        </w:rPr>
        <w:t xml:space="preserve">specifically described in </w:t>
      </w:r>
      <w:r w:rsidRPr="008467B6">
        <w:rPr>
          <w:sz w:val="18"/>
          <w:szCs w:val="18"/>
        </w:rPr>
        <w:fldChar w:fldCharType="begin"/>
      </w:r>
      <w:r w:rsidRPr="008467B6">
        <w:rPr>
          <w:sz w:val="18"/>
          <w:szCs w:val="18"/>
        </w:rPr>
        <w:instrText xml:space="preserve"> REF _Ref448495076 \r \h  \* MERGEFORMAT </w:instrText>
      </w:r>
      <w:r w:rsidRPr="008467B6">
        <w:rPr>
          <w:sz w:val="18"/>
          <w:szCs w:val="18"/>
        </w:rPr>
      </w:r>
      <w:r w:rsidRPr="008467B6">
        <w:rPr>
          <w:sz w:val="18"/>
          <w:szCs w:val="18"/>
        </w:rPr>
        <w:fldChar w:fldCharType="separate"/>
      </w:r>
      <w:r>
        <w:rPr>
          <w:sz w:val="18"/>
          <w:szCs w:val="18"/>
        </w:rPr>
        <w:t>[1]</w:t>
      </w:r>
      <w:r w:rsidRPr="008467B6">
        <w:rPr>
          <w:sz w:val="18"/>
          <w:szCs w:val="18"/>
        </w:rPr>
        <w:fldChar w:fldCharType="end"/>
      </w:r>
      <w:r w:rsidRPr="008467B6">
        <w:rPr>
          <w:sz w:val="18"/>
          <w:szCs w:val="18"/>
        </w:rPr>
        <w:t xml:space="preserve"> for PQ NCL Y</w:t>
      </w:r>
      <w:r w:rsidRPr="008467B6">
        <w:rPr>
          <w:sz w:val="18"/>
          <w:szCs w:val="18"/>
        </w:rPr>
        <w:sym w:font="Symbol" w:char="F0A2"/>
      </w:r>
      <w:r w:rsidRPr="008467B6">
        <w:rPr>
          <w:sz w:val="18"/>
          <w:szCs w:val="18"/>
        </w:rPr>
        <w:t>CbCr</w:t>
      </w:r>
      <w:r w:rsidRPr="00980878">
        <w:rPr>
          <w:sz w:val="18"/>
          <w:szCs w:val="18"/>
        </w:rPr>
        <w:t xml:space="preserve"> 4:2:0 10-bits signal </w:t>
      </w:r>
      <w:r w:rsidRPr="008467B6">
        <w:rPr>
          <w:sz w:val="18"/>
        </w:rPr>
        <w:t>can be used for HLG</w:t>
      </w:r>
      <w:r w:rsidRPr="008467B6">
        <w:rPr>
          <w:sz w:val="16"/>
        </w:rPr>
        <w:t xml:space="preserve"> </w:t>
      </w:r>
      <w:r w:rsidRPr="00980878">
        <w:rPr>
          <w:sz w:val="18"/>
        </w:rPr>
        <w:t>substituting PQ with HLG</w:t>
      </w:r>
      <w:r w:rsidRPr="00980878">
        <w:rPr>
          <w:sz w:val="18"/>
          <w:szCs w:val="18"/>
        </w:rPr>
        <w:t>. The workflow described in</w:t>
      </w:r>
      <w:r>
        <w:rPr>
          <w:sz w:val="18"/>
          <w:szCs w:val="18"/>
        </w:rPr>
        <w:t xml:space="preserve"> </w:t>
      </w:r>
      <w:r>
        <w:rPr>
          <w:sz w:val="18"/>
          <w:szCs w:val="18"/>
        </w:rPr>
        <w:fldChar w:fldCharType="begin"/>
      </w:r>
      <w:r>
        <w:rPr>
          <w:sz w:val="18"/>
          <w:szCs w:val="18"/>
        </w:rPr>
        <w:instrText xml:space="preserve"> REF _Ref466890592 \h </w:instrText>
      </w:r>
      <w:r>
        <w:rPr>
          <w:sz w:val="18"/>
          <w:szCs w:val="18"/>
        </w:rPr>
      </w:r>
      <w:r>
        <w:rPr>
          <w:sz w:val="18"/>
          <w:szCs w:val="18"/>
        </w:rPr>
        <w:fldChar w:fldCharType="separate"/>
      </w:r>
      <w:r w:rsidRPr="008467B6">
        <w:rPr>
          <w:lang w:val="en-US"/>
        </w:rPr>
        <w:t>Figure </w:t>
      </w:r>
      <w:r>
        <w:rPr>
          <w:noProof/>
          <w:lang w:val="en-US"/>
        </w:rPr>
        <w:t>7</w:t>
      </w:r>
      <w:r>
        <w:rPr>
          <w:lang w:val="en-US"/>
        </w:rPr>
        <w:noBreakHyphen/>
      </w:r>
      <w:r>
        <w:rPr>
          <w:noProof/>
          <w:lang w:val="en-US"/>
        </w:rPr>
        <w:t>1</w:t>
      </w:r>
      <w:r>
        <w:rPr>
          <w:sz w:val="18"/>
          <w:szCs w:val="18"/>
        </w:rPr>
        <w:fldChar w:fldCharType="end"/>
      </w:r>
      <w:r>
        <w:rPr>
          <w:sz w:val="18"/>
          <w:szCs w:val="18"/>
        </w:rPr>
        <w:t xml:space="preserve"> and </w:t>
      </w:r>
      <w:r>
        <w:rPr>
          <w:sz w:val="18"/>
          <w:szCs w:val="18"/>
        </w:rPr>
        <w:fldChar w:fldCharType="begin"/>
      </w:r>
      <w:r>
        <w:rPr>
          <w:sz w:val="18"/>
          <w:szCs w:val="18"/>
        </w:rPr>
        <w:instrText xml:space="preserve"> REF _Ref466889195 \h </w:instrText>
      </w:r>
      <w:r>
        <w:rPr>
          <w:sz w:val="18"/>
          <w:szCs w:val="18"/>
        </w:rPr>
      </w:r>
      <w:r>
        <w:rPr>
          <w:sz w:val="18"/>
          <w:szCs w:val="18"/>
        </w:rPr>
        <w:fldChar w:fldCharType="separate"/>
      </w:r>
      <w:r w:rsidRPr="008467B6">
        <w:rPr>
          <w:lang w:val="en-US"/>
        </w:rPr>
        <w:t>Figure </w:t>
      </w:r>
      <w:r>
        <w:rPr>
          <w:noProof/>
          <w:lang w:val="en-US"/>
        </w:rPr>
        <w:t>7</w:t>
      </w:r>
      <w:r>
        <w:rPr>
          <w:lang w:val="en-US"/>
        </w:rPr>
        <w:noBreakHyphen/>
      </w:r>
      <w:r>
        <w:rPr>
          <w:noProof/>
          <w:lang w:val="en-US"/>
        </w:rPr>
        <w:t>2</w:t>
      </w:r>
      <w:r>
        <w:rPr>
          <w:sz w:val="18"/>
          <w:szCs w:val="18"/>
        </w:rPr>
        <w:fldChar w:fldCharType="end"/>
      </w:r>
      <w:r w:rsidRPr="00980878">
        <w:rPr>
          <w:sz w:val="18"/>
          <w:szCs w:val="18"/>
        </w:rPr>
        <w:t xml:space="preserve"> of sub-clause</w:t>
      </w:r>
      <w:r>
        <w:rPr>
          <w:sz w:val="18"/>
          <w:szCs w:val="18"/>
        </w:rPr>
        <w:t xml:space="preserve">s </w:t>
      </w:r>
      <w:r>
        <w:rPr>
          <w:sz w:val="18"/>
          <w:szCs w:val="18"/>
        </w:rPr>
        <w:fldChar w:fldCharType="begin"/>
      </w:r>
      <w:r>
        <w:rPr>
          <w:sz w:val="18"/>
          <w:szCs w:val="18"/>
        </w:rPr>
        <w:instrText xml:space="preserve"> REF _Ref467062900 \r \h </w:instrText>
      </w:r>
      <w:r>
        <w:rPr>
          <w:sz w:val="18"/>
          <w:szCs w:val="18"/>
        </w:rPr>
      </w:r>
      <w:r>
        <w:rPr>
          <w:sz w:val="18"/>
          <w:szCs w:val="18"/>
        </w:rPr>
        <w:fldChar w:fldCharType="separate"/>
      </w:r>
      <w:r>
        <w:rPr>
          <w:sz w:val="18"/>
          <w:szCs w:val="18"/>
        </w:rPr>
        <w:t>7.1.2</w:t>
      </w:r>
      <w:r>
        <w:rPr>
          <w:sz w:val="18"/>
          <w:szCs w:val="18"/>
        </w:rPr>
        <w:fldChar w:fldCharType="end"/>
      </w:r>
      <w:r>
        <w:rPr>
          <w:sz w:val="18"/>
          <w:szCs w:val="18"/>
        </w:rPr>
        <w:t xml:space="preserve"> and </w:t>
      </w:r>
      <w:r>
        <w:rPr>
          <w:sz w:val="18"/>
          <w:szCs w:val="18"/>
        </w:rPr>
        <w:fldChar w:fldCharType="begin"/>
      </w:r>
      <w:r>
        <w:rPr>
          <w:sz w:val="18"/>
          <w:szCs w:val="18"/>
        </w:rPr>
        <w:instrText xml:space="preserve"> REF _Ref467062914 \r \h </w:instrText>
      </w:r>
      <w:r>
        <w:rPr>
          <w:sz w:val="18"/>
          <w:szCs w:val="18"/>
        </w:rPr>
      </w:r>
      <w:r>
        <w:rPr>
          <w:sz w:val="18"/>
          <w:szCs w:val="18"/>
        </w:rPr>
        <w:fldChar w:fldCharType="separate"/>
      </w:r>
      <w:r>
        <w:rPr>
          <w:sz w:val="18"/>
          <w:szCs w:val="18"/>
        </w:rPr>
        <w:t>7.1.4</w:t>
      </w:r>
      <w:r>
        <w:rPr>
          <w:sz w:val="18"/>
          <w:szCs w:val="18"/>
        </w:rPr>
        <w:fldChar w:fldCharType="end"/>
      </w:r>
      <w:r w:rsidRPr="00980878">
        <w:rPr>
          <w:sz w:val="18"/>
          <w:szCs w:val="18"/>
        </w:rPr>
        <w:t xml:space="preserve"> </w:t>
      </w:r>
      <w:r w:rsidRPr="008467B6">
        <w:rPr>
          <w:sz w:val="18"/>
        </w:rPr>
        <w:t xml:space="preserve">is to highlight the conversion and coding differences </w:t>
      </w:r>
      <w:r w:rsidRPr="008467B6">
        <w:rPr>
          <w:sz w:val="18"/>
          <w:szCs w:val="18"/>
        </w:rPr>
        <w:t>between PQ</w:t>
      </w:r>
      <w:r w:rsidRPr="00980878">
        <w:rPr>
          <w:sz w:val="18"/>
          <w:szCs w:val="18"/>
          <w:vertAlign w:val="subscript"/>
        </w:rPr>
        <w:t xml:space="preserve"> </w:t>
      </w:r>
      <w:r w:rsidRPr="008467B6">
        <w:rPr>
          <w:sz w:val="18"/>
          <w:szCs w:val="18"/>
        </w:rPr>
        <w:t>and HLG</w:t>
      </w:r>
      <w:r w:rsidRPr="00980878">
        <w:rPr>
          <w:sz w:val="18"/>
          <w:szCs w:val="18"/>
        </w:rPr>
        <w:t xml:space="preserve"> signals.</w:t>
      </w:r>
    </w:p>
    <w:p w14:paraId="47EDFCF3" w14:textId="77777777" w:rsidR="007B6848" w:rsidRPr="008467B6" w:rsidRDefault="007B6848" w:rsidP="007B6848">
      <w:pPr>
        <w:pStyle w:val="Heading3"/>
      </w:pPr>
      <w:bookmarkStart w:id="162" w:name="_Toc466890228"/>
      <w:bookmarkStart w:id="163" w:name="_Toc466890767"/>
      <w:bookmarkStart w:id="164" w:name="_Toc466891155"/>
      <w:bookmarkStart w:id="165" w:name="_Toc466891221"/>
      <w:bookmarkStart w:id="166" w:name="_Toc466894756"/>
      <w:bookmarkStart w:id="167" w:name="_Toc466896184"/>
      <w:bookmarkStart w:id="168" w:name="_Toc466897567"/>
      <w:bookmarkStart w:id="169" w:name="_Toc466897811"/>
      <w:bookmarkStart w:id="170" w:name="_Toc467063015"/>
      <w:bookmarkStart w:id="171" w:name="_Ref467062900"/>
      <w:bookmarkStart w:id="172" w:name="_Ref466884961"/>
      <w:bookmarkStart w:id="173" w:name="_Toc467226108"/>
      <w:bookmarkEnd w:id="162"/>
      <w:bookmarkEnd w:id="163"/>
      <w:bookmarkEnd w:id="164"/>
      <w:bookmarkEnd w:id="165"/>
      <w:bookmarkEnd w:id="166"/>
      <w:bookmarkEnd w:id="167"/>
      <w:bookmarkEnd w:id="168"/>
      <w:bookmarkEnd w:id="169"/>
      <w:bookmarkEnd w:id="170"/>
      <w:r w:rsidRPr="008467B6">
        <w:lastRenderedPageBreak/>
        <w:t>HLG pre-encoding conversion process</w:t>
      </w:r>
      <w:bookmarkEnd w:id="171"/>
      <w:bookmarkEnd w:id="172"/>
      <w:bookmarkEnd w:id="173"/>
    </w:p>
    <w:p w14:paraId="100DDE22" w14:textId="77777777" w:rsidR="007B6848" w:rsidRPr="008467B6" w:rsidRDefault="007B6848" w:rsidP="007B6848">
      <w:pPr>
        <w:rPr>
          <w:color w:val="000000" w:themeColor="text1"/>
        </w:rPr>
      </w:pPr>
      <w:r w:rsidRPr="008467B6">
        <w:rPr>
          <w:color w:val="000000" w:themeColor="text1"/>
        </w:rPr>
        <w:t>HLG pre-encoding conversion process is illustrated in</w:t>
      </w:r>
      <w:r>
        <w:rPr>
          <w:color w:val="000000" w:themeColor="text1"/>
        </w:rPr>
        <w:t xml:space="preserve"> </w:t>
      </w:r>
      <w:r w:rsidRPr="00980878">
        <w:rPr>
          <w:color w:val="000000" w:themeColor="text1"/>
        </w:rPr>
        <w:fldChar w:fldCharType="begin"/>
      </w:r>
      <w:r w:rsidRPr="008467B6">
        <w:rPr>
          <w:color w:val="000000" w:themeColor="text1"/>
        </w:rPr>
        <w:instrText xml:space="preserve"> REF _Ref466890592 \h </w:instrText>
      </w:r>
      <w:r w:rsidRPr="00980878">
        <w:rPr>
          <w:color w:val="000000" w:themeColor="text1"/>
        </w:rPr>
      </w:r>
      <w:r w:rsidRPr="00980878">
        <w:rPr>
          <w:color w:val="000000" w:themeColor="text1"/>
        </w:rPr>
        <w:fldChar w:fldCharType="separate"/>
      </w:r>
      <w:r w:rsidRPr="008467B6">
        <w:rPr>
          <w:lang w:val="en-US"/>
        </w:rPr>
        <w:t>Figure </w:t>
      </w:r>
      <w:r>
        <w:rPr>
          <w:noProof/>
          <w:lang w:val="en-US"/>
        </w:rPr>
        <w:t>7</w:t>
      </w:r>
      <w:r>
        <w:rPr>
          <w:lang w:val="en-US"/>
        </w:rPr>
        <w:noBreakHyphen/>
      </w:r>
      <w:r>
        <w:rPr>
          <w:noProof/>
          <w:lang w:val="en-US"/>
        </w:rPr>
        <w:t>1</w:t>
      </w:r>
      <w:r w:rsidRPr="00980878">
        <w:rPr>
          <w:color w:val="000000" w:themeColor="text1"/>
        </w:rPr>
        <w:fldChar w:fldCharType="end"/>
      </w:r>
      <w:r w:rsidRPr="008467B6">
        <w:rPr>
          <w:color w:val="000000" w:themeColor="text1"/>
        </w:rPr>
        <w:t xml:space="preserve">. The conversion chain converts an input linear RGB 4:4:4 signal to HLG 10-bits </w:t>
      </w:r>
      <w:r w:rsidRPr="008467B6">
        <w:rPr>
          <w:rFonts w:eastAsia="SimSun"/>
        </w:rPr>
        <w:t>Y</w:t>
      </w:r>
      <w:r w:rsidRPr="008467B6">
        <w:sym w:font="Symbol" w:char="F0A2"/>
      </w:r>
      <w:r w:rsidRPr="008467B6">
        <w:rPr>
          <w:rFonts w:eastAsia="SimSun"/>
        </w:rPr>
        <w:t xml:space="preserve">CbCr </w:t>
      </w:r>
      <w:r w:rsidRPr="008467B6">
        <w:rPr>
          <w:color w:val="000000" w:themeColor="text1"/>
        </w:rPr>
        <w:t>4:2:0 signal. It</w:t>
      </w:r>
      <w:r w:rsidRPr="008467B6">
        <w:t xml:space="preserve"> </w:t>
      </w:r>
      <w:r w:rsidRPr="008467B6">
        <w:rPr>
          <w:color w:val="000000" w:themeColor="text1"/>
        </w:rPr>
        <w:t>consists of the following successive steps:</w:t>
      </w:r>
    </w:p>
    <w:p w14:paraId="7F0F6862" w14:textId="77777777" w:rsidR="007B6848" w:rsidRPr="008467B6" w:rsidRDefault="007B6848" w:rsidP="007B6848">
      <w:pPr>
        <w:pStyle w:val="ListParagraph"/>
        <w:numPr>
          <w:ilvl w:val="0"/>
          <w:numId w:val="12"/>
        </w:numPr>
        <w:rPr>
          <w:rFonts w:eastAsia="SimSun"/>
        </w:rPr>
      </w:pPr>
      <w:r w:rsidRPr="008467B6">
        <w:rPr>
          <w:color w:val="000000" w:themeColor="text1"/>
        </w:rPr>
        <w:t xml:space="preserve">a pre-conversion step (denoted “inverse system gamma” in </w:t>
      </w:r>
      <w:r w:rsidRPr="00980878">
        <w:rPr>
          <w:color w:val="000000" w:themeColor="text1"/>
        </w:rPr>
        <w:fldChar w:fldCharType="begin"/>
      </w:r>
      <w:r w:rsidRPr="008467B6">
        <w:rPr>
          <w:color w:val="000000" w:themeColor="text1"/>
        </w:rPr>
        <w:instrText xml:space="preserve"> REF _Ref466890592 \h </w:instrText>
      </w:r>
      <w:r w:rsidRPr="00980878">
        <w:rPr>
          <w:color w:val="000000" w:themeColor="text1"/>
        </w:rPr>
      </w:r>
      <w:r w:rsidRPr="00980878">
        <w:rPr>
          <w:color w:val="000000" w:themeColor="text1"/>
        </w:rPr>
        <w:fldChar w:fldCharType="separate"/>
      </w:r>
      <w:r w:rsidRPr="008467B6">
        <w:rPr>
          <w:lang w:val="en-US"/>
        </w:rPr>
        <w:t>Figure </w:t>
      </w:r>
      <w:r>
        <w:rPr>
          <w:noProof/>
          <w:lang w:val="en-US"/>
        </w:rPr>
        <w:t>7</w:t>
      </w:r>
      <w:r>
        <w:rPr>
          <w:lang w:val="en-US"/>
        </w:rPr>
        <w:noBreakHyphen/>
      </w:r>
      <w:r>
        <w:rPr>
          <w:noProof/>
          <w:lang w:val="en-US"/>
        </w:rPr>
        <w:t>1</w:t>
      </w:r>
      <w:r w:rsidRPr="00980878">
        <w:rPr>
          <w:color w:val="000000" w:themeColor="text1"/>
        </w:rPr>
        <w:fldChar w:fldCharType="end"/>
      </w:r>
      <w:r w:rsidRPr="008467B6">
        <w:rPr>
          <w:color w:val="000000" w:themeColor="text1"/>
        </w:rPr>
        <w:t xml:space="preserve"> and described in sub-clause </w:t>
      </w:r>
      <w:r w:rsidRPr="00980878">
        <w:rPr>
          <w:color w:val="000000" w:themeColor="text1"/>
        </w:rPr>
        <w:fldChar w:fldCharType="begin"/>
      </w:r>
      <w:r w:rsidRPr="008467B6">
        <w:rPr>
          <w:color w:val="000000" w:themeColor="text1"/>
        </w:rPr>
        <w:instrText xml:space="preserve"> REF _Ref465345351 \r \h </w:instrText>
      </w:r>
      <w:r w:rsidRPr="00980878">
        <w:rPr>
          <w:color w:val="000000" w:themeColor="text1"/>
        </w:rPr>
      </w:r>
      <w:r w:rsidRPr="00980878">
        <w:rPr>
          <w:color w:val="000000" w:themeColor="text1"/>
        </w:rPr>
        <w:fldChar w:fldCharType="separate"/>
      </w:r>
      <w:r>
        <w:rPr>
          <w:color w:val="000000" w:themeColor="text1"/>
        </w:rPr>
        <w:t>7.1.2.2</w:t>
      </w:r>
      <w:r w:rsidRPr="00980878">
        <w:rPr>
          <w:color w:val="000000" w:themeColor="text1"/>
        </w:rPr>
        <w:fldChar w:fldCharType="end"/>
      </w:r>
      <w:r w:rsidRPr="008467B6">
        <w:rPr>
          <w:color w:val="000000" w:themeColor="text1"/>
        </w:rPr>
        <w:t>) when the</w:t>
      </w:r>
      <w:r>
        <w:rPr>
          <w:color w:val="000000" w:themeColor="text1"/>
        </w:rPr>
        <w:t xml:space="preserve"> input</w:t>
      </w:r>
      <w:r w:rsidRPr="008467B6">
        <w:rPr>
          <w:color w:val="000000" w:themeColor="text1"/>
        </w:rPr>
        <w:t xml:space="preserve"> HDR signal is display-light referred; when the </w:t>
      </w:r>
      <w:r>
        <w:rPr>
          <w:color w:val="000000" w:themeColor="text1"/>
        </w:rPr>
        <w:t xml:space="preserve">input </w:t>
      </w:r>
      <w:r w:rsidRPr="008467B6">
        <w:rPr>
          <w:color w:val="000000" w:themeColor="text1"/>
        </w:rPr>
        <w:t>HDR signal is scene-light referred (e.g. from camera), this step is not required,</w:t>
      </w:r>
    </w:p>
    <w:p w14:paraId="0D2473FC" w14:textId="77777777" w:rsidR="007B6848" w:rsidRPr="008467B6" w:rsidRDefault="007B6848" w:rsidP="007B6848">
      <w:pPr>
        <w:pStyle w:val="ListParagraph"/>
        <w:numPr>
          <w:ilvl w:val="0"/>
          <w:numId w:val="12"/>
        </w:numPr>
        <w:rPr>
          <w:rFonts w:eastAsia="SimSun"/>
        </w:rPr>
      </w:pPr>
      <w:r w:rsidRPr="008467B6">
        <w:rPr>
          <w:lang w:eastAsia="ko-KR"/>
        </w:rPr>
        <w:t xml:space="preserve">a conversion from an </w:t>
      </w:r>
      <w:r w:rsidRPr="008467B6">
        <w:rPr>
          <w:color w:val="000000" w:themeColor="text1"/>
        </w:rPr>
        <w:t xml:space="preserve">input scene referred </w:t>
      </w:r>
      <w:r w:rsidRPr="008467B6">
        <w:t xml:space="preserve">linear </w:t>
      </w:r>
      <w:r w:rsidRPr="008467B6">
        <w:rPr>
          <w:color w:val="000000" w:themeColor="text1"/>
        </w:rPr>
        <w:t xml:space="preserve">RGB 4:4:4 </w:t>
      </w:r>
      <w:r w:rsidRPr="008467B6">
        <w:rPr>
          <w:lang w:eastAsia="ko-KR"/>
        </w:rPr>
        <w:t>data representation to a non-</w:t>
      </w:r>
      <w:r w:rsidRPr="008467B6">
        <w:t xml:space="preserve">linear </w:t>
      </w:r>
      <w:r w:rsidRPr="008467B6">
        <w:rPr>
          <w:lang w:eastAsia="ko-KR"/>
        </w:rPr>
        <w:t>data representation using the HLG</w:t>
      </w:r>
      <w:r w:rsidRPr="008467B6">
        <w:rPr>
          <w:color w:val="000000" w:themeColor="text1"/>
        </w:rPr>
        <w:t xml:space="preserve"> OETF as described in sub-clause </w:t>
      </w:r>
      <w:r w:rsidRPr="00980878">
        <w:rPr>
          <w:color w:val="000000" w:themeColor="text1"/>
        </w:rPr>
        <w:fldChar w:fldCharType="begin"/>
      </w:r>
      <w:r w:rsidRPr="008467B6">
        <w:rPr>
          <w:color w:val="000000" w:themeColor="text1"/>
        </w:rPr>
        <w:instrText xml:space="preserve"> REF _Ref466887986 \r \h </w:instrText>
      </w:r>
      <w:r w:rsidRPr="00980878">
        <w:rPr>
          <w:color w:val="000000" w:themeColor="text1"/>
        </w:rPr>
      </w:r>
      <w:r w:rsidRPr="00980878">
        <w:rPr>
          <w:color w:val="000000" w:themeColor="text1"/>
        </w:rPr>
        <w:fldChar w:fldCharType="separate"/>
      </w:r>
      <w:r>
        <w:rPr>
          <w:color w:val="000000" w:themeColor="text1"/>
        </w:rPr>
        <w:t>7.1.2.1</w:t>
      </w:r>
      <w:r w:rsidRPr="00980878">
        <w:rPr>
          <w:color w:val="000000" w:themeColor="text1"/>
        </w:rPr>
        <w:fldChar w:fldCharType="end"/>
      </w:r>
      <w:r w:rsidRPr="008467B6">
        <w:rPr>
          <w:color w:val="000000" w:themeColor="text1"/>
        </w:rPr>
        <w:t>,</w:t>
      </w:r>
    </w:p>
    <w:p w14:paraId="4A82521A" w14:textId="77777777" w:rsidR="007B6848" w:rsidRPr="008467B6" w:rsidRDefault="007B6848" w:rsidP="007B6848">
      <w:pPr>
        <w:pStyle w:val="ListParagraph"/>
        <w:numPr>
          <w:ilvl w:val="0"/>
          <w:numId w:val="12"/>
        </w:numPr>
        <w:rPr>
          <w:rFonts w:eastAsia="SimSun"/>
        </w:rPr>
      </w:pPr>
      <w:r w:rsidRPr="008467B6">
        <w:rPr>
          <w:lang w:eastAsia="ko-KR"/>
        </w:rPr>
        <w:t xml:space="preserve">a colour format conversion from </w:t>
      </w:r>
      <w:r w:rsidRPr="008467B6">
        <w:rPr>
          <w:color w:val="000000" w:themeColor="text1"/>
        </w:rPr>
        <w:t>non-linear HLG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 to </w:t>
      </w:r>
      <w:r w:rsidRPr="008467B6">
        <w:rPr>
          <w:rFonts w:eastAsia="SimSun"/>
        </w:rPr>
        <w:t>Y</w:t>
      </w:r>
      <w:r w:rsidRPr="008467B6">
        <w:sym w:font="Symbol" w:char="F0A2"/>
      </w:r>
      <w:r w:rsidRPr="008467B6">
        <w:rPr>
          <w:rFonts w:eastAsia="SimSun"/>
        </w:rPr>
        <w:t xml:space="preserve">CbCr </w:t>
      </w:r>
      <w:r w:rsidRPr="008467B6">
        <w:rPr>
          <w:color w:val="000000" w:themeColor="text1"/>
        </w:rPr>
        <w:t>4:4:4</w:t>
      </w:r>
      <w:r w:rsidRPr="008467B6">
        <w:t xml:space="preserve"> following the same process described in sub-clause </w:t>
      </w:r>
      <w:r>
        <w:t>6.1.2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04949B32" w14:textId="77777777" w:rsidR="007B6848" w:rsidRPr="008467B6" w:rsidRDefault="007B6848" w:rsidP="007B6848">
      <w:pPr>
        <w:pStyle w:val="ListParagraph"/>
        <w:numPr>
          <w:ilvl w:val="0"/>
          <w:numId w:val="12"/>
        </w:numPr>
      </w:pPr>
      <w:r w:rsidRPr="008467B6">
        <w:rPr>
          <w:lang w:eastAsia="ko-KR"/>
        </w:rPr>
        <w:t xml:space="preserve">a conversion </w:t>
      </w:r>
      <w:r>
        <w:rPr>
          <w:lang w:eastAsia="ko-KR"/>
        </w:rPr>
        <w:t>step</w:t>
      </w:r>
      <w:r w:rsidRPr="008467B6">
        <w:rPr>
          <w:lang w:eastAsia="ko-KR"/>
        </w:rPr>
        <w:t xml:space="preserve"> that converts a floating-point to a fixed-point representation (e.g. 10 bits)</w:t>
      </w:r>
      <w:r w:rsidRPr="008467B6">
        <w:rPr>
          <w:rFonts w:eastAsia="SimSun"/>
        </w:rPr>
        <w:t xml:space="preserve">, narrow range, </w:t>
      </w:r>
      <w:r w:rsidRPr="008467B6">
        <w:t xml:space="preserve">following the same process described in sub-clause </w:t>
      </w:r>
      <w:r>
        <w:t>6.1.4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54128848" w14:textId="77777777" w:rsidR="007B6848" w:rsidRPr="008467B6" w:rsidRDefault="007B6848" w:rsidP="007B6848">
      <w:pPr>
        <w:pStyle w:val="ListParagraph"/>
        <w:numPr>
          <w:ilvl w:val="0"/>
          <w:numId w:val="12"/>
        </w:numPr>
        <w:rPr>
          <w:rFonts w:eastAsia="SimSun"/>
        </w:rPr>
      </w:pPr>
      <w:r w:rsidRPr="008467B6">
        <w:rPr>
          <w:lang w:eastAsia="ko-KR"/>
        </w:rPr>
        <w:t xml:space="preserve">a chroma down-conversion that converts data from 4:4:4 to 4:2:0, </w:t>
      </w:r>
      <w:r w:rsidRPr="008467B6">
        <w:t xml:space="preserve">following the same process described in sub-clause </w:t>
      </w:r>
      <w:r>
        <w:t>6.1.3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6603180F" w14:textId="77777777" w:rsidR="007B6848" w:rsidRPr="008467B6" w:rsidRDefault="007B6848" w:rsidP="007B6848">
      <w:pPr>
        <w:jc w:val="center"/>
        <w:rPr>
          <w:color w:val="000000" w:themeColor="text1"/>
        </w:rPr>
      </w:pPr>
      <w:r w:rsidRPr="008467B6">
        <w:rPr>
          <w:color w:val="000000" w:themeColor="text1"/>
        </w:rPr>
        <w:object w:dxaOrig="12825" w:dyaOrig="2215" w14:anchorId="64AA3D94">
          <v:shape id="_x0000_i1027" type="#_x0000_t75" style="width:481.55pt;height:83.4pt" o:ole="">
            <v:imagedata r:id="rId23" o:title=""/>
          </v:shape>
          <o:OLEObject Type="Embed" ProgID="Visio.Drawing.11" ShapeID="_x0000_i1027" DrawAspect="Content" ObjectID="_1541247484" r:id="rId24"/>
        </w:object>
      </w:r>
    </w:p>
    <w:p w14:paraId="1FBED27D" w14:textId="77777777" w:rsidR="007B6848" w:rsidRPr="008467B6" w:rsidRDefault="007B6848" w:rsidP="007B6848">
      <w:pPr>
        <w:pStyle w:val="Caption"/>
        <w:rPr>
          <w:lang w:val="en-US"/>
        </w:rPr>
      </w:pPr>
      <w:bookmarkStart w:id="174" w:name="_Ref466890592"/>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1</w:t>
      </w:r>
      <w:r>
        <w:rPr>
          <w:lang w:val="en-US"/>
        </w:rPr>
        <w:fldChar w:fldCharType="end"/>
      </w:r>
      <w:bookmarkEnd w:id="174"/>
      <w:r w:rsidRPr="008467B6">
        <w:rPr>
          <w:lang w:val="en-US"/>
        </w:rPr>
        <w:t xml:space="preserve"> – Pre-processing for conversion with HLG.</w:t>
      </w:r>
    </w:p>
    <w:p w14:paraId="769DD37C" w14:textId="77777777" w:rsidR="007B6848" w:rsidRPr="008467B6" w:rsidRDefault="007B6848" w:rsidP="007B6848">
      <w:pPr>
        <w:pStyle w:val="Heading4"/>
      </w:pPr>
      <w:bookmarkStart w:id="175" w:name="_Ref466887986"/>
      <w:r w:rsidRPr="008467B6">
        <w:t>HLG conversion from a linear RGB to a non-linear representation R</w:t>
      </w:r>
      <w:r w:rsidRPr="008467B6">
        <w:sym w:font="Symbol" w:char="F0A2"/>
      </w:r>
      <w:r w:rsidRPr="008467B6">
        <w:t>G</w:t>
      </w:r>
      <w:r w:rsidRPr="008467B6">
        <w:sym w:font="Symbol" w:char="F0A2"/>
      </w:r>
      <w:r w:rsidRPr="008467B6">
        <w:t>B</w:t>
      </w:r>
      <w:r w:rsidRPr="008467B6">
        <w:sym w:font="Symbol" w:char="F0A2"/>
      </w:r>
      <w:bookmarkEnd w:id="175"/>
    </w:p>
    <w:p w14:paraId="1FC7203A" w14:textId="77777777" w:rsidR="007B6848" w:rsidRPr="008467B6" w:rsidRDefault="007B6848" w:rsidP="007B6848">
      <w:pPr>
        <w:rPr>
          <w:color w:val="000000" w:themeColor="text1"/>
        </w:rPr>
      </w:pPr>
      <w:r>
        <w:rPr>
          <w:rFonts w:eastAsia="SimSun"/>
        </w:rPr>
        <w:t>For a scene referred linear light input, the HLG OETF as specified in equations (</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1</w:t>
      </w:r>
      <w:r>
        <w:rPr>
          <w:noProof/>
        </w:rPr>
        <w:fldChar w:fldCharType="end"/>
      </w:r>
      <w:r>
        <w:rPr>
          <w:noProof/>
        </w:rPr>
        <w:t>) and (</w:t>
      </w:r>
      <w:r w:rsidRPr="00930BF9">
        <w:t xml:space="preserve"> </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2</w:t>
      </w:r>
      <w:r>
        <w:rPr>
          <w:noProof/>
        </w:rPr>
        <w:fldChar w:fldCharType="end"/>
      </w:r>
      <w:r>
        <w:rPr>
          <w:noProof/>
        </w:rPr>
        <w:t xml:space="preserve">) from sub-clause </w:t>
      </w:r>
      <w:r>
        <w:rPr>
          <w:noProof/>
        </w:rPr>
        <w:fldChar w:fldCharType="begin"/>
      </w:r>
      <w:r>
        <w:rPr>
          <w:noProof/>
        </w:rPr>
        <w:instrText xml:space="preserve"> REF _Ref467154964 \r \h </w:instrText>
      </w:r>
      <w:r>
        <w:rPr>
          <w:noProof/>
        </w:rPr>
      </w:r>
      <w:r>
        <w:rPr>
          <w:noProof/>
        </w:rPr>
        <w:fldChar w:fldCharType="separate"/>
      </w:r>
      <w:r>
        <w:rPr>
          <w:noProof/>
        </w:rPr>
        <w:t>6.1.2</w:t>
      </w:r>
      <w:r>
        <w:rPr>
          <w:noProof/>
        </w:rPr>
        <w:fldChar w:fldCharType="end"/>
      </w:r>
      <w:r>
        <w:rPr>
          <w:noProof/>
        </w:rPr>
        <w:t xml:space="preserve"> is applied on the R, G and B components separately. </w:t>
      </w:r>
      <w:r w:rsidRPr="008467B6">
        <w:rPr>
          <w:color w:val="000000" w:themeColor="text1"/>
        </w:rPr>
        <w:t xml:space="preserve">When the input HDR video is display referred linear light, a preliminary conversion process (“inverse system gamma”) should be applied to convert the display referred video to a scene referred-like signal. This step removes the inherent OOTF within the display referred signal. Sub-clause </w:t>
      </w:r>
      <w:r w:rsidRPr="008467B6">
        <w:rPr>
          <w:color w:val="000000" w:themeColor="text1"/>
        </w:rPr>
        <w:fldChar w:fldCharType="begin"/>
      </w:r>
      <w:r w:rsidRPr="008467B6">
        <w:rPr>
          <w:color w:val="000000" w:themeColor="text1"/>
        </w:rPr>
        <w:instrText xml:space="preserve"> REF _Ref465345351 \r \h </w:instrText>
      </w:r>
      <w:r w:rsidRPr="008467B6">
        <w:rPr>
          <w:color w:val="000000" w:themeColor="text1"/>
        </w:rPr>
      </w:r>
      <w:r w:rsidRPr="008467B6">
        <w:rPr>
          <w:color w:val="000000" w:themeColor="text1"/>
        </w:rPr>
        <w:fldChar w:fldCharType="separate"/>
      </w:r>
      <w:r>
        <w:rPr>
          <w:color w:val="000000" w:themeColor="text1"/>
        </w:rPr>
        <w:t>7.1.2.2</w:t>
      </w:r>
      <w:r w:rsidRPr="008467B6">
        <w:rPr>
          <w:color w:val="000000" w:themeColor="text1"/>
        </w:rPr>
        <w:fldChar w:fldCharType="end"/>
      </w:r>
      <w:r w:rsidRPr="008467B6">
        <w:rPr>
          <w:color w:val="000000" w:themeColor="text1"/>
        </w:rPr>
        <w:t xml:space="preserve"> describes this process.</w:t>
      </w:r>
    </w:p>
    <w:p w14:paraId="352C255E" w14:textId="77777777" w:rsidR="007B6848" w:rsidRPr="008467B6" w:rsidRDefault="007B6848" w:rsidP="007B6848">
      <w:pPr>
        <w:pStyle w:val="Heading4"/>
      </w:pPr>
      <w:bookmarkStart w:id="176" w:name="_Ref465345351"/>
      <w:r w:rsidRPr="008467B6">
        <w:t>Conversion to linear light display referred to linear light scene referred</w:t>
      </w:r>
      <w:bookmarkEnd w:id="176"/>
    </w:p>
    <w:p w14:paraId="79A247E2" w14:textId="77777777" w:rsidR="007B6848" w:rsidRPr="008467B6" w:rsidRDefault="007B6848" w:rsidP="007B6848">
      <w:r w:rsidRPr="008467B6">
        <w:rPr>
          <w:color w:val="000000" w:themeColor="text1"/>
        </w:rPr>
        <w:t xml:space="preserve">This step aims to remove the OOTF inherent in display referred signals. </w:t>
      </w:r>
      <w:r w:rsidRPr="008467B6">
        <w:t>The process input is an RGB</w:t>
      </w:r>
      <w:r w:rsidRPr="008467B6">
        <w:rPr>
          <w:color w:val="000000" w:themeColor="text1"/>
        </w:rPr>
        <w:t xml:space="preserve"> 4:4:4 display referred linear light signal </w:t>
      </w:r>
      <w:r w:rsidRPr="00980878">
        <w:t>considered to have been produced on a mastering display having a peak luminance equal to P cd/m</w:t>
      </w:r>
      <w:r w:rsidRPr="00980878">
        <w:rPr>
          <w:vertAlign w:val="superscript"/>
        </w:rPr>
        <w:t>2</w:t>
      </w:r>
      <w:r w:rsidRPr="00980878">
        <w:t>. The output is</w:t>
      </w:r>
      <w:r w:rsidRPr="008467B6">
        <w:rPr>
          <w:color w:val="000000" w:themeColor="text1"/>
        </w:rPr>
        <w:t xml:space="preserve"> a scene referred linear light signal. The process applies</w:t>
      </w:r>
      <w:r w:rsidRPr="008467B6">
        <w:t xml:space="preserve"> the following steps to each R, G, B samples:</w:t>
      </w:r>
    </w:p>
    <w:p w14:paraId="61ACA6E8"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rPr>
          <w:color w:val="000000" w:themeColor="text1"/>
        </w:rPr>
      </w:pPr>
      <w:r w:rsidRPr="008467B6">
        <w:rPr>
          <w:color w:val="000000" w:themeColor="text1"/>
        </w:rPr>
        <w:t>Let R</w:t>
      </w:r>
      <w:r w:rsidRPr="008467B6">
        <w:rPr>
          <w:color w:val="000000" w:themeColor="text1"/>
          <w:vertAlign w:val="subscript"/>
        </w:rPr>
        <w:t>display</w:t>
      </w:r>
      <w:r w:rsidRPr="008467B6">
        <w:rPr>
          <w:color w:val="000000" w:themeColor="text1"/>
        </w:rPr>
        <w:t>, G</w:t>
      </w:r>
      <w:r w:rsidRPr="008467B6">
        <w:rPr>
          <w:color w:val="000000" w:themeColor="text1"/>
          <w:vertAlign w:val="subscript"/>
        </w:rPr>
        <w:t>display</w:t>
      </w:r>
      <w:r w:rsidRPr="008467B6">
        <w:rPr>
          <w:color w:val="000000" w:themeColor="text1"/>
        </w:rPr>
        <w:t>, B</w:t>
      </w:r>
      <w:r w:rsidRPr="008467B6">
        <w:rPr>
          <w:color w:val="000000" w:themeColor="text1"/>
          <w:vertAlign w:val="subscript"/>
        </w:rPr>
        <w:t>display</w:t>
      </w:r>
      <w:r w:rsidRPr="008467B6">
        <w:rPr>
          <w:color w:val="000000" w:themeColor="text1"/>
        </w:rPr>
        <w:t xml:space="preserve"> be the display referred R, G, B values. </w:t>
      </w:r>
      <w:r w:rsidRPr="008467B6">
        <w:t>For X = R, G, B, the following applies</w:t>
      </w:r>
      <w:r w:rsidRPr="008467B6">
        <w:rPr>
          <w:color w:val="000000" w:themeColor="text1"/>
        </w:rPr>
        <w:t>:</w:t>
      </w:r>
    </w:p>
    <w:p w14:paraId="378BEB39" w14:textId="77777777" w:rsidR="007B6848" w:rsidRPr="008467B6" w:rsidRDefault="007B6848" w:rsidP="007B6848">
      <w:r w:rsidRPr="008467B6">
        <w:tab/>
      </w:r>
      <w:r w:rsidRPr="008467B6">
        <w:rPr>
          <w:color w:val="000000" w:themeColor="text1"/>
        </w:rPr>
        <w:t>Xn = Max( 0, X</w:t>
      </w:r>
      <w:r w:rsidRPr="008467B6">
        <w:rPr>
          <w:color w:val="000000" w:themeColor="text1"/>
          <w:vertAlign w:val="subscript"/>
        </w:rPr>
        <w:t>display</w:t>
      </w:r>
      <w:r w:rsidRPr="008467B6">
        <w:rPr>
          <w:color w:val="000000" w:themeColor="text1"/>
        </w:rPr>
        <w:t xml:space="preserve"> </w:t>
      </w:r>
      <w:r w:rsidRPr="008467B6">
        <w:rPr>
          <w:szCs w:val="18"/>
        </w:rPr>
        <w:t>÷</w:t>
      </w:r>
      <w:r w:rsidRPr="008467B6">
        <w:rPr>
          <w:color w:val="000000" w:themeColor="text1"/>
        </w:rPr>
        <w:t xml:space="preserve"> P )</w:t>
      </w:r>
      <w:r w:rsidRPr="008467B6">
        <w:tab/>
      </w:r>
      <w:r w:rsidRPr="008467B6">
        <w:tab/>
        <w:t>(</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3</w:t>
      </w:r>
      <w:r>
        <w:rPr>
          <w:noProof/>
        </w:rPr>
        <w:fldChar w:fldCharType="end"/>
      </w:r>
      <w:r w:rsidRPr="008467B6">
        <w:t>)</w:t>
      </w:r>
    </w:p>
    <w:p w14:paraId="0DCBB47D"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rPr>
          <w:color w:val="000000" w:themeColor="text1"/>
        </w:rPr>
      </w:pPr>
      <w:r w:rsidRPr="008467B6">
        <w:rPr>
          <w:color w:val="000000" w:themeColor="text1"/>
        </w:rPr>
        <w:t>The luminance Y</w:t>
      </w:r>
      <w:r w:rsidRPr="008467B6">
        <w:rPr>
          <w:color w:val="000000" w:themeColor="text1"/>
          <w:vertAlign w:val="subscript"/>
        </w:rPr>
        <w:t>display</w:t>
      </w:r>
      <w:r w:rsidRPr="008467B6">
        <w:rPr>
          <w:color w:val="000000" w:themeColor="text1"/>
        </w:rPr>
        <w:t xml:space="preserve"> is derived from Rn, Gn, Bn values:</w:t>
      </w:r>
    </w:p>
    <w:p w14:paraId="5AD7DD86" w14:textId="77777777" w:rsidR="007B6848" w:rsidRPr="008467B6" w:rsidRDefault="007B6848" w:rsidP="007B6848">
      <w:r w:rsidRPr="008467B6">
        <w:tab/>
      </w:r>
      <w:r w:rsidRPr="008467B6">
        <w:rPr>
          <w:color w:val="000000" w:themeColor="text1"/>
        </w:rPr>
        <w:t>Y</w:t>
      </w:r>
      <w:r w:rsidRPr="008467B6">
        <w:rPr>
          <w:color w:val="000000" w:themeColor="text1"/>
          <w:vertAlign w:val="subscript"/>
        </w:rPr>
        <w:t>display</w:t>
      </w:r>
      <w:r w:rsidRPr="008467B6">
        <w:rPr>
          <w:color w:val="000000" w:themeColor="text1"/>
        </w:rPr>
        <w:t xml:space="preserve"> = a0 * Rn + a1 * Gn + a2 * Bn</w:t>
      </w:r>
      <w:r w:rsidRPr="008467B6">
        <w:rPr>
          <w:color w:val="000000" w:themeColor="text1"/>
        </w:rPr>
        <w:tab/>
      </w:r>
      <w:r w:rsidRPr="008467B6">
        <w:tab/>
        <w:t>(</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4</w:t>
      </w:r>
      <w:r>
        <w:rPr>
          <w:noProof/>
        </w:rPr>
        <w:fldChar w:fldCharType="end"/>
      </w:r>
      <w:r w:rsidRPr="008467B6">
        <w:t>)</w:t>
      </w:r>
    </w:p>
    <w:p w14:paraId="265A4DC6" w14:textId="77777777" w:rsidR="007B6848" w:rsidRPr="008467B6" w:rsidRDefault="007B6848" w:rsidP="007B6848">
      <w:pPr>
        <w:pStyle w:val="ListParagraph"/>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rPr>
          <w:color w:val="000000" w:themeColor="text1"/>
        </w:rPr>
      </w:pPr>
      <w:r w:rsidRPr="008467B6">
        <w:rPr>
          <w:color w:val="000000" w:themeColor="text1"/>
        </w:rPr>
        <w:t>where a0 = 0.2627, b0 = 0.678 and c0 = 0.0593 are the conventional RGB-to-Y derivation coefficients for BT.2020 color gamut container.</w:t>
      </w:r>
    </w:p>
    <w:p w14:paraId="71667493"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contextualSpacing w:val="0"/>
        <w:textAlignment w:val="baseline"/>
        <w:rPr>
          <w:color w:val="000000" w:themeColor="text1"/>
        </w:rPr>
      </w:pPr>
      <w:r w:rsidRPr="008467B6">
        <w:rPr>
          <w:color w:val="000000" w:themeColor="text1"/>
        </w:rPr>
        <w:t>The value of the system gamma g is estimated from the peak luminance P as follows:</w:t>
      </w:r>
    </w:p>
    <w:p w14:paraId="02932ED5" w14:textId="77777777" w:rsidR="007B6848" w:rsidRPr="008467B6" w:rsidRDefault="007B6848" w:rsidP="007B6848">
      <w:pPr>
        <w:tabs>
          <w:tab w:val="num" w:pos="2160"/>
        </w:tabs>
      </w:pPr>
      <w:r w:rsidRPr="008467B6">
        <w:tab/>
      </w:r>
      <w:r w:rsidRPr="008467B6">
        <w:rPr>
          <w:color w:val="000000" w:themeColor="text1"/>
        </w:rPr>
        <w:t xml:space="preserve">g = 1.2 + 0.42 * Log10( P </w:t>
      </w:r>
      <w:r w:rsidRPr="008467B6">
        <w:rPr>
          <w:szCs w:val="18"/>
        </w:rPr>
        <w:t>÷</w:t>
      </w:r>
      <w:r w:rsidRPr="008467B6">
        <w:rPr>
          <w:color w:val="000000" w:themeColor="text1"/>
        </w:rPr>
        <w:t xml:space="preserve"> 1000 )</w:t>
      </w:r>
      <w:r w:rsidRPr="008467B6">
        <w:rPr>
          <w:color w:val="000000" w:themeColor="text1"/>
          <w:vertAlign w:val="superscript"/>
        </w:rPr>
        <w:tab/>
      </w:r>
      <w:r w:rsidRPr="008467B6">
        <w:tab/>
        <w:t>(</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5</w:t>
      </w:r>
      <w:r>
        <w:rPr>
          <w:noProof/>
        </w:rPr>
        <w:fldChar w:fldCharType="end"/>
      </w:r>
      <w:r w:rsidRPr="008467B6">
        <w:t>)</w:t>
      </w:r>
    </w:p>
    <w:p w14:paraId="63784591"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contextualSpacing w:val="0"/>
        <w:textAlignment w:val="baseline"/>
        <w:rPr>
          <w:color w:val="000000" w:themeColor="text1"/>
        </w:rPr>
      </w:pPr>
      <w:r w:rsidRPr="008467B6">
        <w:rPr>
          <w:color w:val="000000" w:themeColor="text1"/>
        </w:rPr>
        <w:t>The value g</w:t>
      </w:r>
      <w:r w:rsidRPr="008467B6">
        <w:rPr>
          <w:color w:val="000000" w:themeColor="text1"/>
          <w:vertAlign w:val="subscript"/>
        </w:rPr>
        <w:t>scale</w:t>
      </w:r>
      <w:r w:rsidRPr="008467B6">
        <w:rPr>
          <w:color w:val="000000" w:themeColor="text1"/>
        </w:rPr>
        <w:t xml:space="preserve"> is derived as follows</w:t>
      </w:r>
    </w:p>
    <w:p w14:paraId="1811C19E"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scale</m:t>
            </m:r>
          </m:sub>
        </m:sSub>
        <m:r>
          <m:rPr>
            <m:sty m:val="p"/>
          </m:rPr>
          <w:rPr>
            <w:rFonts w:ascii="Cambria Math" w:eastAsia="Cambria Math" w:hAnsi="Cambria Math" w:cs="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display</m:t>
                    </m:r>
                  </m:sub>
                </m:sSub>
              </m:e>
            </m:d>
          </m:e>
          <m:sup>
            <m:f>
              <m:fPr>
                <m:ctrlPr>
                  <w:rPr>
                    <w:rFonts w:ascii="Cambria Math" w:hAnsi="Cambria Math"/>
                  </w:rPr>
                </m:ctrlPr>
              </m:fPr>
              <m:num>
                <m:r>
                  <m:rPr>
                    <m:sty m:val="p"/>
                  </m:rPr>
                  <w:rPr>
                    <w:rFonts w:ascii="Cambria Math" w:hAnsi="Cambria Math"/>
                  </w:rPr>
                  <m:t>1-g</m:t>
                </m:r>
              </m:num>
              <m:den>
                <m:r>
                  <m:rPr>
                    <m:sty m:val="p"/>
                  </m:rPr>
                  <w:rPr>
                    <w:rFonts w:ascii="Cambria Math" w:hAnsi="Cambria Math"/>
                  </w:rPr>
                  <m:t>g</m:t>
                </m:r>
              </m:den>
            </m:f>
          </m:sup>
        </m:sSup>
      </m:oMath>
      <w:r w:rsidRPr="008467B6">
        <w:tab/>
      </w:r>
      <w:r w:rsidRPr="008467B6">
        <w:tab/>
        <w:t>(</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6</w:t>
      </w:r>
      <w:r>
        <w:rPr>
          <w:noProof/>
        </w:rPr>
        <w:fldChar w:fldCharType="end"/>
      </w:r>
      <w:r w:rsidRPr="008467B6">
        <w:t>)</w:t>
      </w:r>
    </w:p>
    <w:p w14:paraId="7C3D9121"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contextualSpacing w:val="0"/>
        <w:textAlignment w:val="baseline"/>
        <w:rPr>
          <w:color w:val="000000" w:themeColor="text1"/>
        </w:rPr>
      </w:pPr>
      <w:r w:rsidRPr="008467B6">
        <w:rPr>
          <w:color w:val="000000" w:themeColor="text1"/>
        </w:rPr>
        <w:t>The output mapped samples R</w:t>
      </w:r>
      <w:r w:rsidRPr="008467B6">
        <w:rPr>
          <w:color w:val="000000" w:themeColor="text1"/>
          <w:vertAlign w:val="subscript"/>
        </w:rPr>
        <w:t>scene</w:t>
      </w:r>
      <w:r w:rsidRPr="008467B6">
        <w:rPr>
          <w:color w:val="000000" w:themeColor="text1"/>
        </w:rPr>
        <w:t>, G</w:t>
      </w:r>
      <w:r w:rsidRPr="008467B6">
        <w:rPr>
          <w:color w:val="000000" w:themeColor="text1"/>
          <w:vertAlign w:val="subscript"/>
        </w:rPr>
        <w:t>scene</w:t>
      </w:r>
      <w:r w:rsidRPr="008467B6">
        <w:rPr>
          <w:color w:val="000000" w:themeColor="text1"/>
        </w:rPr>
        <w:t>, B</w:t>
      </w:r>
      <w:r w:rsidRPr="008467B6">
        <w:rPr>
          <w:color w:val="000000" w:themeColor="text1"/>
          <w:vertAlign w:val="subscript"/>
        </w:rPr>
        <w:t>scene</w:t>
      </w:r>
      <w:r w:rsidRPr="008467B6">
        <w:rPr>
          <w:color w:val="000000" w:themeColor="text1"/>
        </w:rPr>
        <w:t xml:space="preserve"> samples are eventually obtained by scaling Rn, Gn, Bn. </w:t>
      </w:r>
      <w:r w:rsidRPr="008467B6">
        <w:t>For X = R, G or B, the following applies:</w:t>
      </w:r>
    </w:p>
    <w:p w14:paraId="60F58ACF"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scene</m:t>
            </m:r>
          </m:sub>
        </m:sSub>
        <m:r>
          <w:rPr>
            <w:rFonts w:ascii="Cambria Math" w:eastAsia="Cambria Math" w:hAnsi="Cambria Math" w:cs="Cambria Math"/>
          </w:rPr>
          <m:t>=</m:t>
        </m:r>
        <m:r>
          <m:rPr>
            <m:sty m:val="p"/>
          </m:rPr>
          <w:rPr>
            <w:rFonts w:ascii="Cambria Math" w:hAnsi="Cambria Math"/>
          </w:rPr>
          <m:t>Clip3</m:t>
        </m:r>
        <m:d>
          <m:dPr>
            <m:ctrlPr>
              <w:rPr>
                <w:rFonts w:ascii="Cambria Math" w:eastAsia="Cambria Math" w:hAnsi="Cambria Math" w:cs="Cambria Math"/>
                <w:i/>
              </w:rPr>
            </m:ctrlPr>
          </m:dPr>
          <m:e>
            <m:r>
              <w:rPr>
                <w:rFonts w:ascii="Cambria Math" w:eastAsia="Cambria Math" w:hAnsi="Cambria Math" w:cs="Cambria Math"/>
              </w:rPr>
              <m:t>0,1,</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scale</m:t>
                </m:r>
              </m:sub>
            </m:sSub>
            <m:r>
              <m:rPr>
                <m:sty m:val="p"/>
              </m:rPr>
              <w:rPr>
                <w:rFonts w:ascii="Cambria Math" w:eastAsia="Cambria Math" w:hAnsi="Cambria Math" w:cs="Cambria Math"/>
              </w:rPr>
              <m:t>*Xn</m:t>
            </m:r>
          </m:e>
        </m:d>
      </m:oMath>
      <w:r w:rsidRPr="008467B6">
        <w:tab/>
      </w:r>
      <w:r w:rsidRPr="008467B6">
        <w:tab/>
        <w:t>(</w:t>
      </w:r>
      <w:r>
        <w:fldChar w:fldCharType="begin"/>
      </w:r>
      <w:r>
        <w:instrText xml:space="preserve"> STYLEREF 1 \s </w:instrText>
      </w:r>
      <w:r>
        <w:fldChar w:fldCharType="separate"/>
      </w:r>
      <w:r>
        <w:rPr>
          <w:noProof/>
        </w:rPr>
        <w:t>7</w:t>
      </w:r>
      <w:r>
        <w:rPr>
          <w:noProof/>
        </w:rPr>
        <w:fldChar w:fldCharType="end"/>
      </w:r>
      <w:r w:rsidRPr="008467B6">
        <w:noBreakHyphen/>
      </w:r>
      <w:r>
        <w:fldChar w:fldCharType="begin"/>
      </w:r>
      <w:r>
        <w:instrText xml:space="preserve"> SEQ Equation \* ARABIC \s 1 </w:instrText>
      </w:r>
      <w:r>
        <w:fldChar w:fldCharType="separate"/>
      </w:r>
      <w:r>
        <w:rPr>
          <w:noProof/>
        </w:rPr>
        <w:t>7</w:t>
      </w:r>
      <w:r>
        <w:rPr>
          <w:noProof/>
        </w:rPr>
        <w:fldChar w:fldCharType="end"/>
      </w:r>
      <w:r w:rsidRPr="008467B6">
        <w:t>)</w:t>
      </w:r>
    </w:p>
    <w:p w14:paraId="46DB0FB9" w14:textId="77777777" w:rsidR="007B6848" w:rsidRPr="008467B6" w:rsidRDefault="007B6848" w:rsidP="007B6848">
      <w:pPr>
        <w:spacing w:before="120"/>
        <w:ind w:left="288"/>
        <w:rPr>
          <w:sz w:val="18"/>
        </w:rPr>
      </w:pPr>
      <w:r w:rsidRPr="008467B6">
        <w:rPr>
          <w:sz w:val="18"/>
        </w:rPr>
        <w:lastRenderedPageBreak/>
        <w:t xml:space="preserve">NOTE – Transcoding between PQ and HLG signals is specified in Section 7 of ITU-R report BT.2390 </w:t>
      </w:r>
      <w:r w:rsidRPr="008467B6">
        <w:rPr>
          <w:sz w:val="18"/>
        </w:rPr>
        <w:fldChar w:fldCharType="begin"/>
      </w:r>
      <w:r w:rsidRPr="008467B6">
        <w:rPr>
          <w:sz w:val="18"/>
        </w:rPr>
        <w:instrText xml:space="preserve"> REF _Ref461014420 \r \h </w:instrText>
      </w:r>
      <w:r w:rsidRPr="008467B6">
        <w:rPr>
          <w:sz w:val="18"/>
        </w:rPr>
      </w:r>
      <w:r w:rsidRPr="008467B6">
        <w:rPr>
          <w:sz w:val="18"/>
        </w:rPr>
        <w:fldChar w:fldCharType="separate"/>
      </w:r>
      <w:r>
        <w:rPr>
          <w:b/>
          <w:bCs/>
          <w:sz w:val="18"/>
        </w:rPr>
        <w:t>Error! Reference source not found.</w:t>
      </w:r>
      <w:r w:rsidRPr="008467B6">
        <w:rPr>
          <w:sz w:val="18"/>
        </w:rPr>
        <w:fldChar w:fldCharType="end"/>
      </w:r>
      <w:r w:rsidRPr="008467B6">
        <w:rPr>
          <w:sz w:val="18"/>
        </w:rPr>
        <w:t xml:space="preserve">. When the peak brightness of the HLG and PQ displays are the same, the original and transcoded signals will look identical. Typically, however, for PQ content the brightness of low-lights and mid-tones remains the same, regardless of the peak brightness of the display. Brighter PQ displays offer increased headroom for specular highlights, but the overall image brightness remains unchanged. HLG, however, is based on relative brightness. Thus, as the display’s peak brightness increases so does the brightness of the entire image. The headroom for specular highlights is a constant number of stops, but the brighter image makes it suitable for viewing in brighter environments. When, for example, a PQ signal with 4000 </w:t>
      </w:r>
      <w:r w:rsidRPr="00980878">
        <w:t>cd/m</w:t>
      </w:r>
      <w:r w:rsidRPr="00980878">
        <w:rPr>
          <w:vertAlign w:val="superscript"/>
        </w:rPr>
        <w:t xml:space="preserve">2 </w:t>
      </w:r>
      <w:r w:rsidRPr="008467B6">
        <w:rPr>
          <w:sz w:val="18"/>
        </w:rPr>
        <w:t xml:space="preserve">peak luminance is transcoded to HLG using the method specified in ITU-R BT.2390, whilst it will appear identical on a 4000 </w:t>
      </w:r>
      <w:r w:rsidRPr="00980878">
        <w:t>cd/m</w:t>
      </w:r>
      <w:r w:rsidRPr="00980878">
        <w:rPr>
          <w:vertAlign w:val="superscript"/>
        </w:rPr>
        <w:t xml:space="preserve">2 </w:t>
      </w:r>
      <w:r w:rsidRPr="008467B6">
        <w:rPr>
          <w:sz w:val="18"/>
        </w:rPr>
        <w:t xml:space="preserve">HLG display, it may appear darker when shown on a 1000 </w:t>
      </w:r>
      <w:r w:rsidRPr="00980878">
        <w:t>cd/m</w:t>
      </w:r>
      <w:r w:rsidRPr="00980878">
        <w:rPr>
          <w:vertAlign w:val="superscript"/>
        </w:rPr>
        <w:t xml:space="preserve">2 </w:t>
      </w:r>
      <w:r w:rsidRPr="008467B6">
        <w:rPr>
          <w:sz w:val="18"/>
        </w:rPr>
        <w:t>HLG display in brighter environments. As the PQ and HLG systems have different characteristics, a format conversion rather than a simple transcode is required. Such format conversions are outside of the scope of this document.</w:t>
      </w:r>
    </w:p>
    <w:p w14:paraId="5CF714F5" w14:textId="77777777" w:rsidR="007B6848" w:rsidRPr="008467B6" w:rsidRDefault="007B6848" w:rsidP="007B6848">
      <w:pPr>
        <w:pStyle w:val="Heading3"/>
      </w:pPr>
      <w:bookmarkStart w:id="177" w:name="_Toc467226109"/>
      <w:r w:rsidRPr="008467B6">
        <w:t>Encoding process</w:t>
      </w:r>
      <w:bookmarkEnd w:id="177"/>
    </w:p>
    <w:p w14:paraId="0DEBD24C" w14:textId="77777777" w:rsidR="007B6848" w:rsidRPr="00980878" w:rsidRDefault="007B6848" w:rsidP="007B6848">
      <w:r w:rsidRPr="008467B6">
        <w:t xml:space="preserve">After pre-processing, the data is ready for compression. The quantization methodologies, perceptual luma quantization, in sub-clause </w:t>
      </w:r>
      <w:r>
        <w:t>7.1</w:t>
      </w:r>
      <w:r w:rsidRPr="008467B6">
        <w:t xml:space="preserve">, and chroma QP offset in sub-clause </w:t>
      </w:r>
      <w:r>
        <w:t>7.2</w:t>
      </w:r>
      <w:r w:rsidRPr="008467B6">
        <w:t xml:space="preserve">, presented in </w:t>
      </w:r>
      <w:r w:rsidRPr="008467B6">
        <w:fldChar w:fldCharType="begin"/>
      </w:r>
      <w:r w:rsidRPr="008467B6">
        <w:instrText xml:space="preserve"> REF _Ref448495076 \r \h </w:instrText>
      </w:r>
      <w:r w:rsidRPr="008467B6">
        <w:fldChar w:fldCharType="separate"/>
      </w:r>
      <w:r>
        <w:t>[1]</w:t>
      </w:r>
      <w:r w:rsidRPr="008467B6">
        <w:fldChar w:fldCharType="end"/>
      </w:r>
      <w:r w:rsidRPr="008467B6">
        <w:t>, can be used in case of HLG signal. T</w:t>
      </w:r>
      <w:r w:rsidRPr="00980878">
        <w:t>he exact parameter settings for these two quantization methods might need to be reconfigured.</w:t>
      </w:r>
    </w:p>
    <w:p w14:paraId="2AEF788A" w14:textId="77777777" w:rsidR="007B6848" w:rsidRPr="008467B6" w:rsidRDefault="007B6848" w:rsidP="007B6848">
      <w:pPr>
        <w:rPr>
          <w:rFonts w:eastAsia="SimSun"/>
        </w:rPr>
      </w:pPr>
      <w:r w:rsidRPr="008467B6">
        <w:rPr>
          <w:rFonts w:eastAsia="SimSun"/>
        </w:rPr>
        <w:t>To allow the HEVC</w:t>
      </w:r>
      <w:r>
        <w:rPr>
          <w:rFonts w:eastAsia="SimSun"/>
        </w:rPr>
        <w:t xml:space="preserve"> or AVC </w:t>
      </w:r>
      <w:r w:rsidRPr="008467B6">
        <w:rPr>
          <w:rFonts w:eastAsia="SimSun"/>
        </w:rPr>
        <w:t>encoded bitstream to be viewed on an SDR display, the resulting Y</w:t>
      </w:r>
      <w:r w:rsidRPr="008467B6">
        <w:sym w:font="Symbol" w:char="F0A2"/>
      </w:r>
      <w:r w:rsidRPr="008467B6">
        <w:rPr>
          <w:rFonts w:eastAsia="SimSun"/>
        </w:rPr>
        <w:t>CbCr 4:2:0 10-bits signal can be signalled as being an SDR signal</w:t>
      </w:r>
      <w:r>
        <w:rPr>
          <w:rFonts w:eastAsia="SimSun"/>
        </w:rPr>
        <w:t xml:space="preserve">. In both cases, this is done </w:t>
      </w:r>
      <w:r w:rsidRPr="008467B6">
        <w:rPr>
          <w:rFonts w:eastAsia="SimSun"/>
        </w:rPr>
        <w:t xml:space="preserve">by indicating in VUI a transfer_characteristics value corresponding to an SDR transfer function, e.g. BT.2020 with code value 14. For HDR HLG compliant displays, the actual HLG transfer function can be indicated by means of the ATC SEI message, as described in sub-clause </w:t>
      </w:r>
      <w:r w:rsidRPr="008467B6">
        <w:rPr>
          <w:rFonts w:eastAsia="SimSun"/>
        </w:rPr>
        <w:fldChar w:fldCharType="begin"/>
      </w:r>
      <w:r w:rsidRPr="008467B6">
        <w:rPr>
          <w:rFonts w:eastAsia="SimSun"/>
        </w:rPr>
        <w:instrText xml:space="preserve"> REF _Ref465344898 \r \h </w:instrText>
      </w:r>
      <w:r w:rsidRPr="008467B6">
        <w:rPr>
          <w:rFonts w:eastAsia="SimSun"/>
        </w:rPr>
      </w:r>
      <w:r w:rsidRPr="008467B6">
        <w:rPr>
          <w:rFonts w:eastAsia="SimSun"/>
        </w:rPr>
        <w:fldChar w:fldCharType="separate"/>
      </w:r>
      <w:r>
        <w:rPr>
          <w:rFonts w:eastAsia="SimSun"/>
        </w:rPr>
        <w:t>7.1.6</w:t>
      </w:r>
      <w:r w:rsidRPr="008467B6">
        <w:rPr>
          <w:rFonts w:eastAsia="SimSun"/>
        </w:rPr>
        <w:fldChar w:fldCharType="end"/>
      </w:r>
      <w:r w:rsidRPr="008467B6">
        <w:rPr>
          <w:rFonts w:eastAsia="SimSun"/>
        </w:rPr>
        <w:t>.</w:t>
      </w:r>
    </w:p>
    <w:p w14:paraId="3FF0122F" w14:textId="77777777" w:rsidR="007B6848" w:rsidRDefault="007B6848" w:rsidP="007B6848">
      <w:pPr>
        <w:spacing w:before="120"/>
        <w:ind w:left="288"/>
        <w:rPr>
          <w:sz w:val="18"/>
        </w:rPr>
      </w:pPr>
      <w:r w:rsidRPr="008467B6">
        <w:rPr>
          <w:sz w:val="18"/>
        </w:rPr>
        <w:t>NOTE – For HDR-only systems, with no SDR backward compatibility, the VUI transfer_characteristics element should indicate that the transfer function corresponds to HLG (transfer_characteristics set equal to 18</w:t>
      </w:r>
      <w:r>
        <w:rPr>
          <w:sz w:val="18"/>
        </w:rPr>
        <w:t xml:space="preserve"> in both HEVC and AVC cases</w:t>
      </w:r>
      <w:r w:rsidRPr="008467B6">
        <w:rPr>
          <w:sz w:val="18"/>
        </w:rPr>
        <w:t>).</w:t>
      </w:r>
    </w:p>
    <w:p w14:paraId="77F67CEC" w14:textId="77777777" w:rsidR="007B6848" w:rsidRPr="008467B6" w:rsidRDefault="007B6848" w:rsidP="007B6848">
      <w:pPr>
        <w:pStyle w:val="Heading3"/>
      </w:pPr>
      <w:bookmarkStart w:id="178" w:name="_Ref467062914"/>
      <w:bookmarkStart w:id="179" w:name="_Toc467226110"/>
      <w:r w:rsidRPr="008467B6">
        <w:t>Decoding process</w:t>
      </w:r>
      <w:bookmarkEnd w:id="178"/>
      <w:bookmarkEnd w:id="179"/>
    </w:p>
    <w:p w14:paraId="4623607F" w14:textId="77777777" w:rsidR="007B6848" w:rsidRPr="008467B6" w:rsidRDefault="007B6848" w:rsidP="007B6848">
      <w:r w:rsidRPr="008467B6">
        <w:t xml:space="preserve">When the bitstream is an HEVC bitstream the decoding process as in the HEVC specification </w:t>
      </w:r>
      <w:r>
        <w:fldChar w:fldCharType="begin"/>
      </w:r>
      <w:r>
        <w:instrText xml:space="preserve"> REF _Ref324152123 \r \h </w:instrText>
      </w:r>
      <w:r>
        <w:fldChar w:fldCharType="separate"/>
      </w:r>
      <w:r>
        <w:t>[4]</w:t>
      </w:r>
      <w:r>
        <w:fldChar w:fldCharType="end"/>
      </w:r>
      <w:r w:rsidRPr="008467B6">
        <w:fldChar w:fldCharType="begin"/>
      </w:r>
      <w:r w:rsidRPr="008467B6">
        <w:instrText xml:space="preserve"> REF _Ref464312482 \r \h </w:instrText>
      </w:r>
      <w:r w:rsidRPr="008467B6">
        <w:fldChar w:fldCharType="separate"/>
      </w:r>
      <w:r>
        <w:t>[5]</w:t>
      </w:r>
      <w:r w:rsidRPr="008467B6">
        <w:fldChar w:fldCharType="end"/>
      </w:r>
      <w:r w:rsidRPr="008467B6">
        <w:t xml:space="preserve"> is performed.</w:t>
      </w:r>
    </w:p>
    <w:p w14:paraId="5639BE3A" w14:textId="77777777" w:rsidR="007B6848" w:rsidRPr="00980878" w:rsidRDefault="007B6848" w:rsidP="007B6848">
      <w:r w:rsidRPr="008467B6">
        <w:t xml:space="preserve">When the bitstream is an AVC bitstream the decoding process in the AVC specification </w:t>
      </w:r>
      <w:r>
        <w:fldChar w:fldCharType="begin"/>
      </w:r>
      <w:r>
        <w:instrText xml:space="preserve"> REF _Ref467236857 \r \h </w:instrText>
      </w:r>
      <w:r>
        <w:fldChar w:fldCharType="separate"/>
      </w:r>
      <w:r>
        <w:t>[6]</w:t>
      </w:r>
      <w:r>
        <w:fldChar w:fldCharType="end"/>
      </w:r>
      <w:r>
        <w:fldChar w:fldCharType="begin"/>
      </w:r>
      <w:r>
        <w:instrText xml:space="preserve"> REF _Ref467236864 \r \h </w:instrText>
      </w:r>
      <w:r>
        <w:fldChar w:fldCharType="separate"/>
      </w:r>
      <w:r>
        <w:t>[7]</w:t>
      </w:r>
      <w:r>
        <w:fldChar w:fldCharType="end"/>
      </w:r>
      <w:r w:rsidRPr="008467B6">
        <w:t xml:space="preserve"> is performed.</w:t>
      </w:r>
    </w:p>
    <w:p w14:paraId="0043ABF6" w14:textId="77777777" w:rsidR="007B6848" w:rsidRPr="00AC254C" w:rsidRDefault="007B6848" w:rsidP="007B6848">
      <w:pPr>
        <w:spacing w:before="120"/>
        <w:ind w:left="357"/>
        <w:rPr>
          <w:sz w:val="18"/>
        </w:rPr>
      </w:pPr>
      <w:r w:rsidRPr="00AC254C">
        <w:rPr>
          <w:sz w:val="18"/>
        </w:rPr>
        <w:t>NOTE – The decoding process for HDR/WCG video is not different from the decoding process of SDR video.</w:t>
      </w:r>
    </w:p>
    <w:p w14:paraId="3F28BDA1" w14:textId="77777777" w:rsidR="007B6848" w:rsidRPr="008467B6" w:rsidRDefault="007B6848" w:rsidP="007B6848">
      <w:pPr>
        <w:pStyle w:val="Heading3"/>
      </w:pPr>
      <w:bookmarkStart w:id="180" w:name="_Toc466881667"/>
      <w:bookmarkStart w:id="181" w:name="_Toc466882477"/>
      <w:bookmarkStart w:id="182" w:name="_Toc466883443"/>
      <w:bookmarkStart w:id="183" w:name="_Toc467226111"/>
      <w:bookmarkEnd w:id="180"/>
      <w:bookmarkEnd w:id="181"/>
      <w:bookmarkEnd w:id="182"/>
      <w:r w:rsidRPr="008467B6">
        <w:t>HLG post-decoding conversion</w:t>
      </w:r>
      <w:bookmarkEnd w:id="183"/>
    </w:p>
    <w:p w14:paraId="18FFAB59" w14:textId="77777777" w:rsidR="007B6848" w:rsidRPr="008467B6" w:rsidRDefault="007B6848" w:rsidP="007B6848">
      <w:pPr>
        <w:rPr>
          <w:color w:val="000000" w:themeColor="text1"/>
        </w:rPr>
      </w:pPr>
      <w:r w:rsidRPr="008467B6">
        <w:rPr>
          <w:color w:val="000000" w:themeColor="text1"/>
        </w:rPr>
        <w:t xml:space="preserve">HLG post-decoding inverse conversion process is illustrated in </w:t>
      </w:r>
      <w:r w:rsidRPr="008467B6">
        <w:rPr>
          <w:color w:val="000000" w:themeColor="text1"/>
        </w:rPr>
        <w:fldChar w:fldCharType="begin"/>
      </w:r>
      <w:r w:rsidRPr="008467B6">
        <w:rPr>
          <w:color w:val="000000" w:themeColor="text1"/>
        </w:rPr>
        <w:instrText xml:space="preserve"> REF _Ref466889195 \h </w:instrText>
      </w:r>
      <w:r w:rsidRPr="008467B6">
        <w:rPr>
          <w:color w:val="000000" w:themeColor="text1"/>
        </w:rPr>
      </w:r>
      <w:r w:rsidRPr="008467B6">
        <w:rPr>
          <w:color w:val="000000" w:themeColor="text1"/>
        </w:rPr>
        <w:fldChar w:fldCharType="separate"/>
      </w:r>
      <w:r w:rsidRPr="008467B6">
        <w:rPr>
          <w:lang w:val="en-US"/>
        </w:rPr>
        <w:t>Figure </w:t>
      </w:r>
      <w:r>
        <w:rPr>
          <w:noProof/>
          <w:lang w:val="en-US"/>
        </w:rPr>
        <w:t>7</w:t>
      </w:r>
      <w:r>
        <w:rPr>
          <w:lang w:val="en-US"/>
        </w:rPr>
        <w:noBreakHyphen/>
      </w:r>
      <w:r>
        <w:rPr>
          <w:noProof/>
          <w:lang w:val="en-US"/>
        </w:rPr>
        <w:t>2</w:t>
      </w:r>
      <w:r w:rsidRPr="008467B6">
        <w:rPr>
          <w:color w:val="000000" w:themeColor="text1"/>
        </w:rPr>
        <w:fldChar w:fldCharType="end"/>
      </w:r>
      <w:r w:rsidRPr="008467B6">
        <w:rPr>
          <w:color w:val="000000" w:themeColor="text1"/>
        </w:rPr>
        <w:t>. The inverse conversion chain consists of the following successive steps:</w:t>
      </w:r>
    </w:p>
    <w:p w14:paraId="235D3FBD" w14:textId="77777777" w:rsidR="007B6848" w:rsidRPr="008467B6" w:rsidRDefault="007B6848" w:rsidP="007B6848">
      <w:pPr>
        <w:pStyle w:val="ListParagraph"/>
        <w:numPr>
          <w:ilvl w:val="0"/>
          <w:numId w:val="13"/>
        </w:numPr>
      </w:pPr>
      <w:r w:rsidRPr="008467B6">
        <w:rPr>
          <w:lang w:eastAsia="ko-KR"/>
        </w:rPr>
        <w:t xml:space="preserve">a chroma up-conversion that converts data from </w:t>
      </w:r>
      <w:r w:rsidRPr="008467B6">
        <w:rPr>
          <w:rFonts w:eastAsia="SimSun"/>
        </w:rPr>
        <w:t>Y</w:t>
      </w:r>
      <w:r w:rsidRPr="008467B6">
        <w:sym w:font="Symbol" w:char="F0A2"/>
      </w:r>
      <w:r w:rsidRPr="008467B6">
        <w:rPr>
          <w:rFonts w:eastAsia="SimSun"/>
        </w:rPr>
        <w:t xml:space="preserve">CbCr </w:t>
      </w:r>
      <w:r w:rsidRPr="008467B6">
        <w:rPr>
          <w:lang w:eastAsia="ko-KR"/>
        </w:rPr>
        <w:t xml:space="preserve">4:2:0 to </w:t>
      </w:r>
      <w:r w:rsidRPr="008467B6">
        <w:rPr>
          <w:rFonts w:eastAsia="SimSun"/>
        </w:rPr>
        <w:t>Y</w:t>
      </w:r>
      <w:r w:rsidRPr="008467B6">
        <w:sym w:font="Symbol" w:char="F0A2"/>
      </w:r>
      <w:r w:rsidRPr="008467B6">
        <w:rPr>
          <w:rFonts w:eastAsia="SimSun"/>
        </w:rPr>
        <w:t xml:space="preserve">CbCr </w:t>
      </w:r>
      <w:r w:rsidRPr="008467B6">
        <w:rPr>
          <w:lang w:eastAsia="ko-KR"/>
        </w:rPr>
        <w:t>4:4:4,</w:t>
      </w:r>
      <w:r w:rsidRPr="008467B6">
        <w:rPr>
          <w:rFonts w:eastAsia="SimSun"/>
        </w:rPr>
        <w:t xml:space="preserve"> </w:t>
      </w:r>
      <w:r w:rsidRPr="008467B6">
        <w:t xml:space="preserve">following the same process described in sub-clause </w:t>
      </w:r>
      <w:r>
        <w:t>9.1.2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4B62F74C" w14:textId="77777777" w:rsidR="007B6848" w:rsidRPr="008467B6" w:rsidRDefault="007B6848" w:rsidP="007B6848">
      <w:pPr>
        <w:pStyle w:val="ListParagraph"/>
        <w:numPr>
          <w:ilvl w:val="0"/>
          <w:numId w:val="13"/>
        </w:numPr>
        <w:rPr>
          <w:lang w:eastAsia="ko-KR"/>
        </w:rPr>
      </w:pPr>
      <w:r w:rsidRPr="008467B6">
        <w:rPr>
          <w:lang w:eastAsia="ko-KR"/>
        </w:rPr>
        <w:t>a conversion</w:t>
      </w:r>
      <w:r>
        <w:rPr>
          <w:lang w:eastAsia="ko-KR"/>
        </w:rPr>
        <w:t xml:space="preserve"> step</w:t>
      </w:r>
      <w:r w:rsidRPr="008467B6">
        <w:rPr>
          <w:lang w:eastAsia="ko-KR"/>
        </w:rPr>
        <w:t xml:space="preserve"> that converts a fixed-point representation, i.e. 10 bits, to a floating-point representation, </w:t>
      </w:r>
      <w:r w:rsidRPr="008467B6">
        <w:t xml:space="preserve">following the same process described in sub-clause </w:t>
      </w:r>
      <w:r>
        <w:t>9.1.1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2EB5FCF2" w14:textId="77777777" w:rsidR="007B6848" w:rsidRPr="008467B6" w:rsidRDefault="007B6848" w:rsidP="007B6848">
      <w:pPr>
        <w:pStyle w:val="ListParagraph"/>
        <w:numPr>
          <w:ilvl w:val="0"/>
          <w:numId w:val="13"/>
        </w:numPr>
        <w:rPr>
          <w:rFonts w:eastAsia="SimSun"/>
        </w:rPr>
      </w:pPr>
      <w:r w:rsidRPr="008467B6">
        <w:rPr>
          <w:color w:val="000000" w:themeColor="text1"/>
        </w:rPr>
        <w:t xml:space="preserve">a colour representation conversion from </w:t>
      </w:r>
      <w:r w:rsidRPr="008467B6">
        <w:rPr>
          <w:rFonts w:eastAsia="SimSun"/>
        </w:rPr>
        <w:t>Y</w:t>
      </w:r>
      <w:r w:rsidRPr="008467B6">
        <w:sym w:font="Symbol" w:char="F0A2"/>
      </w:r>
      <w:r w:rsidRPr="008467B6">
        <w:rPr>
          <w:rFonts w:eastAsia="SimSun"/>
        </w:rPr>
        <w:t xml:space="preserve">CbCr </w:t>
      </w:r>
      <w:r w:rsidRPr="008467B6">
        <w:rPr>
          <w:color w:val="000000" w:themeColor="text1"/>
        </w:rPr>
        <w:t>4:4:4 to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w:t>
      </w:r>
      <w:r w:rsidRPr="008467B6">
        <w:t xml:space="preserve">following the same process described in sub-clause </w:t>
      </w:r>
      <w:r>
        <w:t>9.1.3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16B59DB1" w14:textId="77777777" w:rsidR="007B6848" w:rsidRPr="008467B6" w:rsidRDefault="007B6848" w:rsidP="007B6848">
      <w:pPr>
        <w:pStyle w:val="ListParagraph"/>
        <w:numPr>
          <w:ilvl w:val="0"/>
          <w:numId w:val="13"/>
        </w:numPr>
      </w:pPr>
      <w:r w:rsidRPr="008467B6">
        <w:rPr>
          <w:color w:val="000000" w:themeColor="text1"/>
        </w:rPr>
        <w:t xml:space="preserve">a conversion using the </w:t>
      </w:r>
      <w:r w:rsidRPr="008467B6">
        <w:rPr>
          <w:lang w:eastAsia="ko-KR"/>
        </w:rPr>
        <w:t>HLG</w:t>
      </w:r>
      <w:r w:rsidRPr="008467B6">
        <w:rPr>
          <w:color w:val="000000" w:themeColor="text1"/>
        </w:rPr>
        <w:t xml:space="preserve"> EOTF of the input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the HLG EOTF is the concatenation of the inverse OETF and of the OOTF; this last step aims at adapting this content to the rendering display, by applying a suitable end-to-end transfer function of the whole system (OOTF); this transfer function is dependent on the viewing environment (peak brightness of the display, brightness of the surround).</w:t>
      </w:r>
    </w:p>
    <w:p w14:paraId="506F579B" w14:textId="77777777" w:rsidR="007B6848" w:rsidRDefault="007B6848" w:rsidP="007B6848">
      <w:pPr>
        <w:jc w:val="left"/>
        <w:rPr>
          <w:color w:val="000000" w:themeColor="text1"/>
        </w:rPr>
      </w:pPr>
      <w:r w:rsidRPr="008467B6">
        <w:rPr>
          <w:color w:val="000000" w:themeColor="text1"/>
        </w:rPr>
        <w:t>HLG post-decoding inverse conversion processes are illustrated in</w:t>
      </w:r>
      <w:r>
        <w:rPr>
          <w:color w:val="000000" w:themeColor="text1"/>
        </w:rPr>
        <w:t xml:space="preserve"> </w:t>
      </w:r>
      <w:r>
        <w:rPr>
          <w:color w:val="000000" w:themeColor="text1"/>
        </w:rPr>
        <w:fldChar w:fldCharType="begin"/>
      </w:r>
      <w:r>
        <w:rPr>
          <w:color w:val="000000" w:themeColor="text1"/>
        </w:rPr>
        <w:instrText xml:space="preserve"> REF _Ref467155269 \h </w:instrText>
      </w:r>
      <w:r>
        <w:rPr>
          <w:color w:val="000000" w:themeColor="text1"/>
        </w:rPr>
      </w:r>
      <w:r>
        <w:rPr>
          <w:color w:val="000000" w:themeColor="text1"/>
        </w:rPr>
        <w:fldChar w:fldCharType="separate"/>
      </w:r>
      <w:r w:rsidRPr="008467B6">
        <w:rPr>
          <w:lang w:val="en-US"/>
        </w:rPr>
        <w:t>Figure </w:t>
      </w:r>
      <w:r>
        <w:rPr>
          <w:noProof/>
          <w:lang w:val="en-US"/>
        </w:rPr>
        <w:t>7</w:t>
      </w:r>
      <w:r>
        <w:rPr>
          <w:lang w:val="en-US"/>
        </w:rPr>
        <w:noBreakHyphen/>
      </w:r>
      <w:r>
        <w:rPr>
          <w:noProof/>
          <w:lang w:val="en-US"/>
        </w:rPr>
        <w:t>2</w:t>
      </w:r>
      <w:r>
        <w:rPr>
          <w:color w:val="000000" w:themeColor="text1"/>
        </w:rPr>
        <w:fldChar w:fldCharType="end"/>
      </w:r>
      <w:r>
        <w:rPr>
          <w:color w:val="000000" w:themeColor="text1"/>
        </w:rPr>
        <w:t>.</w:t>
      </w:r>
    </w:p>
    <w:p w14:paraId="5A80BA03" w14:textId="77777777" w:rsidR="007B6848" w:rsidRDefault="007B6848" w:rsidP="007B6848">
      <w:pPr>
        <w:jc w:val="left"/>
        <w:rPr>
          <w:color w:val="000000" w:themeColor="text1"/>
        </w:rPr>
      </w:pPr>
    </w:p>
    <w:p w14:paraId="176CE3BA" w14:textId="77777777" w:rsidR="007B6848" w:rsidRPr="008467B6" w:rsidRDefault="007B6848" w:rsidP="007B6848">
      <w:pPr>
        <w:jc w:val="left"/>
        <w:rPr>
          <w:color w:val="000000" w:themeColor="text1"/>
        </w:rPr>
      </w:pPr>
      <w:r w:rsidRPr="008467B6">
        <w:rPr>
          <w:color w:val="000000" w:themeColor="text1"/>
        </w:rPr>
        <w:object w:dxaOrig="12825" w:dyaOrig="2379" w14:anchorId="72093459">
          <v:shape id="_x0000_i1028" type="#_x0000_t75" style="width:481.55pt;height:88.4pt" o:ole="">
            <v:imagedata r:id="rId25" o:title=""/>
          </v:shape>
          <o:OLEObject Type="Embed" ProgID="Visio.Drawing.11" ShapeID="_x0000_i1028" DrawAspect="Content" ObjectID="_1541247485" r:id="rId26"/>
        </w:object>
      </w:r>
    </w:p>
    <w:p w14:paraId="476919DB" w14:textId="77777777" w:rsidR="007B6848" w:rsidRPr="008467B6" w:rsidRDefault="007B6848" w:rsidP="007B6848">
      <w:pPr>
        <w:pStyle w:val="Caption"/>
        <w:rPr>
          <w:lang w:val="en-US"/>
        </w:rPr>
      </w:pPr>
      <w:bookmarkStart w:id="184" w:name="_Ref467155269"/>
      <w:bookmarkStart w:id="185" w:name="_Ref466889195"/>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2</w:t>
      </w:r>
      <w:r>
        <w:rPr>
          <w:lang w:val="en-US"/>
        </w:rPr>
        <w:fldChar w:fldCharType="end"/>
      </w:r>
      <w:bookmarkEnd w:id="184"/>
      <w:bookmarkEnd w:id="185"/>
      <w:r w:rsidRPr="008467B6">
        <w:rPr>
          <w:lang w:val="en-US"/>
        </w:rPr>
        <w:t xml:space="preserve"> – Post-processing for conversion with HLG.</w:t>
      </w:r>
    </w:p>
    <w:p w14:paraId="2611C4BF" w14:textId="77777777" w:rsidR="007B6848" w:rsidRPr="008467B6" w:rsidRDefault="007B6848" w:rsidP="007B6848">
      <w:pPr>
        <w:pStyle w:val="Heading3"/>
      </w:pPr>
      <w:bookmarkStart w:id="186" w:name="_Ref465344898"/>
      <w:bookmarkStart w:id="187" w:name="_Toc467226112"/>
      <w:r w:rsidRPr="008467B6">
        <w:lastRenderedPageBreak/>
        <w:t xml:space="preserve">Signalling of </w:t>
      </w:r>
      <w:r>
        <w:t>a</w:t>
      </w:r>
      <w:r w:rsidRPr="008467B6">
        <w:t>lternative transfer characteristics SEI message</w:t>
      </w:r>
      <w:bookmarkEnd w:id="186"/>
      <w:bookmarkEnd w:id="187"/>
    </w:p>
    <w:p w14:paraId="12B5933B" w14:textId="77777777" w:rsidR="007B6848" w:rsidRPr="008467B6" w:rsidRDefault="007B6848" w:rsidP="007B6848">
      <w:pPr>
        <w:spacing w:before="120"/>
      </w:pPr>
      <w:r w:rsidRPr="008467B6">
        <w:t>HEVC signalling allows the delivery of HLG HDR video signals to both HDR capable receivers and legacy SDR ones. This is achieved by setting the VUI parameters and using the ATC SEI message as described below.</w:t>
      </w:r>
    </w:p>
    <w:p w14:paraId="5ADDE89E" w14:textId="77777777" w:rsidR="007B6848" w:rsidRPr="008467B6" w:rsidRDefault="007B6848" w:rsidP="007B6848">
      <w:pPr>
        <w:rPr>
          <w:lang w:eastAsia="zh-CN"/>
        </w:rPr>
      </w:pPr>
      <w:r w:rsidRPr="008467B6">
        <w:rPr>
          <w:lang w:eastAsia="zh-CN"/>
        </w:rPr>
        <w:t>Settings in VUI for SDR rendering:</w:t>
      </w:r>
    </w:p>
    <w:p w14:paraId="0E31D95B"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transfer_characteristics</w:t>
      </w:r>
      <w:r w:rsidRPr="00980878">
        <w:tab/>
        <w:t>14 (BT.2020) to satisfy legacy SDR receivers</w:t>
      </w:r>
    </w:p>
    <w:p w14:paraId="296C3760"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colour_primaries</w:t>
      </w:r>
      <w:r w:rsidRPr="00980878">
        <w:tab/>
        <w:t>9 (BT.2020)</w:t>
      </w:r>
    </w:p>
    <w:p w14:paraId="37952402"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matrix_coeffs</w:t>
      </w:r>
      <w:r w:rsidRPr="00980878">
        <w:tab/>
        <w:t>9 (BT.2020 NCL)</w:t>
      </w:r>
    </w:p>
    <w:p w14:paraId="6F933B2A"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video_full_range_flag</w:t>
      </w:r>
      <w:r w:rsidRPr="00980878">
        <w:tab/>
        <w:t>0 (narrow range)</w:t>
      </w:r>
    </w:p>
    <w:p w14:paraId="7E519D4F" w14:textId="77777777" w:rsidR="007B6848" w:rsidRPr="008467B6" w:rsidRDefault="007B6848" w:rsidP="007B6848">
      <w:pPr>
        <w:tabs>
          <w:tab w:val="clear" w:pos="1584"/>
          <w:tab w:val="clear" w:pos="1987"/>
          <w:tab w:val="clear" w:pos="4853"/>
          <w:tab w:val="clear" w:pos="9691"/>
          <w:tab w:val="left" w:pos="3260"/>
        </w:tabs>
      </w:pPr>
      <w:r w:rsidRPr="008467B6">
        <w:rPr>
          <w:lang w:eastAsia="zh-CN"/>
        </w:rPr>
        <w:t xml:space="preserve">Settings in </w:t>
      </w:r>
      <w:r w:rsidRPr="008467B6">
        <w:t>ATC SEI message to override VUI transfer_characteristics</w:t>
      </w:r>
      <w:r w:rsidRPr="008467B6">
        <w:rPr>
          <w:lang w:eastAsia="zh-CN"/>
        </w:rPr>
        <w:t xml:space="preserve"> for HDR HLG transfer function signalling:</w:t>
      </w:r>
    </w:p>
    <w:p w14:paraId="1C0CE500"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preferred_transfer_characteristics</w:t>
      </w:r>
      <w:r w:rsidRPr="00980878">
        <w:tab/>
        <w:t>18</w:t>
      </w:r>
    </w:p>
    <w:p w14:paraId="35B9E9DF" w14:textId="77777777" w:rsidR="007B6848" w:rsidRPr="00980878" w:rsidRDefault="007B6848" w:rsidP="007B6848">
      <w:p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One ATC SEI message should be conveyed with each IRAP picture.</w:t>
      </w:r>
    </w:p>
    <w:p w14:paraId="384DE4AE" w14:textId="77777777" w:rsidR="007B6848" w:rsidRPr="008467B6" w:rsidRDefault="007B6848" w:rsidP="007B6848">
      <w:pPr>
        <w:pStyle w:val="Heading2"/>
        <w:ind w:left="720" w:hanging="720"/>
      </w:pPr>
      <w:bookmarkStart w:id="188" w:name="_Ref452426283"/>
      <w:bookmarkStart w:id="189" w:name="_Toc452455854"/>
      <w:bookmarkStart w:id="190" w:name="_Toc454454599"/>
      <w:bookmarkStart w:id="191" w:name="_Ref456972458"/>
      <w:bookmarkStart w:id="192" w:name="_Toc467226113"/>
      <w:r w:rsidRPr="008467B6">
        <w:t>Approach 2: “</w:t>
      </w:r>
      <w:r>
        <w:t>dynamic</w:t>
      </w:r>
      <w:r w:rsidRPr="008467B6">
        <w:t>” bitstream SDR backward compatibility with dynamic metadata</w:t>
      </w:r>
      <w:bookmarkEnd w:id="188"/>
      <w:bookmarkEnd w:id="189"/>
      <w:bookmarkEnd w:id="190"/>
      <w:r w:rsidRPr="008467B6">
        <w:t xml:space="preserve"> signalled in SEI messages</w:t>
      </w:r>
      <w:bookmarkEnd w:id="191"/>
      <w:bookmarkEnd w:id="192"/>
    </w:p>
    <w:p w14:paraId="1F4ACACB" w14:textId="77777777" w:rsidR="007B6848" w:rsidRPr="008467B6" w:rsidRDefault="007B6848" w:rsidP="007B6848">
      <w:pPr>
        <w:rPr>
          <w:szCs w:val="22"/>
        </w:rPr>
      </w:pPr>
      <w:r w:rsidRPr="008467B6">
        <w:rPr>
          <w:rFonts w:eastAsia="SimSun"/>
        </w:rPr>
        <w:t xml:space="preserve">This sub-clause is focused on </w:t>
      </w:r>
      <w:r>
        <w:rPr>
          <w:rFonts w:eastAsia="SimSun"/>
        </w:rPr>
        <w:t xml:space="preserve">adaptive </w:t>
      </w:r>
      <w:r w:rsidRPr="008467B6">
        <w:rPr>
          <w:rFonts w:eastAsia="SimSun"/>
        </w:rPr>
        <w:t xml:space="preserve">bitstream SDR backward compatibility support using a single-layer coding framework. </w:t>
      </w:r>
      <w:r w:rsidRPr="008467B6">
        <w:rPr>
          <w:rFonts w:eastAsia="SimSun"/>
        </w:rPr>
        <w:fldChar w:fldCharType="begin"/>
      </w:r>
      <w:r w:rsidRPr="008467B6">
        <w:rPr>
          <w:rFonts w:eastAsia="SimSun"/>
        </w:rPr>
        <w:instrText xml:space="preserve"> REF _Ref466035621 \h </w:instrText>
      </w:r>
      <w:r w:rsidRPr="008467B6">
        <w:rPr>
          <w:rFonts w:eastAsia="SimSun"/>
        </w:rPr>
      </w:r>
      <w:r w:rsidRPr="008467B6">
        <w:rPr>
          <w:rFonts w:eastAsia="SimSun"/>
        </w:rPr>
        <w:fldChar w:fldCharType="separate"/>
      </w:r>
      <w:r w:rsidRPr="008467B6">
        <w:rPr>
          <w:lang w:val="en-US"/>
        </w:rPr>
        <w:t>Figure </w:t>
      </w:r>
      <w:r>
        <w:rPr>
          <w:noProof/>
          <w:lang w:val="en-US"/>
        </w:rPr>
        <w:t>7</w:t>
      </w:r>
      <w:r>
        <w:rPr>
          <w:lang w:val="en-US"/>
        </w:rPr>
        <w:noBreakHyphen/>
      </w:r>
      <w:r>
        <w:rPr>
          <w:noProof/>
          <w:lang w:val="en-US"/>
        </w:rPr>
        <w:t>3</w:t>
      </w:r>
      <w:r w:rsidRPr="008467B6">
        <w:rPr>
          <w:rFonts w:eastAsia="SimSun"/>
        </w:rPr>
        <w:fldChar w:fldCharType="end"/>
      </w:r>
      <w:r w:rsidRPr="008467B6">
        <w:rPr>
          <w:rFonts w:eastAsia="SimSun"/>
        </w:rPr>
        <w:t xml:space="preserve"> provides </w:t>
      </w:r>
      <w:r>
        <w:rPr>
          <w:rFonts w:eastAsia="SimSun"/>
        </w:rPr>
        <w:t>an overview</w:t>
      </w:r>
      <w:r w:rsidRPr="008467B6">
        <w:rPr>
          <w:rFonts w:eastAsia="SimSun"/>
        </w:rPr>
        <w:t xml:space="preserve"> of </w:t>
      </w:r>
      <w:r>
        <w:rPr>
          <w:rFonts w:eastAsia="SimSun"/>
        </w:rPr>
        <w:t xml:space="preserve">a </w:t>
      </w:r>
      <w:r w:rsidRPr="008467B6">
        <w:rPr>
          <w:lang w:eastAsia="ko-KR"/>
        </w:rPr>
        <w:t xml:space="preserve">single-layer </w:t>
      </w:r>
      <w:r w:rsidRPr="008467B6">
        <w:rPr>
          <w:rFonts w:eastAsia="SimSun"/>
        </w:rPr>
        <w:t>distribution system enabling bitstream SDR backward compatibility.</w:t>
      </w:r>
      <w:r w:rsidRPr="008467B6">
        <w:rPr>
          <w:szCs w:val="22"/>
        </w:rPr>
        <w:t xml:space="preserve"> The system typically uses HEVC Main 10 profile for the bitstream generation and decoding. It includes a pre-processing block, prior to encoding, that converts an input HDR signal into an SDR version. </w:t>
      </w:r>
      <w:r>
        <w:rPr>
          <w:szCs w:val="22"/>
        </w:rPr>
        <w:t>M</w:t>
      </w:r>
      <w:r w:rsidRPr="008467B6">
        <w:rPr>
          <w:szCs w:val="22"/>
        </w:rPr>
        <w:t>etadata can be generated in this step. After encoding and decoding the SDR signal, s</w:t>
      </w:r>
      <w:r>
        <w:rPr>
          <w:szCs w:val="22"/>
        </w:rPr>
        <w:t>uch</w:t>
      </w:r>
      <w:r w:rsidRPr="008467B6">
        <w:rPr>
          <w:szCs w:val="22"/>
        </w:rPr>
        <w:t xml:space="preserve"> metadata can be used in a post-processing step to reconstruct an HDR version of the signal. The decoded SDR video can be directly rendered on an SDR display without adaptation.</w:t>
      </w:r>
    </w:p>
    <w:p w14:paraId="13529096" w14:textId="77777777" w:rsidR="007B6848" w:rsidRPr="008467B6" w:rsidRDefault="007B6848" w:rsidP="007B6848">
      <w:pPr>
        <w:jc w:val="center"/>
      </w:pPr>
      <w:r w:rsidRPr="008467B6">
        <w:object w:dxaOrig="8763" w:dyaOrig="1665" w14:anchorId="662A3583">
          <v:shape id="_x0000_i1029" type="#_x0000_t75" style="width:376.05pt;height:69.15pt" o:ole="">
            <v:imagedata r:id="rId27" o:title=""/>
          </v:shape>
          <o:OLEObject Type="Embed" ProgID="Visio.Drawing.11" ShapeID="_x0000_i1029" DrawAspect="Content" ObjectID="_1541247486" r:id="rId28"/>
        </w:object>
      </w:r>
    </w:p>
    <w:p w14:paraId="61817EDE" w14:textId="77777777" w:rsidR="007B6848" w:rsidRPr="008467B6" w:rsidRDefault="007B6848" w:rsidP="007B6848">
      <w:pPr>
        <w:pStyle w:val="Caption"/>
        <w:rPr>
          <w:lang w:val="en-US"/>
        </w:rPr>
      </w:pPr>
      <w:bookmarkStart w:id="193" w:name="_Ref466035621"/>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3</w:t>
      </w:r>
      <w:r>
        <w:rPr>
          <w:lang w:val="en-US"/>
        </w:rPr>
        <w:fldChar w:fldCharType="end"/>
      </w:r>
      <w:bookmarkEnd w:id="193"/>
      <w:r w:rsidRPr="008467B6">
        <w:rPr>
          <w:lang w:val="en-US"/>
        </w:rPr>
        <w:t xml:space="preserve"> – Bitstream SDR backward compatibility using single layer coding system.</w:t>
      </w:r>
    </w:p>
    <w:p w14:paraId="3FECE337" w14:textId="77777777" w:rsidR="007B6848" w:rsidRPr="008467B6" w:rsidRDefault="007B6848" w:rsidP="007B6848">
      <w:pPr>
        <w:rPr>
          <w:lang w:eastAsia="zh-CN"/>
        </w:rPr>
      </w:pPr>
      <w:r>
        <w:rPr>
          <w:lang w:eastAsia="zh-CN"/>
        </w:rPr>
        <w:t>D</w:t>
      </w:r>
      <w:r w:rsidRPr="008467B6">
        <w:rPr>
          <w:lang w:eastAsia="zh-CN"/>
        </w:rPr>
        <w:t xml:space="preserve">ifferent approaches to use HEVC SEI messages for this task are available; </w:t>
      </w:r>
      <w:r>
        <w:rPr>
          <w:lang w:eastAsia="zh-CN"/>
        </w:rPr>
        <w:t>three</w:t>
      </w:r>
      <w:r w:rsidRPr="008467B6">
        <w:rPr>
          <w:lang w:eastAsia="zh-CN"/>
        </w:rPr>
        <w:t xml:space="preserve"> are illustrated. </w:t>
      </w:r>
      <w:r>
        <w:rPr>
          <w:lang w:eastAsia="zh-CN"/>
        </w:rPr>
        <w:t xml:space="preserve">Two </w:t>
      </w:r>
      <w:r w:rsidRPr="008467B6">
        <w:rPr>
          <w:lang w:eastAsia="zh-CN"/>
        </w:rPr>
        <w:t>use the CRI SEI, and operates for example in the Y</w:t>
      </w:r>
      <w:r w:rsidRPr="008467B6">
        <w:sym w:font="Symbol" w:char="F0A2"/>
      </w:r>
      <w:r w:rsidRPr="008467B6">
        <w:rPr>
          <w:lang w:eastAsia="zh-CN"/>
        </w:rPr>
        <w:t xml:space="preserve">CbCr 4:2:0 </w:t>
      </w:r>
      <w:r>
        <w:rPr>
          <w:lang w:eastAsia="zh-CN"/>
        </w:rPr>
        <w:t>and 4:4:4</w:t>
      </w:r>
      <w:r w:rsidRPr="008467B6">
        <w:rPr>
          <w:lang w:eastAsia="zh-CN"/>
        </w:rPr>
        <w:t xml:space="preserve"> domain</w:t>
      </w:r>
      <w:r>
        <w:rPr>
          <w:lang w:eastAsia="zh-CN"/>
        </w:rPr>
        <w:t>s</w:t>
      </w:r>
      <w:r w:rsidRPr="008467B6">
        <w:rPr>
          <w:lang w:eastAsia="zh-CN"/>
        </w:rPr>
        <w:t>.</w:t>
      </w:r>
      <w:r>
        <w:rPr>
          <w:lang w:eastAsia="zh-CN"/>
        </w:rPr>
        <w:t xml:space="preserve"> Another one</w:t>
      </w:r>
      <w:r w:rsidRPr="008467B6">
        <w:rPr>
          <w:lang w:eastAsia="zh-CN"/>
        </w:rPr>
        <w:t xml:space="preserve"> uses the TMI SEI, and operates in the R</w:t>
      </w:r>
      <w:r w:rsidRPr="008467B6">
        <w:sym w:font="Symbol" w:char="F0A2"/>
      </w:r>
      <w:r w:rsidRPr="008467B6">
        <w:rPr>
          <w:lang w:eastAsia="zh-CN"/>
        </w:rPr>
        <w:t>G</w:t>
      </w:r>
      <w:r w:rsidRPr="008467B6">
        <w:sym w:font="Symbol" w:char="F0A2"/>
      </w:r>
      <w:r w:rsidRPr="008467B6">
        <w:rPr>
          <w:lang w:eastAsia="zh-CN"/>
        </w:rPr>
        <w:t>B</w:t>
      </w:r>
      <w:r w:rsidRPr="008467B6">
        <w:sym w:font="Symbol" w:char="F0A2"/>
      </w:r>
      <w:r w:rsidRPr="008467B6">
        <w:rPr>
          <w:lang w:eastAsia="zh-CN"/>
        </w:rPr>
        <w:t xml:space="preserve"> 4:4:4 domain</w:t>
      </w:r>
      <w:r>
        <w:rPr>
          <w:lang w:eastAsia="zh-CN"/>
        </w:rPr>
        <w:t>.</w:t>
      </w:r>
      <w:r w:rsidRPr="008467B6">
        <w:rPr>
          <w:lang w:eastAsia="zh-CN"/>
        </w:rPr>
        <w:t xml:space="preserve"> </w:t>
      </w:r>
      <w:r>
        <w:rPr>
          <w:lang w:eastAsia="zh-CN"/>
        </w:rPr>
        <w:t>Other configurations are also possible.</w:t>
      </w:r>
    </w:p>
    <w:p w14:paraId="7DD58347" w14:textId="77777777" w:rsidR="007B6848" w:rsidRDefault="007B6848" w:rsidP="007B6848">
      <w:pPr>
        <w:rPr>
          <w:lang w:eastAsia="zh-CN"/>
        </w:rPr>
      </w:pPr>
      <w:r w:rsidRPr="008467B6">
        <w:rPr>
          <w:lang w:eastAsia="zh-CN"/>
        </w:rPr>
        <w:t xml:space="preserve">Examples of conversion and encoding pre-processing producing SDR/BT.2020 compatible HEVC bitstream are illustrated in </w:t>
      </w:r>
      <w:r w:rsidRPr="008467B6">
        <w:rPr>
          <w:lang w:eastAsia="zh-CN"/>
        </w:rPr>
        <w:fldChar w:fldCharType="begin"/>
      </w:r>
      <w:r w:rsidRPr="008467B6">
        <w:rPr>
          <w:lang w:eastAsia="zh-CN"/>
        </w:rPr>
        <w:instrText xml:space="preserve"> REF _Ref464756461 \h </w:instrText>
      </w:r>
      <w:r w:rsidRPr="008467B6">
        <w:rPr>
          <w:lang w:eastAsia="zh-CN"/>
        </w:rPr>
      </w:r>
      <w:r w:rsidRPr="008467B6">
        <w:rPr>
          <w:lang w:eastAsia="zh-CN"/>
        </w:rPr>
        <w:fldChar w:fldCharType="separate"/>
      </w:r>
      <w:r w:rsidRPr="008467B6">
        <w:rPr>
          <w:lang w:val="en-US"/>
        </w:rPr>
        <w:t>Figure </w:t>
      </w:r>
      <w:r>
        <w:rPr>
          <w:noProof/>
          <w:lang w:val="en-US"/>
        </w:rPr>
        <w:t>7</w:t>
      </w:r>
      <w:r>
        <w:rPr>
          <w:lang w:val="en-US"/>
        </w:rPr>
        <w:noBreakHyphen/>
      </w:r>
      <w:r>
        <w:rPr>
          <w:noProof/>
          <w:lang w:val="en-US"/>
        </w:rPr>
        <w:t>4</w:t>
      </w:r>
      <w:r w:rsidRPr="008467B6">
        <w:rPr>
          <w:lang w:eastAsia="zh-CN"/>
        </w:rPr>
        <w:fldChar w:fldCharType="end"/>
      </w:r>
      <w:r w:rsidRPr="008467B6">
        <w:rPr>
          <w:lang w:eastAsia="zh-CN"/>
        </w:rPr>
        <w:t xml:space="preserve"> (applying in </w:t>
      </w:r>
      <w:r w:rsidRPr="008467B6">
        <w:rPr>
          <w:rFonts w:eastAsia="SimSun"/>
        </w:rPr>
        <w:t>Y</w:t>
      </w:r>
      <w:r w:rsidRPr="008467B6">
        <w:sym w:font="Symbol" w:char="F0A2"/>
      </w:r>
      <w:r w:rsidRPr="008467B6">
        <w:rPr>
          <w:rFonts w:eastAsia="SimSun"/>
        </w:rPr>
        <w:t>CbCr</w:t>
      </w:r>
      <w:r w:rsidRPr="008467B6">
        <w:rPr>
          <w:lang w:eastAsia="zh-CN"/>
        </w:rPr>
        <w:t xml:space="preserve"> 4:2:0 domain and using CRI SEI), </w:t>
      </w:r>
      <w:r w:rsidRPr="008467B6">
        <w:rPr>
          <w:lang w:eastAsia="zh-CN"/>
        </w:rPr>
        <w:fldChar w:fldCharType="begin"/>
      </w:r>
      <w:r w:rsidRPr="008467B6">
        <w:rPr>
          <w:lang w:eastAsia="zh-CN"/>
        </w:rPr>
        <w:instrText xml:space="preserve"> REF _Ref464537357 \h </w:instrText>
      </w:r>
      <w:r w:rsidRPr="008467B6">
        <w:rPr>
          <w:lang w:eastAsia="zh-CN"/>
        </w:rPr>
      </w:r>
      <w:r w:rsidRPr="008467B6">
        <w:rPr>
          <w:lang w:eastAsia="zh-CN"/>
        </w:rPr>
        <w:fldChar w:fldCharType="separate"/>
      </w:r>
      <w:r w:rsidRPr="008467B6">
        <w:rPr>
          <w:lang w:val="en-US"/>
        </w:rPr>
        <w:t>Figure </w:t>
      </w:r>
      <w:r>
        <w:rPr>
          <w:noProof/>
          <w:lang w:val="en-US"/>
        </w:rPr>
        <w:t>7</w:t>
      </w:r>
      <w:r>
        <w:rPr>
          <w:lang w:val="en-US"/>
        </w:rPr>
        <w:noBreakHyphen/>
      </w:r>
      <w:r>
        <w:rPr>
          <w:noProof/>
          <w:lang w:val="en-US"/>
        </w:rPr>
        <w:t>5</w:t>
      </w:r>
      <w:r w:rsidRPr="008467B6">
        <w:rPr>
          <w:lang w:eastAsia="zh-CN"/>
        </w:rPr>
        <w:fldChar w:fldCharType="end"/>
      </w:r>
      <w:r w:rsidRPr="008467B6">
        <w:rPr>
          <w:lang w:eastAsia="zh-CN"/>
        </w:rPr>
        <w:t xml:space="preserve"> (applying in </w:t>
      </w:r>
      <w:r w:rsidRPr="008467B6">
        <w:rPr>
          <w:rFonts w:eastAsia="SimSun"/>
        </w:rPr>
        <w:t>Y</w:t>
      </w:r>
      <w:r w:rsidRPr="008467B6">
        <w:sym w:font="Symbol" w:char="F0A2"/>
      </w:r>
      <w:r w:rsidRPr="008467B6">
        <w:rPr>
          <w:rFonts w:eastAsia="SimSun"/>
        </w:rPr>
        <w:t>CbCr</w:t>
      </w:r>
      <w:r w:rsidRPr="008467B6">
        <w:rPr>
          <w:lang w:eastAsia="zh-CN"/>
        </w:rPr>
        <w:t xml:space="preserve"> 4:4:4 domain and using CRI SEI), and </w:t>
      </w:r>
      <w:r w:rsidRPr="008467B6">
        <w:rPr>
          <w:lang w:eastAsia="zh-CN"/>
        </w:rPr>
        <w:fldChar w:fldCharType="begin"/>
      </w:r>
      <w:r w:rsidRPr="008467B6">
        <w:rPr>
          <w:lang w:eastAsia="zh-CN"/>
        </w:rPr>
        <w:instrText xml:space="preserve"> REF _Ref464607582 \h </w:instrText>
      </w:r>
      <w:r w:rsidRPr="008467B6">
        <w:rPr>
          <w:lang w:eastAsia="zh-CN"/>
        </w:rPr>
      </w:r>
      <w:r w:rsidRPr="008467B6">
        <w:rPr>
          <w:lang w:eastAsia="zh-CN"/>
        </w:rPr>
        <w:fldChar w:fldCharType="separate"/>
      </w:r>
      <w:r w:rsidRPr="008467B6">
        <w:rPr>
          <w:lang w:val="en-US"/>
        </w:rPr>
        <w:t>Figure </w:t>
      </w:r>
      <w:r>
        <w:rPr>
          <w:noProof/>
          <w:lang w:val="en-US"/>
        </w:rPr>
        <w:t>7</w:t>
      </w:r>
      <w:r>
        <w:rPr>
          <w:lang w:val="en-US"/>
        </w:rPr>
        <w:noBreakHyphen/>
      </w:r>
      <w:r>
        <w:rPr>
          <w:noProof/>
          <w:lang w:val="en-US"/>
        </w:rPr>
        <w:t>6</w:t>
      </w:r>
      <w:r w:rsidRPr="008467B6">
        <w:rPr>
          <w:lang w:eastAsia="zh-CN"/>
        </w:rPr>
        <w:fldChar w:fldCharType="end"/>
      </w:r>
      <w:r w:rsidRPr="008467B6">
        <w:rPr>
          <w:lang w:eastAsia="zh-CN"/>
        </w:rPr>
        <w:t xml:space="preserve"> (applying in R</w:t>
      </w:r>
      <w:r w:rsidRPr="008467B6">
        <w:sym w:font="Symbol" w:char="F0A2"/>
      </w:r>
      <w:r w:rsidRPr="008467B6">
        <w:rPr>
          <w:lang w:eastAsia="zh-CN"/>
        </w:rPr>
        <w:t>G</w:t>
      </w:r>
      <w:r w:rsidRPr="008467B6">
        <w:sym w:font="Symbol" w:char="F0A2"/>
      </w:r>
      <w:r w:rsidRPr="008467B6">
        <w:rPr>
          <w:lang w:eastAsia="zh-CN"/>
        </w:rPr>
        <w:t>B</w:t>
      </w:r>
      <w:r w:rsidRPr="008467B6">
        <w:sym w:font="Symbol" w:char="F0A2"/>
      </w:r>
      <w:r w:rsidRPr="008467B6">
        <w:rPr>
          <w:lang w:eastAsia="zh-CN"/>
        </w:rPr>
        <w:t xml:space="preserve"> 4:4:4 domain and using TMI SEI).</w:t>
      </w:r>
    </w:p>
    <w:p w14:paraId="031A33E2" w14:textId="77777777" w:rsidR="007B6848" w:rsidRPr="008467B6" w:rsidRDefault="007B6848" w:rsidP="007B6848">
      <w:r w:rsidRPr="008467B6">
        <w:rPr>
          <w:lang w:eastAsia="ko-KR"/>
        </w:rPr>
        <w:t xml:space="preserve">In addition, it should </w:t>
      </w:r>
      <w:r w:rsidRPr="008467B6">
        <w:t>be</w:t>
      </w:r>
      <w:r w:rsidRPr="008467B6">
        <w:rPr>
          <w:lang w:eastAsia="ko-KR"/>
        </w:rPr>
        <w:t xml:space="preserve"> noted that the </w:t>
      </w:r>
      <w:r w:rsidRPr="008467B6">
        <w:t>bitstream SDR backward compatibility functionality can also be addressed using recommendation ETSI TS 103 433</w:t>
      </w:r>
      <w:r>
        <w:t xml:space="preserve"> </w:t>
      </w:r>
      <w:r>
        <w:fldChar w:fldCharType="begin"/>
      </w:r>
      <w:r>
        <w:instrText xml:space="preserve"> REF _Ref467237320 \r \h </w:instrText>
      </w:r>
      <w:r>
        <w:fldChar w:fldCharType="separate"/>
      </w:r>
      <w:r>
        <w:t>[9]</w:t>
      </w:r>
      <w:r>
        <w:fldChar w:fldCharType="end"/>
      </w:r>
      <w:r w:rsidRPr="008467B6">
        <w:t>. This recommendation specifies dynamic metadata and related process</w:t>
      </w:r>
      <w:r>
        <w:t>es</w:t>
      </w:r>
      <w:r w:rsidRPr="008467B6">
        <w:t xml:space="preserve"> to perform SDR-to-HDR conversion as a post-processing in a bitstream SDR backward compatible HDR video distribution system. </w:t>
      </w:r>
      <w:r>
        <w:t>In brief, t</w:t>
      </w:r>
      <w:r w:rsidRPr="008467B6">
        <w:t>he SDR-to-HDR conversion process, applied to an input</w:t>
      </w:r>
      <w:r w:rsidRPr="008467B6">
        <w:rPr>
          <w:rFonts w:eastAsia="SimSun"/>
        </w:rPr>
        <w:t xml:space="preserve"> Y</w:t>
      </w:r>
      <w:r w:rsidRPr="008467B6">
        <w:sym w:font="Symbol" w:char="F0A2"/>
      </w:r>
      <w:r w:rsidRPr="008467B6">
        <w:rPr>
          <w:rFonts w:eastAsia="SimSun"/>
        </w:rPr>
        <w:t xml:space="preserve">CbCr SDR signal, </w:t>
      </w:r>
      <w:r w:rsidRPr="008467B6">
        <w:t xml:space="preserve">is based on an inverse luma mapping function applied to the SDR luma component, and on a scaling of the SDR chroma components using a luma-dependent scaling function. The luma mapping and luma-dependent chroma scaling functions are modeled and conveyed as dynamic metadata. Two metadata formats are specified, either using a compact parametric modeling defined in a user-data registered SEI, or using piece-wise linear representations </w:t>
      </w:r>
      <w:r>
        <w:t>as in a CRI SEI</w:t>
      </w:r>
      <w:r w:rsidRPr="008467B6">
        <w:t>.</w:t>
      </w:r>
    </w:p>
    <w:p w14:paraId="1F450699" w14:textId="77777777" w:rsidR="007B6848" w:rsidRPr="008467B6" w:rsidRDefault="007B6848" w:rsidP="007B6848">
      <w:pPr>
        <w:pStyle w:val="Heading3"/>
        <w:rPr>
          <w:lang w:eastAsia="zh-CN"/>
        </w:rPr>
      </w:pPr>
      <w:bookmarkStart w:id="194" w:name="_Toc467226114"/>
      <w:r w:rsidRPr="008467B6">
        <w:t>CRI applied in Y</w:t>
      </w:r>
      <w:r w:rsidRPr="008467B6">
        <w:sym w:font="Symbol" w:char="F0A2"/>
      </w:r>
      <w:r w:rsidRPr="008467B6">
        <w:t xml:space="preserve">CbCr </w:t>
      </w:r>
      <w:r w:rsidRPr="008467B6">
        <w:rPr>
          <w:lang w:eastAsia="zh-CN"/>
        </w:rPr>
        <w:t>4:2:0 domain</w:t>
      </w:r>
      <w:bookmarkEnd w:id="194"/>
    </w:p>
    <w:p w14:paraId="361AD67B" w14:textId="77777777" w:rsidR="007B6848" w:rsidRPr="008467B6" w:rsidRDefault="007B6848" w:rsidP="007B6848">
      <w:pPr>
        <w:rPr>
          <w:color w:val="000000" w:themeColor="text1"/>
        </w:rPr>
      </w:pPr>
      <w:r w:rsidRPr="008467B6">
        <w:rPr>
          <w:lang w:eastAsia="zh-CN"/>
        </w:rPr>
        <w:t xml:space="preserve">In the first design, the </w:t>
      </w:r>
      <w:r w:rsidRPr="008467B6">
        <w:rPr>
          <w:color w:val="000000" w:themeColor="text1"/>
        </w:rPr>
        <w:t>pre-encoding conversion process (</w:t>
      </w:r>
      <w:r w:rsidRPr="008467B6">
        <w:rPr>
          <w:lang w:eastAsia="zh-CN"/>
        </w:rPr>
        <w:t xml:space="preserve">top of </w:t>
      </w:r>
      <w:r w:rsidRPr="008467B6">
        <w:rPr>
          <w:lang w:eastAsia="zh-CN"/>
        </w:rPr>
        <w:fldChar w:fldCharType="begin"/>
      </w:r>
      <w:r w:rsidRPr="008467B6">
        <w:rPr>
          <w:lang w:eastAsia="zh-CN"/>
        </w:rPr>
        <w:instrText xml:space="preserve"> REF _Ref464756461 \h </w:instrText>
      </w:r>
      <w:r w:rsidRPr="008467B6">
        <w:rPr>
          <w:lang w:eastAsia="zh-CN"/>
        </w:rPr>
      </w:r>
      <w:r w:rsidRPr="008467B6">
        <w:rPr>
          <w:lang w:eastAsia="zh-CN"/>
        </w:rPr>
        <w:fldChar w:fldCharType="separate"/>
      </w:r>
      <w:r w:rsidRPr="008467B6">
        <w:rPr>
          <w:lang w:val="en-US"/>
        </w:rPr>
        <w:t>Figure </w:t>
      </w:r>
      <w:r>
        <w:rPr>
          <w:noProof/>
          <w:lang w:val="en-US"/>
        </w:rPr>
        <w:t>7</w:t>
      </w:r>
      <w:r>
        <w:rPr>
          <w:lang w:val="en-US"/>
        </w:rPr>
        <w:noBreakHyphen/>
      </w:r>
      <w:r>
        <w:rPr>
          <w:noProof/>
          <w:lang w:val="en-US"/>
        </w:rPr>
        <w:t>4</w:t>
      </w:r>
      <w:r w:rsidRPr="008467B6">
        <w:rPr>
          <w:lang w:eastAsia="zh-CN"/>
        </w:rPr>
        <w:fldChar w:fldCharType="end"/>
      </w:r>
      <w:r w:rsidRPr="008467B6">
        <w:rPr>
          <w:color w:val="000000" w:themeColor="text1"/>
        </w:rPr>
        <w:t xml:space="preserve">) converts an input linear RGB 4:4:4 signal to SDR 10-bits </w:t>
      </w:r>
      <w:r w:rsidRPr="008467B6">
        <w:rPr>
          <w:rFonts w:eastAsia="SimSun"/>
        </w:rPr>
        <w:t>Y</w:t>
      </w:r>
      <w:r w:rsidRPr="008467B6">
        <w:sym w:font="Symbol" w:char="F0A2"/>
      </w:r>
      <w:r w:rsidRPr="008467B6">
        <w:rPr>
          <w:rFonts w:eastAsia="SimSun"/>
        </w:rPr>
        <w:t xml:space="preserve">CbCr </w:t>
      </w:r>
      <w:r w:rsidRPr="008467B6">
        <w:rPr>
          <w:color w:val="000000" w:themeColor="text1"/>
        </w:rPr>
        <w:t>4:2:0 signal by applying the following successive steps:</w:t>
      </w:r>
    </w:p>
    <w:p w14:paraId="3EA2EE52" w14:textId="77777777" w:rsidR="007B6848" w:rsidRPr="008467B6" w:rsidRDefault="007B6848" w:rsidP="007B6848">
      <w:pPr>
        <w:pStyle w:val="ListParagraph"/>
        <w:numPr>
          <w:ilvl w:val="0"/>
          <w:numId w:val="14"/>
        </w:numPr>
        <w:rPr>
          <w:rFonts w:eastAsia="SimSun"/>
        </w:rPr>
      </w:pPr>
      <w:r w:rsidRPr="008467B6">
        <w:rPr>
          <w:lang w:eastAsia="ko-KR"/>
        </w:rPr>
        <w:t>a conversion from an</w:t>
      </w:r>
      <w:r>
        <w:rPr>
          <w:lang w:eastAsia="ko-KR"/>
        </w:rPr>
        <w:t xml:space="preserve"> input</w:t>
      </w:r>
      <w:r w:rsidRPr="008467B6">
        <w:rPr>
          <w:lang w:eastAsia="ko-KR"/>
        </w:rPr>
        <w:t xml:space="preserve"> </w:t>
      </w:r>
      <w:r w:rsidRPr="008467B6">
        <w:t xml:space="preserve">linear </w:t>
      </w:r>
      <w:r w:rsidRPr="008467B6">
        <w:rPr>
          <w:color w:val="000000" w:themeColor="text1"/>
        </w:rPr>
        <w:t xml:space="preserve">RGB 4:4:4 </w:t>
      </w:r>
      <w:r w:rsidRPr="008467B6">
        <w:rPr>
          <w:lang w:eastAsia="ko-KR"/>
        </w:rPr>
        <w:t>representation to a non-</w:t>
      </w:r>
      <w:r w:rsidRPr="008467B6">
        <w:t xml:space="preserve">linear </w:t>
      </w:r>
      <w:r w:rsidRPr="008467B6">
        <w:rPr>
          <w:lang w:eastAsia="ko-KR"/>
        </w:rPr>
        <w:t>representation using the inverse PQ EOTF,</w:t>
      </w:r>
      <w:r w:rsidRPr="008467B6">
        <w:rPr>
          <w:color w:val="000000" w:themeColor="text1"/>
        </w:rPr>
        <w:t xml:space="preserve"> </w:t>
      </w:r>
      <w:r w:rsidRPr="008467B6">
        <w:t xml:space="preserve">following the same process described in sub-clause </w:t>
      </w:r>
      <w:r>
        <w:t>6.1.1</w:t>
      </w:r>
      <w:r w:rsidRPr="008467B6">
        <w:t xml:space="preserve"> in </w:t>
      </w:r>
      <w:r w:rsidRPr="00275358">
        <w:fldChar w:fldCharType="begin"/>
      </w:r>
      <w:r w:rsidRPr="008467B6">
        <w:instrText xml:space="preserve"> REF _Ref448495076 \r \h  \* MERGEFORMAT </w:instrText>
      </w:r>
      <w:r w:rsidRPr="00275358">
        <w:fldChar w:fldCharType="separate"/>
      </w:r>
      <w:r>
        <w:t>[1]</w:t>
      </w:r>
      <w:r w:rsidRPr="00275358">
        <w:fldChar w:fldCharType="end"/>
      </w:r>
      <w:r w:rsidRPr="008467B6">
        <w:rPr>
          <w:color w:val="000000" w:themeColor="text1"/>
        </w:rPr>
        <w:t>,</w:t>
      </w:r>
    </w:p>
    <w:p w14:paraId="0B9D9E21" w14:textId="77777777" w:rsidR="007B6848" w:rsidRPr="008467B6" w:rsidRDefault="007B6848" w:rsidP="007B6848">
      <w:pPr>
        <w:pStyle w:val="ListParagraph"/>
        <w:numPr>
          <w:ilvl w:val="0"/>
          <w:numId w:val="14"/>
        </w:numPr>
        <w:rPr>
          <w:rFonts w:eastAsia="SimSun"/>
        </w:rPr>
      </w:pPr>
      <w:r w:rsidRPr="008467B6">
        <w:rPr>
          <w:lang w:eastAsia="ko-KR"/>
        </w:rPr>
        <w:t xml:space="preserve">a colour format conversion from </w:t>
      </w:r>
      <w:r w:rsidRPr="008467B6">
        <w:rPr>
          <w:color w:val="000000" w:themeColor="text1"/>
        </w:rPr>
        <w:t>non-linear PQ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 to </w:t>
      </w:r>
      <w:r w:rsidRPr="008467B6">
        <w:rPr>
          <w:rFonts w:eastAsia="SimSun"/>
        </w:rPr>
        <w:t>Y</w:t>
      </w:r>
      <w:r w:rsidRPr="008467B6">
        <w:sym w:font="Symbol" w:char="F0A2"/>
      </w:r>
      <w:r w:rsidRPr="008467B6">
        <w:rPr>
          <w:rFonts w:eastAsia="SimSun"/>
        </w:rPr>
        <w:t xml:space="preserve">CbCr </w:t>
      </w:r>
      <w:r w:rsidRPr="008467B6">
        <w:rPr>
          <w:color w:val="000000" w:themeColor="text1"/>
        </w:rPr>
        <w:t>4:4:4</w:t>
      </w:r>
      <w:r w:rsidRPr="008467B6">
        <w:t xml:space="preserve"> following the same process described in sub-clause </w:t>
      </w:r>
      <w:r>
        <w:t>6.1.2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38C7FF67" w14:textId="77777777" w:rsidR="007B6848" w:rsidRPr="008467B6" w:rsidRDefault="007B6848" w:rsidP="007B6848">
      <w:pPr>
        <w:pStyle w:val="ListParagraph"/>
        <w:numPr>
          <w:ilvl w:val="0"/>
          <w:numId w:val="14"/>
        </w:numPr>
        <w:rPr>
          <w:rFonts w:eastAsia="SimSun"/>
        </w:rPr>
      </w:pPr>
      <w:r w:rsidRPr="008467B6">
        <w:rPr>
          <w:lang w:eastAsia="ko-KR"/>
        </w:rPr>
        <w:lastRenderedPageBreak/>
        <w:t xml:space="preserve">a conversion </w:t>
      </w:r>
      <w:r>
        <w:rPr>
          <w:lang w:eastAsia="ko-KR"/>
        </w:rPr>
        <w:t>step</w:t>
      </w:r>
      <w:r w:rsidRPr="008467B6">
        <w:rPr>
          <w:lang w:eastAsia="ko-KR"/>
        </w:rPr>
        <w:t xml:space="preserve"> that converts a floating-point to a fixed-point representation (</w:t>
      </w:r>
      <w:r>
        <w:rPr>
          <w:lang w:eastAsia="ko-KR"/>
        </w:rPr>
        <w:t>i.e</w:t>
      </w:r>
      <w:r w:rsidRPr="008467B6">
        <w:rPr>
          <w:lang w:eastAsia="ko-KR"/>
        </w:rPr>
        <w:t>. 10 bits)</w:t>
      </w:r>
      <w:r w:rsidRPr="008467B6">
        <w:rPr>
          <w:rFonts w:eastAsia="SimSun"/>
        </w:rPr>
        <w:t xml:space="preserve">, narrow range, </w:t>
      </w:r>
      <w:r w:rsidRPr="008467B6">
        <w:t xml:space="preserve">following the same process described in sub-clause </w:t>
      </w:r>
      <w:r>
        <w:t>6.1.4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6B9DDAB9" w14:textId="77777777" w:rsidR="007B6848" w:rsidRPr="008467B6" w:rsidRDefault="007B6848" w:rsidP="007B6848">
      <w:pPr>
        <w:pStyle w:val="ListParagraph"/>
        <w:numPr>
          <w:ilvl w:val="0"/>
          <w:numId w:val="14"/>
        </w:numPr>
        <w:rPr>
          <w:rFonts w:eastAsia="SimSun"/>
        </w:rPr>
      </w:pPr>
      <w:r w:rsidRPr="008467B6">
        <w:rPr>
          <w:lang w:eastAsia="ko-KR"/>
        </w:rPr>
        <w:t xml:space="preserve">a chroma down-conversion component that converts data from 4:4:4 to 4:2:0, </w:t>
      </w:r>
      <w:r w:rsidRPr="008467B6">
        <w:t xml:space="preserve">following the same process described in sub-clause </w:t>
      </w:r>
      <w:r>
        <w:t>6.1.3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 xml:space="preserve">, resulting in a PQ 10-bits </w:t>
      </w:r>
      <w:r w:rsidRPr="008467B6">
        <w:rPr>
          <w:lang w:eastAsia="zh-CN"/>
        </w:rPr>
        <w:t xml:space="preserve">4:2:0 </w:t>
      </w:r>
      <w:r w:rsidRPr="008467B6">
        <w:t>Y</w:t>
      </w:r>
      <w:r w:rsidRPr="008467B6">
        <w:sym w:font="Symbol" w:char="F0A2"/>
      </w:r>
      <w:r w:rsidRPr="008467B6">
        <w:rPr>
          <w:lang w:eastAsia="zh-CN"/>
        </w:rPr>
        <w:t>CbCr signal (PQ10),</w:t>
      </w:r>
    </w:p>
    <w:p w14:paraId="21DCCFEA" w14:textId="77777777" w:rsidR="007B6848" w:rsidRPr="008467B6" w:rsidRDefault="007B6848" w:rsidP="007B6848">
      <w:pPr>
        <w:pStyle w:val="ListParagraph"/>
        <w:numPr>
          <w:ilvl w:val="0"/>
          <w:numId w:val="14"/>
        </w:numPr>
        <w:rPr>
          <w:rFonts w:eastAsia="SimSun"/>
        </w:rPr>
      </w:pPr>
      <w:r w:rsidRPr="008467B6">
        <w:rPr>
          <w:rFonts w:eastAsia="SimSun"/>
        </w:rPr>
        <w:t xml:space="preserve">a dynamic range adaptation (DRA) step that applies </w:t>
      </w:r>
      <w:r w:rsidRPr="008467B6">
        <w:rPr>
          <w:lang w:eastAsia="zh-CN"/>
        </w:rPr>
        <w:t xml:space="preserve">three different transfer functions to the 4:2:0 </w:t>
      </w:r>
      <w:r w:rsidRPr="008467B6">
        <w:t>Y</w:t>
      </w:r>
      <w:r w:rsidRPr="008467B6">
        <w:sym w:font="Symbol" w:char="F0A2"/>
      </w:r>
      <w:r w:rsidRPr="008467B6">
        <w:rPr>
          <w:lang w:eastAsia="zh-CN"/>
        </w:rPr>
        <w:t>, Cb, and Cr components of the PQ10 signal</w:t>
      </w:r>
      <w:r>
        <w:rPr>
          <w:lang w:eastAsia="zh-CN"/>
        </w:rPr>
        <w:t xml:space="preserve"> to generate a 10-bits SDR </w:t>
      </w:r>
      <w:r w:rsidRPr="008467B6">
        <w:rPr>
          <w:lang w:eastAsia="zh-CN"/>
        </w:rPr>
        <w:t xml:space="preserve">4:2:0 </w:t>
      </w:r>
      <w:r w:rsidRPr="008467B6">
        <w:t>Y</w:t>
      </w:r>
      <w:r w:rsidRPr="008467B6">
        <w:sym w:font="Symbol" w:char="F0A2"/>
      </w:r>
      <w:r w:rsidRPr="008467B6">
        <w:rPr>
          <w:lang w:eastAsia="zh-CN"/>
        </w:rPr>
        <w:t>CbCr signal.</w:t>
      </w:r>
    </w:p>
    <w:p w14:paraId="2F20FC48" w14:textId="77777777" w:rsidR="007B6848" w:rsidRPr="008467B6" w:rsidRDefault="007B6848" w:rsidP="007B6848">
      <w:pPr>
        <w:rPr>
          <w:lang w:eastAsia="zh-CN"/>
        </w:rPr>
      </w:pPr>
      <w:r w:rsidRPr="008467B6">
        <w:rPr>
          <w:lang w:eastAsia="zh-CN"/>
        </w:rPr>
        <w:t xml:space="preserve">The resulting </w:t>
      </w:r>
      <w:r w:rsidRPr="008467B6">
        <w:t>Y</w:t>
      </w:r>
      <w:r w:rsidRPr="008467B6">
        <w:sym w:font="Symbol" w:char="F0A2"/>
      </w:r>
      <w:r w:rsidRPr="008467B6">
        <w:t>CbCr</w:t>
      </w:r>
      <w:r w:rsidRPr="008467B6">
        <w:rPr>
          <w:lang w:eastAsia="zh-CN"/>
        </w:rPr>
        <w:t xml:space="preserve"> signal, having BT.709/BT.2020 transfer characteristics and BT.2020 color primaries, is then encoded, using an HEVC Main 10 compliant encoder.</w:t>
      </w:r>
      <w:r w:rsidRPr="008467B6">
        <w:t xml:space="preserve"> The DRA </w:t>
      </w:r>
      <w:r w:rsidRPr="008467B6">
        <w:rPr>
          <w:lang w:eastAsia="zh-CN"/>
        </w:rPr>
        <w:t xml:space="preserve">transfer </w:t>
      </w:r>
      <w:r w:rsidRPr="008467B6">
        <w:t xml:space="preserve">functions </w:t>
      </w:r>
      <w:r>
        <w:t>ca</w:t>
      </w:r>
      <w:r>
        <w:tab/>
        <w:t>n be</w:t>
      </w:r>
      <w:r w:rsidRPr="008467B6">
        <w:t xml:space="preserve"> implemented in the shape of 1D-LUTs that directly apply to the </w:t>
      </w:r>
      <w:r w:rsidRPr="008467B6">
        <w:rPr>
          <w:lang w:eastAsia="zh-CN"/>
        </w:rPr>
        <w:t xml:space="preserve">PQ10 </w:t>
      </w:r>
      <w:r w:rsidRPr="008467B6">
        <w:t>Y</w:t>
      </w:r>
      <w:r w:rsidRPr="008467B6">
        <w:sym w:font="Symbol" w:char="F0A2"/>
      </w:r>
      <w:r w:rsidRPr="008467B6">
        <w:t>, Cb and Cr components, in 4:2:0 format.</w:t>
      </w:r>
      <w:r w:rsidRPr="008467B6">
        <w:rPr>
          <w:lang w:eastAsia="zh-CN"/>
        </w:rPr>
        <w:t xml:space="preserve"> </w:t>
      </w:r>
    </w:p>
    <w:p w14:paraId="1F7B1972" w14:textId="77777777" w:rsidR="007B6848" w:rsidRPr="008467B6" w:rsidRDefault="007B6848" w:rsidP="007B6848">
      <w:pPr>
        <w:rPr>
          <w:lang w:eastAsia="zh-CN"/>
        </w:rPr>
      </w:pPr>
      <w:r w:rsidRPr="008467B6">
        <w:rPr>
          <w:lang w:eastAsia="zh-CN"/>
        </w:rPr>
        <w:t>After HEVC Main 10 compliant decoding, the decoded signal has BT.709/BT.2020 transfer characteristics and BT.2020 colour primaries. The post-</w:t>
      </w:r>
      <w:r>
        <w:rPr>
          <w:lang w:eastAsia="zh-CN"/>
        </w:rPr>
        <w:t xml:space="preserve">decoding </w:t>
      </w:r>
      <w:r w:rsidRPr="008467B6">
        <w:rPr>
          <w:lang w:eastAsia="zh-CN"/>
        </w:rPr>
        <w:t xml:space="preserve">inverse conversion processing </w:t>
      </w:r>
      <w:r w:rsidRPr="008467B6">
        <w:rPr>
          <w:color w:val="000000" w:themeColor="text1"/>
        </w:rPr>
        <w:t>(</w:t>
      </w:r>
      <w:r w:rsidRPr="008467B6">
        <w:rPr>
          <w:lang w:eastAsia="zh-CN"/>
        </w:rPr>
        <w:t xml:space="preserve">bottom of </w:t>
      </w:r>
      <w:r w:rsidRPr="008467B6">
        <w:rPr>
          <w:lang w:eastAsia="zh-CN"/>
        </w:rPr>
        <w:fldChar w:fldCharType="begin"/>
      </w:r>
      <w:r w:rsidRPr="008467B6">
        <w:rPr>
          <w:lang w:eastAsia="zh-CN"/>
        </w:rPr>
        <w:instrText xml:space="preserve"> REF _Ref464756461 \h </w:instrText>
      </w:r>
      <w:r w:rsidRPr="008467B6">
        <w:rPr>
          <w:lang w:eastAsia="zh-CN"/>
        </w:rPr>
      </w:r>
      <w:r w:rsidRPr="008467B6">
        <w:rPr>
          <w:lang w:eastAsia="zh-CN"/>
        </w:rPr>
        <w:fldChar w:fldCharType="separate"/>
      </w:r>
      <w:r w:rsidRPr="008467B6">
        <w:rPr>
          <w:lang w:val="en-US"/>
        </w:rPr>
        <w:t>Figure </w:t>
      </w:r>
      <w:r>
        <w:rPr>
          <w:noProof/>
          <w:lang w:val="en-US"/>
        </w:rPr>
        <w:t>7</w:t>
      </w:r>
      <w:r>
        <w:rPr>
          <w:lang w:val="en-US"/>
        </w:rPr>
        <w:noBreakHyphen/>
      </w:r>
      <w:r>
        <w:rPr>
          <w:noProof/>
          <w:lang w:val="en-US"/>
        </w:rPr>
        <w:t>4</w:t>
      </w:r>
      <w:r w:rsidRPr="008467B6">
        <w:rPr>
          <w:lang w:eastAsia="zh-CN"/>
        </w:rPr>
        <w:fldChar w:fldCharType="end"/>
      </w:r>
      <w:r w:rsidRPr="008467B6">
        <w:rPr>
          <w:color w:val="000000" w:themeColor="text1"/>
        </w:rPr>
        <w:t xml:space="preserve">) </w:t>
      </w:r>
      <w:r w:rsidRPr="008467B6">
        <w:rPr>
          <w:lang w:eastAsia="zh-CN"/>
        </w:rPr>
        <w:t>is the inverse of the pre-</w:t>
      </w:r>
      <w:r>
        <w:rPr>
          <w:lang w:eastAsia="zh-CN"/>
        </w:rPr>
        <w:t xml:space="preserve">encoding </w:t>
      </w:r>
      <w:r w:rsidRPr="008467B6">
        <w:rPr>
          <w:lang w:eastAsia="zh-CN"/>
        </w:rPr>
        <w:t>processing. It is made of the following steps:</w:t>
      </w:r>
    </w:p>
    <w:p w14:paraId="508BE23C" w14:textId="77777777" w:rsidR="007B6848" w:rsidRPr="008467B6" w:rsidRDefault="007B6848" w:rsidP="007B6848">
      <w:pPr>
        <w:pStyle w:val="ListParagraph"/>
        <w:numPr>
          <w:ilvl w:val="0"/>
          <w:numId w:val="15"/>
        </w:numPr>
        <w:rPr>
          <w:lang w:eastAsia="zh-CN"/>
        </w:rPr>
      </w:pPr>
      <w:r w:rsidRPr="008467B6">
        <w:rPr>
          <w:lang w:eastAsia="zh-CN"/>
        </w:rPr>
        <w:t xml:space="preserve">an inverse DRA process, converting the SDR </w:t>
      </w:r>
      <w:r w:rsidRPr="008467B6">
        <w:t xml:space="preserve">10-bits </w:t>
      </w:r>
      <w:r w:rsidRPr="008467B6">
        <w:rPr>
          <w:rFonts w:eastAsia="SimSun"/>
        </w:rPr>
        <w:t>Y</w:t>
      </w:r>
      <w:r w:rsidRPr="008467B6">
        <w:sym w:font="Symbol" w:char="F0A2"/>
      </w:r>
      <w:r w:rsidRPr="008467B6">
        <w:rPr>
          <w:rFonts w:eastAsia="SimSun"/>
        </w:rPr>
        <w:t xml:space="preserve">CbCr </w:t>
      </w:r>
      <w:r w:rsidRPr="008467B6">
        <w:rPr>
          <w:lang w:eastAsia="ko-KR"/>
        </w:rPr>
        <w:t xml:space="preserve">4:2:0 </w:t>
      </w:r>
      <w:r w:rsidRPr="008467B6">
        <w:rPr>
          <w:lang w:eastAsia="zh-CN"/>
        </w:rPr>
        <w:t>signal into a PQ10 compatible signal using the inverse DRA transfer functions,</w:t>
      </w:r>
    </w:p>
    <w:p w14:paraId="2172FE00" w14:textId="77777777" w:rsidR="007B6848" w:rsidRPr="008467B6" w:rsidRDefault="007B6848" w:rsidP="007B6848">
      <w:pPr>
        <w:pStyle w:val="ListParagraph"/>
        <w:numPr>
          <w:ilvl w:val="0"/>
          <w:numId w:val="15"/>
        </w:numPr>
        <w:rPr>
          <w:rFonts w:eastAsia="SimSun"/>
        </w:rPr>
      </w:pPr>
      <w:r w:rsidRPr="008467B6">
        <w:rPr>
          <w:lang w:eastAsia="ko-KR"/>
        </w:rPr>
        <w:t xml:space="preserve">a chroma up-conversion that converts data from </w:t>
      </w:r>
      <w:r w:rsidRPr="008467B6">
        <w:rPr>
          <w:rFonts w:eastAsia="SimSun"/>
        </w:rPr>
        <w:t>Y</w:t>
      </w:r>
      <w:r w:rsidRPr="008467B6">
        <w:sym w:font="Symbol" w:char="F0A2"/>
      </w:r>
      <w:r w:rsidRPr="008467B6">
        <w:rPr>
          <w:rFonts w:eastAsia="SimSun"/>
        </w:rPr>
        <w:t xml:space="preserve">CbCr </w:t>
      </w:r>
      <w:r w:rsidRPr="008467B6">
        <w:rPr>
          <w:lang w:eastAsia="ko-KR"/>
        </w:rPr>
        <w:t xml:space="preserve">4:2:0 to </w:t>
      </w:r>
      <w:r w:rsidRPr="008467B6">
        <w:rPr>
          <w:rFonts w:eastAsia="SimSun"/>
        </w:rPr>
        <w:t>Y</w:t>
      </w:r>
      <w:r w:rsidRPr="008467B6">
        <w:sym w:font="Symbol" w:char="F0A2"/>
      </w:r>
      <w:r w:rsidRPr="008467B6">
        <w:rPr>
          <w:rFonts w:eastAsia="SimSun"/>
        </w:rPr>
        <w:t xml:space="preserve">CbCr </w:t>
      </w:r>
      <w:r w:rsidRPr="008467B6">
        <w:rPr>
          <w:lang w:eastAsia="ko-KR"/>
        </w:rPr>
        <w:t>4:4:4,</w:t>
      </w:r>
      <w:r w:rsidRPr="008467B6">
        <w:rPr>
          <w:rFonts w:eastAsia="SimSun"/>
        </w:rPr>
        <w:t xml:space="preserve"> </w:t>
      </w:r>
      <w:r w:rsidRPr="008467B6">
        <w:t xml:space="preserve">following the same process described in sub-clause </w:t>
      </w:r>
      <w:r>
        <w:t>9.1.2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5387168C" w14:textId="77777777" w:rsidR="007B6848" w:rsidRPr="008467B6" w:rsidRDefault="007B6848" w:rsidP="007B6848">
      <w:pPr>
        <w:pStyle w:val="ListParagraph"/>
        <w:numPr>
          <w:ilvl w:val="0"/>
          <w:numId w:val="15"/>
        </w:numPr>
        <w:rPr>
          <w:rFonts w:eastAsia="SimSun"/>
        </w:rPr>
      </w:pPr>
      <w:r w:rsidRPr="008467B6">
        <w:rPr>
          <w:lang w:eastAsia="ko-KR"/>
        </w:rPr>
        <w:t xml:space="preserve">a conversion </w:t>
      </w:r>
      <w:r>
        <w:rPr>
          <w:lang w:eastAsia="ko-KR"/>
        </w:rPr>
        <w:t>step</w:t>
      </w:r>
      <w:r w:rsidRPr="008467B6">
        <w:rPr>
          <w:lang w:eastAsia="ko-KR"/>
        </w:rPr>
        <w:t xml:space="preserve"> that converts a fixed-point representation, i.e. 10 bits, to a floating-point representation, </w:t>
      </w:r>
      <w:r w:rsidRPr="008467B6">
        <w:t xml:space="preserve">following the same process described in sub-clause </w:t>
      </w:r>
      <w:r>
        <w:t>9.1.1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0078DCD1" w14:textId="77777777" w:rsidR="007B6848" w:rsidRPr="008467B6" w:rsidRDefault="007B6848" w:rsidP="007B6848">
      <w:pPr>
        <w:pStyle w:val="ListParagraph"/>
        <w:numPr>
          <w:ilvl w:val="0"/>
          <w:numId w:val="15"/>
        </w:numPr>
        <w:rPr>
          <w:rFonts w:eastAsia="SimSun"/>
        </w:rPr>
      </w:pPr>
      <w:r w:rsidRPr="008467B6">
        <w:rPr>
          <w:color w:val="000000" w:themeColor="text1"/>
        </w:rPr>
        <w:t xml:space="preserve">a colour representation conversion from </w:t>
      </w:r>
      <w:r w:rsidRPr="008467B6">
        <w:rPr>
          <w:rFonts w:eastAsia="SimSun"/>
        </w:rPr>
        <w:t>Y</w:t>
      </w:r>
      <w:r w:rsidRPr="008467B6">
        <w:sym w:font="Symbol" w:char="F0A2"/>
      </w:r>
      <w:r w:rsidRPr="008467B6">
        <w:rPr>
          <w:rFonts w:eastAsia="SimSun"/>
        </w:rPr>
        <w:t xml:space="preserve">CbCr </w:t>
      </w:r>
      <w:r w:rsidRPr="008467B6">
        <w:rPr>
          <w:color w:val="000000" w:themeColor="text1"/>
        </w:rPr>
        <w:t>4:4:4 to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w:t>
      </w:r>
      <w:r w:rsidRPr="008467B6">
        <w:t xml:space="preserve">following the same process described in sub-clause </w:t>
      </w:r>
      <w:r>
        <w:t>9.1.3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37BBFD3E" w14:textId="77777777" w:rsidR="007B6848" w:rsidRPr="008467B6" w:rsidRDefault="007B6848" w:rsidP="007B6848">
      <w:pPr>
        <w:pStyle w:val="ListParagraph"/>
        <w:numPr>
          <w:ilvl w:val="0"/>
          <w:numId w:val="15"/>
        </w:numPr>
        <w:rPr>
          <w:rFonts w:eastAsia="SimSun"/>
        </w:rPr>
      </w:pPr>
      <w:r w:rsidRPr="008467B6">
        <w:rPr>
          <w:color w:val="000000" w:themeColor="text1"/>
        </w:rPr>
        <w:t xml:space="preserve">a conversion using the </w:t>
      </w:r>
      <w:r w:rsidRPr="008467B6">
        <w:rPr>
          <w:lang w:eastAsia="ko-KR"/>
        </w:rPr>
        <w:t>PQ</w:t>
      </w:r>
      <w:r w:rsidRPr="008467B6">
        <w:rPr>
          <w:color w:val="000000" w:themeColor="text1"/>
        </w:rPr>
        <w:t xml:space="preserve"> EOTF from the input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to linear RGB 4:4:4, </w:t>
      </w:r>
      <w:r w:rsidRPr="008467B6">
        <w:t xml:space="preserve">following the same process described in sub-clause </w:t>
      </w:r>
      <w:r>
        <w:t>9.1.4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color w:val="000000" w:themeColor="text1"/>
        </w:rPr>
        <w:t>.</w:t>
      </w:r>
    </w:p>
    <w:bookmarkStart w:id="195" w:name="_Ref452425139"/>
    <w:p w14:paraId="41EEF9A8" w14:textId="77777777" w:rsidR="007B6848" w:rsidRPr="008467B6" w:rsidRDefault="007B6848" w:rsidP="007B6848">
      <w:pPr>
        <w:jc w:val="center"/>
      </w:pPr>
      <w:r w:rsidRPr="008467B6">
        <w:object w:dxaOrig="12275" w:dyaOrig="3655" w14:anchorId="7C53D41A">
          <v:shape id="_x0000_i1030" type="#_x0000_t75" style="width:491.15pt;height:144.7pt" o:ole="">
            <v:imagedata r:id="rId29" o:title=""/>
          </v:shape>
          <o:OLEObject Type="Embed" ProgID="Visio.Drawing.11" ShapeID="_x0000_i1030" DrawAspect="Content" ObjectID="_1541247487" r:id="rId30"/>
        </w:object>
      </w:r>
    </w:p>
    <w:p w14:paraId="07EC87F0" w14:textId="77777777" w:rsidR="007B6848" w:rsidRPr="008467B6" w:rsidRDefault="007B6848" w:rsidP="007B6848">
      <w:pPr>
        <w:pStyle w:val="Caption"/>
        <w:rPr>
          <w:lang w:val="en-US"/>
        </w:rPr>
      </w:pPr>
      <w:bookmarkStart w:id="196" w:name="_Ref464756461"/>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4</w:t>
      </w:r>
      <w:r>
        <w:rPr>
          <w:lang w:val="en-US"/>
        </w:rPr>
        <w:fldChar w:fldCharType="end"/>
      </w:r>
      <w:bookmarkEnd w:id="195"/>
      <w:bookmarkEnd w:id="196"/>
      <w:r w:rsidRPr="008467B6">
        <w:rPr>
          <w:lang w:val="en-US"/>
        </w:rPr>
        <w:t xml:space="preserve"> – Pre-processing (top) and post-processing (down) for conversion from SDR/BT.2020 to HDR/BT.2020 with CRI applied in Y</w:t>
      </w:r>
      <w:r w:rsidRPr="008467B6">
        <w:rPr>
          <w:lang w:val="en-US"/>
        </w:rPr>
        <w:sym w:font="Symbol" w:char="F0A2"/>
      </w:r>
      <w:r w:rsidRPr="008467B6">
        <w:rPr>
          <w:lang w:val="en-US"/>
        </w:rPr>
        <w:t xml:space="preserve">CbCr </w:t>
      </w:r>
      <w:r w:rsidRPr="008467B6">
        <w:rPr>
          <w:lang w:val="en-US" w:eastAsia="zh-CN"/>
        </w:rPr>
        <w:t>4:2:0 domain</w:t>
      </w:r>
      <w:r w:rsidRPr="008467B6">
        <w:rPr>
          <w:lang w:val="en-US"/>
        </w:rPr>
        <w:t>.</w:t>
      </w:r>
    </w:p>
    <w:p w14:paraId="1827B6DD" w14:textId="77777777" w:rsidR="007B6848" w:rsidRPr="008467B6" w:rsidRDefault="007B6848" w:rsidP="007B6848">
      <w:pPr>
        <w:pStyle w:val="Heading3"/>
        <w:rPr>
          <w:lang w:eastAsia="zh-CN"/>
        </w:rPr>
      </w:pPr>
      <w:bookmarkStart w:id="197" w:name="_Toc467226115"/>
      <w:r w:rsidRPr="008467B6">
        <w:t>CRI applied in Y</w:t>
      </w:r>
      <w:r w:rsidRPr="008467B6">
        <w:sym w:font="Symbol" w:char="F0A2"/>
      </w:r>
      <w:r w:rsidRPr="008467B6">
        <w:t xml:space="preserve">CbCr </w:t>
      </w:r>
      <w:r w:rsidRPr="008467B6">
        <w:rPr>
          <w:lang w:eastAsia="zh-CN"/>
        </w:rPr>
        <w:t>4:4:4 domain</w:t>
      </w:r>
      <w:bookmarkEnd w:id="197"/>
    </w:p>
    <w:p w14:paraId="469F0A5C" w14:textId="77777777" w:rsidR="007B6848" w:rsidRPr="008467B6" w:rsidRDefault="007B6848" w:rsidP="007B6848">
      <w:pPr>
        <w:rPr>
          <w:lang w:eastAsia="zh-CN"/>
        </w:rPr>
      </w:pPr>
      <w:r w:rsidRPr="008467B6">
        <w:t>The second design (</w:t>
      </w:r>
      <w:r w:rsidRPr="008467B6">
        <w:fldChar w:fldCharType="begin"/>
      </w:r>
      <w:r w:rsidRPr="008467B6">
        <w:instrText xml:space="preserve"> REF _Ref464537357 \h </w:instrText>
      </w:r>
      <w:r w:rsidRPr="008467B6">
        <w:fldChar w:fldCharType="separate"/>
      </w:r>
      <w:r w:rsidRPr="008467B6">
        <w:rPr>
          <w:lang w:val="en-US"/>
        </w:rPr>
        <w:t>Figure </w:t>
      </w:r>
      <w:r>
        <w:rPr>
          <w:noProof/>
          <w:lang w:val="en-US"/>
        </w:rPr>
        <w:t>7</w:t>
      </w:r>
      <w:r>
        <w:rPr>
          <w:lang w:val="en-US"/>
        </w:rPr>
        <w:noBreakHyphen/>
      </w:r>
      <w:r>
        <w:rPr>
          <w:noProof/>
          <w:lang w:val="en-US"/>
        </w:rPr>
        <w:t>5</w:t>
      </w:r>
      <w:r w:rsidRPr="008467B6">
        <w:fldChar w:fldCharType="end"/>
      </w:r>
      <w:r w:rsidRPr="008467B6">
        <w:t xml:space="preserve">), similarly to the first one, makes use of the CRI SEI message to perform the inverse DRA process. However, DRA and inverse DRA apply in </w:t>
      </w:r>
      <w:r w:rsidRPr="008467B6">
        <w:rPr>
          <w:rFonts w:eastAsia="SimSun"/>
        </w:rPr>
        <w:t>Y</w:t>
      </w:r>
      <w:r w:rsidRPr="008467B6">
        <w:sym w:font="Symbol" w:char="F0A2"/>
      </w:r>
      <w:r w:rsidRPr="008467B6">
        <w:rPr>
          <w:rFonts w:eastAsia="SimSun"/>
        </w:rPr>
        <w:t>CbCr</w:t>
      </w:r>
      <w:r w:rsidRPr="008467B6">
        <w:t xml:space="preserve"> 4:4:4</w:t>
      </w:r>
      <w:r w:rsidRPr="008467B6">
        <w:rPr>
          <w:lang w:eastAsia="zh-CN"/>
        </w:rPr>
        <w:t xml:space="preserve"> domain.</w:t>
      </w:r>
    </w:p>
    <w:p w14:paraId="5E5D4F99" w14:textId="77777777" w:rsidR="007B6848" w:rsidRPr="008467B6" w:rsidRDefault="007B6848" w:rsidP="007B6848">
      <w:pPr>
        <w:rPr>
          <w:color w:val="000000" w:themeColor="text1"/>
        </w:rPr>
      </w:pPr>
      <w:r w:rsidRPr="008467B6">
        <w:rPr>
          <w:lang w:eastAsia="zh-CN"/>
        </w:rPr>
        <w:t>Pre-</w:t>
      </w:r>
      <w:r>
        <w:rPr>
          <w:lang w:eastAsia="zh-CN"/>
        </w:rPr>
        <w:t xml:space="preserve">encoding </w:t>
      </w:r>
      <w:r w:rsidRPr="008467B6">
        <w:rPr>
          <w:lang w:eastAsia="zh-CN"/>
        </w:rPr>
        <w:t xml:space="preserve">processing (top block-diagram) applies </w:t>
      </w:r>
      <w:r w:rsidRPr="008467B6">
        <w:rPr>
          <w:color w:val="000000" w:themeColor="text1"/>
        </w:rPr>
        <w:t>the following successive steps:</w:t>
      </w:r>
    </w:p>
    <w:p w14:paraId="3CC39B2A" w14:textId="77777777" w:rsidR="007B6848" w:rsidRPr="008467B6" w:rsidRDefault="007B6848" w:rsidP="007B6848">
      <w:pPr>
        <w:pStyle w:val="ListParagraph"/>
        <w:numPr>
          <w:ilvl w:val="0"/>
          <w:numId w:val="16"/>
        </w:numPr>
        <w:rPr>
          <w:rFonts w:eastAsia="SimSun"/>
        </w:rPr>
      </w:pPr>
      <w:r w:rsidRPr="008467B6">
        <w:rPr>
          <w:lang w:eastAsia="ko-KR"/>
        </w:rPr>
        <w:t xml:space="preserve">a conversion step from an </w:t>
      </w:r>
      <w:r w:rsidRPr="008467B6">
        <w:rPr>
          <w:color w:val="000000" w:themeColor="text1"/>
        </w:rPr>
        <w:t xml:space="preserve">input </w:t>
      </w:r>
      <w:r w:rsidRPr="008467B6">
        <w:t xml:space="preserve">linear </w:t>
      </w:r>
      <w:r w:rsidRPr="008467B6">
        <w:rPr>
          <w:color w:val="000000" w:themeColor="text1"/>
        </w:rPr>
        <w:t xml:space="preserve">RGB 4:4:4 </w:t>
      </w:r>
      <w:r w:rsidRPr="008467B6">
        <w:rPr>
          <w:lang w:eastAsia="ko-KR"/>
        </w:rPr>
        <w:t>representation to a non-</w:t>
      </w:r>
      <w:r w:rsidRPr="008467B6">
        <w:t xml:space="preserve">linear </w:t>
      </w:r>
      <w:r w:rsidRPr="008467B6">
        <w:rPr>
          <w:lang w:eastAsia="ko-KR"/>
        </w:rPr>
        <w:t>representation using the inverse PQ EOTF,</w:t>
      </w:r>
      <w:r w:rsidRPr="008467B6">
        <w:rPr>
          <w:color w:val="000000" w:themeColor="text1"/>
        </w:rPr>
        <w:t xml:space="preserve"> </w:t>
      </w:r>
      <w:r w:rsidRPr="008467B6">
        <w:t xml:space="preserve">following the same process described in sub-clause </w:t>
      </w:r>
      <w:r>
        <w:t>6.1.1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color w:val="000000" w:themeColor="text1"/>
        </w:rPr>
        <w:t>,</w:t>
      </w:r>
    </w:p>
    <w:p w14:paraId="37247A64" w14:textId="77777777" w:rsidR="007B6848" w:rsidRPr="008467B6" w:rsidRDefault="007B6848" w:rsidP="007B6848">
      <w:pPr>
        <w:pStyle w:val="ListParagraph"/>
        <w:numPr>
          <w:ilvl w:val="0"/>
          <w:numId w:val="16"/>
        </w:numPr>
        <w:rPr>
          <w:rFonts w:eastAsia="SimSun"/>
        </w:rPr>
      </w:pPr>
      <w:r w:rsidRPr="008467B6">
        <w:rPr>
          <w:lang w:eastAsia="ko-KR"/>
        </w:rPr>
        <w:t xml:space="preserve">a colour format conversion from </w:t>
      </w:r>
      <w:r w:rsidRPr="008467B6">
        <w:rPr>
          <w:color w:val="000000" w:themeColor="text1"/>
        </w:rPr>
        <w:t>non-linear PQ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 to </w:t>
      </w:r>
      <w:r w:rsidRPr="008467B6">
        <w:rPr>
          <w:rFonts w:eastAsia="SimSun"/>
        </w:rPr>
        <w:t>Y</w:t>
      </w:r>
      <w:r w:rsidRPr="008467B6">
        <w:sym w:font="Symbol" w:char="F0A2"/>
      </w:r>
      <w:r w:rsidRPr="008467B6">
        <w:rPr>
          <w:rFonts w:eastAsia="SimSun"/>
        </w:rPr>
        <w:t xml:space="preserve">CbCr </w:t>
      </w:r>
      <w:r w:rsidRPr="008467B6">
        <w:rPr>
          <w:color w:val="000000" w:themeColor="text1"/>
        </w:rPr>
        <w:t>4:4:4</w:t>
      </w:r>
      <w:r w:rsidRPr="008467B6">
        <w:t xml:space="preserve"> following the same process described in sub-clause </w:t>
      </w:r>
      <w:r>
        <w:t>6.1.2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0D7829E5" w14:textId="77777777" w:rsidR="007B6848" w:rsidRPr="008467B6" w:rsidRDefault="007B6848" w:rsidP="007B6848">
      <w:pPr>
        <w:pStyle w:val="ListParagraph"/>
        <w:numPr>
          <w:ilvl w:val="0"/>
          <w:numId w:val="16"/>
        </w:numPr>
        <w:rPr>
          <w:rFonts w:eastAsia="SimSun"/>
        </w:rPr>
      </w:pPr>
      <w:r w:rsidRPr="008467B6">
        <w:rPr>
          <w:lang w:eastAsia="ko-KR"/>
        </w:rPr>
        <w:t xml:space="preserve">a conversion </w:t>
      </w:r>
      <w:r>
        <w:rPr>
          <w:lang w:eastAsia="ko-KR"/>
        </w:rPr>
        <w:t>step</w:t>
      </w:r>
      <w:r w:rsidRPr="008467B6">
        <w:rPr>
          <w:lang w:eastAsia="ko-KR"/>
        </w:rPr>
        <w:t xml:space="preserve"> that converts a floating-point to a fixed-point representation (</w:t>
      </w:r>
      <w:r>
        <w:rPr>
          <w:lang w:eastAsia="ko-KR"/>
        </w:rPr>
        <w:t>i.e</w:t>
      </w:r>
      <w:r w:rsidRPr="008467B6">
        <w:rPr>
          <w:lang w:eastAsia="ko-KR"/>
        </w:rPr>
        <w:t>. 10 bits)</w:t>
      </w:r>
      <w:r w:rsidRPr="008467B6">
        <w:rPr>
          <w:rFonts w:eastAsia="SimSun"/>
        </w:rPr>
        <w:t xml:space="preserve">, narrow range, </w:t>
      </w:r>
      <w:r w:rsidRPr="008467B6">
        <w:t xml:space="preserve">following the same process described in sub-clause </w:t>
      </w:r>
      <w:r>
        <w:t>6.1.4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55EBE851" w14:textId="77777777" w:rsidR="007B6848" w:rsidRPr="008467B6" w:rsidRDefault="007B6848" w:rsidP="007B6848">
      <w:pPr>
        <w:pStyle w:val="ListParagraph"/>
        <w:numPr>
          <w:ilvl w:val="0"/>
          <w:numId w:val="16"/>
        </w:numPr>
        <w:rPr>
          <w:rFonts w:eastAsia="SimSun"/>
        </w:rPr>
      </w:pPr>
      <w:r w:rsidRPr="008467B6">
        <w:rPr>
          <w:rFonts w:eastAsia="SimSun"/>
        </w:rPr>
        <w:t xml:space="preserve">a dynamic range adaptation (DRA) step that applies </w:t>
      </w:r>
      <w:r w:rsidRPr="008467B6">
        <w:rPr>
          <w:lang w:eastAsia="zh-CN"/>
        </w:rPr>
        <w:t xml:space="preserve">to the 4:4:4 </w:t>
      </w:r>
      <w:r w:rsidRPr="008467B6">
        <w:t>Y</w:t>
      </w:r>
      <w:r w:rsidRPr="008467B6">
        <w:sym w:font="Symbol" w:char="F0A2"/>
      </w:r>
      <w:r w:rsidRPr="008467B6">
        <w:rPr>
          <w:lang w:eastAsia="zh-CN"/>
        </w:rPr>
        <w:t>, Cb, and Cr components of the PQ10 signal</w:t>
      </w:r>
      <w:r>
        <w:rPr>
          <w:lang w:eastAsia="zh-CN"/>
        </w:rPr>
        <w:t xml:space="preserve"> to generate a 10-bits SDR </w:t>
      </w:r>
      <w:r w:rsidRPr="008467B6">
        <w:rPr>
          <w:rFonts w:eastAsia="SimSun"/>
        </w:rPr>
        <w:t>Y</w:t>
      </w:r>
      <w:r w:rsidRPr="008467B6">
        <w:sym w:font="Symbol" w:char="F0A2"/>
      </w:r>
      <w:r w:rsidRPr="008467B6">
        <w:rPr>
          <w:rFonts w:eastAsia="SimSun"/>
        </w:rPr>
        <w:t xml:space="preserve">CbCr </w:t>
      </w:r>
      <w:r w:rsidRPr="008467B6">
        <w:rPr>
          <w:color w:val="000000" w:themeColor="text1"/>
        </w:rPr>
        <w:t>4:4:4</w:t>
      </w:r>
      <w:r>
        <w:rPr>
          <w:color w:val="000000" w:themeColor="text1"/>
        </w:rPr>
        <w:t xml:space="preserve"> signal</w:t>
      </w:r>
      <w:r w:rsidRPr="008467B6">
        <w:rPr>
          <w:lang w:eastAsia="zh-CN"/>
        </w:rPr>
        <w:t>,</w:t>
      </w:r>
    </w:p>
    <w:p w14:paraId="563C591F" w14:textId="77777777" w:rsidR="007B6848" w:rsidRPr="008467B6" w:rsidRDefault="007B6848" w:rsidP="007B6848">
      <w:pPr>
        <w:pStyle w:val="ListParagraph"/>
        <w:numPr>
          <w:ilvl w:val="0"/>
          <w:numId w:val="16"/>
        </w:numPr>
        <w:rPr>
          <w:lang w:eastAsia="zh-CN"/>
        </w:rPr>
      </w:pPr>
      <w:r w:rsidRPr="008467B6">
        <w:rPr>
          <w:lang w:eastAsia="ko-KR"/>
        </w:rPr>
        <w:t xml:space="preserve">a chroma down-conversion component that converts data from 4:4:4 to 4:2:0, </w:t>
      </w:r>
      <w:r w:rsidRPr="008467B6">
        <w:t xml:space="preserve">following the same process described in sub-clause </w:t>
      </w:r>
      <w:r>
        <w:t>6.1.3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 xml:space="preserve">, resulting in </w:t>
      </w:r>
      <w:r>
        <w:t xml:space="preserve">a </w:t>
      </w:r>
      <w:r w:rsidRPr="008467B6">
        <w:t xml:space="preserve">10-bits </w:t>
      </w:r>
      <w:r>
        <w:t>SDR</w:t>
      </w:r>
      <w:r w:rsidRPr="008467B6">
        <w:t xml:space="preserve"> </w:t>
      </w:r>
      <w:r w:rsidRPr="008467B6">
        <w:rPr>
          <w:lang w:eastAsia="zh-CN"/>
        </w:rPr>
        <w:t xml:space="preserve">4:2:0 </w:t>
      </w:r>
      <w:r w:rsidRPr="008467B6">
        <w:t>Y</w:t>
      </w:r>
      <w:r w:rsidRPr="008467B6">
        <w:sym w:font="Symbol" w:char="F0A2"/>
      </w:r>
      <w:r>
        <w:rPr>
          <w:lang w:eastAsia="zh-CN"/>
        </w:rPr>
        <w:t>CbCr signal</w:t>
      </w:r>
      <w:r w:rsidRPr="008467B6">
        <w:rPr>
          <w:lang w:eastAsia="zh-CN"/>
        </w:rPr>
        <w:t>.</w:t>
      </w:r>
    </w:p>
    <w:p w14:paraId="6433D11A" w14:textId="77777777" w:rsidR="007B6848" w:rsidRPr="008467B6" w:rsidRDefault="007B6848" w:rsidP="007B6848">
      <w:pPr>
        <w:rPr>
          <w:rFonts w:eastAsia="SimSun"/>
        </w:rPr>
      </w:pPr>
      <w:r w:rsidRPr="008467B6">
        <w:rPr>
          <w:rFonts w:eastAsia="SimSun"/>
        </w:rPr>
        <w:t>Post-</w:t>
      </w:r>
      <w:r>
        <w:rPr>
          <w:rFonts w:eastAsia="SimSun"/>
        </w:rPr>
        <w:t xml:space="preserve">decoding </w:t>
      </w:r>
      <w:r w:rsidRPr="008467B6">
        <w:rPr>
          <w:rFonts w:eastAsia="SimSun"/>
        </w:rPr>
        <w:t xml:space="preserve">processing </w:t>
      </w:r>
      <w:r w:rsidRPr="008467B6">
        <w:rPr>
          <w:lang w:eastAsia="zh-CN"/>
        </w:rPr>
        <w:t xml:space="preserve">(bottom block-diagram) </w:t>
      </w:r>
      <w:r w:rsidRPr="008467B6">
        <w:rPr>
          <w:rFonts w:eastAsia="SimSun"/>
        </w:rPr>
        <w:t>applies the following steps:</w:t>
      </w:r>
    </w:p>
    <w:p w14:paraId="32E9C04B" w14:textId="77777777" w:rsidR="007B6848" w:rsidRPr="008467B6" w:rsidRDefault="007B6848" w:rsidP="007B6848">
      <w:pPr>
        <w:pStyle w:val="ListParagraph"/>
        <w:numPr>
          <w:ilvl w:val="0"/>
          <w:numId w:val="17"/>
        </w:numPr>
        <w:rPr>
          <w:rFonts w:eastAsia="SimSun"/>
        </w:rPr>
      </w:pPr>
      <w:r w:rsidRPr="008467B6">
        <w:rPr>
          <w:lang w:eastAsia="ko-KR"/>
        </w:rPr>
        <w:lastRenderedPageBreak/>
        <w:t xml:space="preserve">a chroma up-conversion component that converts data from </w:t>
      </w:r>
      <w:r w:rsidRPr="008467B6">
        <w:rPr>
          <w:rFonts w:eastAsia="SimSun"/>
        </w:rPr>
        <w:t>Y</w:t>
      </w:r>
      <w:r w:rsidRPr="008467B6">
        <w:sym w:font="Symbol" w:char="F0A2"/>
      </w:r>
      <w:r w:rsidRPr="008467B6">
        <w:rPr>
          <w:rFonts w:eastAsia="SimSun"/>
        </w:rPr>
        <w:t xml:space="preserve">CbCr </w:t>
      </w:r>
      <w:r w:rsidRPr="008467B6">
        <w:rPr>
          <w:lang w:eastAsia="ko-KR"/>
        </w:rPr>
        <w:t xml:space="preserve">4:2:0 to </w:t>
      </w:r>
      <w:r w:rsidRPr="008467B6">
        <w:rPr>
          <w:rFonts w:eastAsia="SimSun"/>
        </w:rPr>
        <w:t>Y</w:t>
      </w:r>
      <w:r w:rsidRPr="008467B6">
        <w:sym w:font="Symbol" w:char="F0A2"/>
      </w:r>
      <w:r w:rsidRPr="008467B6">
        <w:rPr>
          <w:rFonts w:eastAsia="SimSun"/>
        </w:rPr>
        <w:t xml:space="preserve">CbCr </w:t>
      </w:r>
      <w:r w:rsidRPr="008467B6">
        <w:rPr>
          <w:lang w:eastAsia="ko-KR"/>
        </w:rPr>
        <w:t>4:4:4,</w:t>
      </w:r>
      <w:r w:rsidRPr="008467B6">
        <w:rPr>
          <w:rFonts w:eastAsia="SimSun"/>
        </w:rPr>
        <w:t xml:space="preserve"> </w:t>
      </w:r>
      <w:r w:rsidRPr="008467B6">
        <w:t xml:space="preserve">following the same process described in sub-clause </w:t>
      </w:r>
      <w:r>
        <w:t>9.1.2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4C82BBA9" w14:textId="77777777" w:rsidR="007B6848" w:rsidRPr="008467B6" w:rsidRDefault="007B6848" w:rsidP="007B6848">
      <w:pPr>
        <w:pStyle w:val="ListParagraph"/>
        <w:numPr>
          <w:ilvl w:val="0"/>
          <w:numId w:val="17"/>
        </w:numPr>
        <w:rPr>
          <w:lang w:eastAsia="zh-CN"/>
        </w:rPr>
      </w:pPr>
      <w:r w:rsidRPr="008467B6">
        <w:rPr>
          <w:lang w:eastAsia="zh-CN"/>
        </w:rPr>
        <w:t xml:space="preserve">an inverse DRA process, converting the SDR </w:t>
      </w:r>
      <w:r w:rsidRPr="008467B6">
        <w:rPr>
          <w:rFonts w:eastAsia="SimSun"/>
        </w:rPr>
        <w:t>Y</w:t>
      </w:r>
      <w:r w:rsidRPr="008467B6">
        <w:sym w:font="Symbol" w:char="F0A2"/>
      </w:r>
      <w:r w:rsidRPr="008467B6">
        <w:rPr>
          <w:rFonts w:eastAsia="SimSun"/>
        </w:rPr>
        <w:t xml:space="preserve">CbCr </w:t>
      </w:r>
      <w:r w:rsidRPr="008467B6">
        <w:rPr>
          <w:lang w:eastAsia="ko-KR"/>
        </w:rPr>
        <w:t xml:space="preserve">4:4:4 </w:t>
      </w:r>
      <w:r w:rsidRPr="008467B6">
        <w:rPr>
          <w:lang w:eastAsia="zh-CN"/>
        </w:rPr>
        <w:t xml:space="preserve">signal into a PQ 10-bits </w:t>
      </w:r>
      <w:r w:rsidRPr="008467B6">
        <w:rPr>
          <w:rFonts w:eastAsia="SimSun"/>
        </w:rPr>
        <w:t>Y</w:t>
      </w:r>
      <w:r w:rsidRPr="008467B6">
        <w:sym w:font="Symbol" w:char="F0A2"/>
      </w:r>
      <w:r w:rsidRPr="008467B6">
        <w:rPr>
          <w:rFonts w:eastAsia="SimSun"/>
        </w:rPr>
        <w:t xml:space="preserve">CbCr </w:t>
      </w:r>
      <w:r w:rsidRPr="008467B6">
        <w:rPr>
          <w:lang w:eastAsia="ko-KR"/>
        </w:rPr>
        <w:t xml:space="preserve">4:4:4 </w:t>
      </w:r>
      <w:r w:rsidRPr="008467B6">
        <w:rPr>
          <w:lang w:eastAsia="zh-CN"/>
        </w:rPr>
        <w:t xml:space="preserve">compatible signal using the </w:t>
      </w:r>
      <w:r>
        <w:rPr>
          <w:lang w:eastAsia="zh-CN"/>
        </w:rPr>
        <w:t>metadata conveyed in a CRI SEI message</w:t>
      </w:r>
      <w:r w:rsidRPr="008467B6">
        <w:rPr>
          <w:lang w:eastAsia="zh-CN"/>
        </w:rPr>
        <w:t>,</w:t>
      </w:r>
    </w:p>
    <w:p w14:paraId="4E6627FF" w14:textId="77777777" w:rsidR="007B6848" w:rsidRPr="008467B6" w:rsidRDefault="007B6848" w:rsidP="007B6848">
      <w:pPr>
        <w:pStyle w:val="ListParagraph"/>
        <w:numPr>
          <w:ilvl w:val="0"/>
          <w:numId w:val="17"/>
        </w:numPr>
        <w:rPr>
          <w:rFonts w:eastAsia="SimSun"/>
        </w:rPr>
      </w:pPr>
      <w:r w:rsidRPr="008467B6">
        <w:rPr>
          <w:lang w:eastAsia="ko-KR"/>
        </w:rPr>
        <w:t xml:space="preserve">a conversion </w:t>
      </w:r>
      <w:r>
        <w:rPr>
          <w:lang w:eastAsia="ko-KR"/>
        </w:rPr>
        <w:t>step</w:t>
      </w:r>
      <w:r w:rsidRPr="008467B6">
        <w:rPr>
          <w:lang w:eastAsia="ko-KR"/>
        </w:rPr>
        <w:t xml:space="preserve"> that converts a fixed-point representation, i.e. 10 bits, to a floating-point representation, </w:t>
      </w:r>
      <w:r w:rsidRPr="008467B6">
        <w:t xml:space="preserve">following the same process described in sub-clause </w:t>
      </w:r>
      <w:r>
        <w:t>9.1.1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4019472A" w14:textId="77777777" w:rsidR="007B6848" w:rsidRPr="008467B6" w:rsidRDefault="007B6848" w:rsidP="007B6848">
      <w:pPr>
        <w:pStyle w:val="ListParagraph"/>
        <w:numPr>
          <w:ilvl w:val="0"/>
          <w:numId w:val="17"/>
        </w:numPr>
        <w:rPr>
          <w:rFonts w:eastAsia="SimSun"/>
        </w:rPr>
      </w:pPr>
      <w:r w:rsidRPr="008467B6">
        <w:rPr>
          <w:color w:val="000000" w:themeColor="text1"/>
        </w:rPr>
        <w:t xml:space="preserve">a colour representation conversion from </w:t>
      </w:r>
      <w:r w:rsidRPr="008467B6">
        <w:rPr>
          <w:rFonts w:eastAsia="SimSun"/>
        </w:rPr>
        <w:t>Y</w:t>
      </w:r>
      <w:r w:rsidRPr="008467B6">
        <w:sym w:font="Symbol" w:char="F0A2"/>
      </w:r>
      <w:r w:rsidRPr="008467B6">
        <w:rPr>
          <w:rFonts w:eastAsia="SimSun"/>
        </w:rPr>
        <w:t xml:space="preserve">CbCr </w:t>
      </w:r>
      <w:r w:rsidRPr="008467B6">
        <w:rPr>
          <w:color w:val="000000" w:themeColor="text1"/>
        </w:rPr>
        <w:t>4:4:4 to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w:t>
      </w:r>
      <w:r w:rsidRPr="008467B6">
        <w:t xml:space="preserve">following the same process described in sub-clause </w:t>
      </w:r>
      <w:r>
        <w:t>9.1.3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24CBF4D2" w14:textId="77777777" w:rsidR="007B6848" w:rsidRPr="008467B6" w:rsidRDefault="007B6848" w:rsidP="007B6848">
      <w:pPr>
        <w:pStyle w:val="ListParagraph"/>
        <w:numPr>
          <w:ilvl w:val="0"/>
          <w:numId w:val="17"/>
        </w:numPr>
        <w:rPr>
          <w:rFonts w:eastAsia="SimSun"/>
        </w:rPr>
      </w:pPr>
      <w:r w:rsidRPr="008467B6">
        <w:rPr>
          <w:color w:val="000000" w:themeColor="text1"/>
        </w:rPr>
        <w:t xml:space="preserve">a conversion using the </w:t>
      </w:r>
      <w:r w:rsidRPr="008467B6">
        <w:rPr>
          <w:lang w:eastAsia="ko-KR"/>
        </w:rPr>
        <w:t>PQ</w:t>
      </w:r>
      <w:r w:rsidRPr="008467B6">
        <w:rPr>
          <w:color w:val="000000" w:themeColor="text1"/>
        </w:rPr>
        <w:t xml:space="preserve"> EOTF from the input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to linear RGB 4:4:4, </w:t>
      </w:r>
      <w:r w:rsidRPr="008467B6">
        <w:t xml:space="preserve">following the same process described in sub-clause </w:t>
      </w:r>
      <w:r>
        <w:t>9.1.4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color w:val="000000" w:themeColor="text1"/>
        </w:rPr>
        <w:t>.</w:t>
      </w:r>
    </w:p>
    <w:p w14:paraId="3F7BD89B" w14:textId="77777777" w:rsidR="007B6848" w:rsidRDefault="007B6848" w:rsidP="007B6848">
      <w:r w:rsidRPr="008467B6">
        <w:t>Working in</w:t>
      </w:r>
      <w:r w:rsidRPr="008467B6">
        <w:rPr>
          <w:rFonts w:eastAsia="SimSun"/>
        </w:rPr>
        <w:t xml:space="preserve"> Y</w:t>
      </w:r>
      <w:r w:rsidRPr="008467B6">
        <w:sym w:font="Symbol" w:char="F0A2"/>
      </w:r>
      <w:r w:rsidRPr="008467B6">
        <w:rPr>
          <w:rFonts w:eastAsia="SimSun"/>
        </w:rPr>
        <w:t>CbCr</w:t>
      </w:r>
      <w:r w:rsidRPr="008467B6">
        <w:t xml:space="preserve"> 4:4:4 domain </w:t>
      </w:r>
      <w:r>
        <w:t>enables</w:t>
      </w:r>
      <w:r w:rsidRPr="008467B6">
        <w:t xml:space="preserve"> using the complete CRI model, that is, three Pre-LUTs, followed by a three-by-three matrix, followed by three Post-LUTs. This complete CRI model may be also preferably used for enabling an SDR backward compatibility to SDR BT.709 color primaries while the input HDR color primaries are BT.2020. In this case the matrix can be of use for converting from one color gamut to the other one.</w:t>
      </w:r>
    </w:p>
    <w:p w14:paraId="0D31949E" w14:textId="77777777" w:rsidR="007B6848" w:rsidRPr="008467B6" w:rsidRDefault="007B6848" w:rsidP="007B6848">
      <w:pPr>
        <w:spacing w:before="120"/>
        <w:ind w:left="357"/>
      </w:pPr>
      <w:r w:rsidRPr="004B3F76">
        <w:rPr>
          <w:sz w:val="18"/>
        </w:rPr>
        <w:t>NOTE – </w:t>
      </w:r>
      <w:r>
        <w:rPr>
          <w:sz w:val="18"/>
        </w:rPr>
        <w:t>I</w:t>
      </w:r>
      <w:r w:rsidRPr="00AC254C">
        <w:rPr>
          <w:sz w:val="18"/>
        </w:rPr>
        <w:t>n case on non-backward compatible applications, the CRI SEI can also be used to work in a colour space other than Y</w:t>
      </w:r>
      <w:r w:rsidRPr="00AC254C">
        <w:rPr>
          <w:sz w:val="18"/>
        </w:rPr>
        <w:sym w:font="Symbol" w:char="F0A2"/>
      </w:r>
      <w:r w:rsidRPr="00AC254C">
        <w:rPr>
          <w:sz w:val="18"/>
        </w:rPr>
        <w:t>CbCr</w:t>
      </w:r>
      <w:r w:rsidRPr="004B3F76">
        <w:rPr>
          <w:sz w:val="18"/>
        </w:rPr>
        <w:t xml:space="preserve"> decoding process for HDR/WCG video.</w:t>
      </w:r>
    </w:p>
    <w:p w14:paraId="421F30DD" w14:textId="77777777" w:rsidR="007B6848" w:rsidRPr="008467B6" w:rsidRDefault="007B6848" w:rsidP="007B6848">
      <w:pPr>
        <w:jc w:val="center"/>
      </w:pPr>
      <w:r w:rsidRPr="008467B6">
        <w:object w:dxaOrig="12275" w:dyaOrig="4185" w14:anchorId="36FCF0C4">
          <v:shape id="_x0000_i1031" type="#_x0000_t75" style="width:491.15pt;height:167.15pt" o:ole="">
            <v:imagedata r:id="rId31" o:title=""/>
          </v:shape>
          <o:OLEObject Type="Embed" ProgID="Visio.Drawing.11" ShapeID="_x0000_i1031" DrawAspect="Content" ObjectID="_1541247488" r:id="rId32"/>
        </w:object>
      </w:r>
    </w:p>
    <w:p w14:paraId="41A2625B" w14:textId="77777777" w:rsidR="007B6848" w:rsidRPr="008467B6" w:rsidRDefault="007B6848" w:rsidP="007B6848">
      <w:pPr>
        <w:pStyle w:val="Caption"/>
        <w:rPr>
          <w:lang w:val="en-US"/>
        </w:rPr>
      </w:pPr>
      <w:bookmarkStart w:id="198" w:name="_Ref464537357"/>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5</w:t>
      </w:r>
      <w:r>
        <w:rPr>
          <w:lang w:val="en-US"/>
        </w:rPr>
        <w:fldChar w:fldCharType="end"/>
      </w:r>
      <w:bookmarkEnd w:id="198"/>
      <w:r w:rsidRPr="008467B6">
        <w:rPr>
          <w:lang w:val="en-US"/>
        </w:rPr>
        <w:t xml:space="preserve"> – Pre-processing (top) and post-processing (down) for conversion from SDR/BT.2020 to HDR/BT.2020 with CRI applied in Y</w:t>
      </w:r>
      <w:r w:rsidRPr="008467B6">
        <w:rPr>
          <w:lang w:val="en-US"/>
        </w:rPr>
        <w:sym w:font="Symbol" w:char="F0A2"/>
      </w:r>
      <w:r w:rsidRPr="008467B6">
        <w:rPr>
          <w:lang w:val="en-US"/>
        </w:rPr>
        <w:t xml:space="preserve">CbCr </w:t>
      </w:r>
      <w:r w:rsidRPr="008467B6">
        <w:rPr>
          <w:lang w:val="en-US" w:eastAsia="zh-CN"/>
        </w:rPr>
        <w:t>4:4:4 domain</w:t>
      </w:r>
      <w:r w:rsidRPr="008467B6">
        <w:rPr>
          <w:lang w:val="en-US"/>
        </w:rPr>
        <w:t>.</w:t>
      </w:r>
    </w:p>
    <w:p w14:paraId="0DA40F42" w14:textId="77777777" w:rsidR="007B6848" w:rsidRPr="008467B6" w:rsidRDefault="007B6848" w:rsidP="007B6848">
      <w:pPr>
        <w:pStyle w:val="Heading3"/>
        <w:rPr>
          <w:lang w:eastAsia="zh-CN"/>
        </w:rPr>
      </w:pPr>
      <w:bookmarkStart w:id="199" w:name="_Toc466897576"/>
      <w:bookmarkStart w:id="200" w:name="_Toc466897820"/>
      <w:bookmarkStart w:id="201" w:name="_Toc467063024"/>
      <w:bookmarkStart w:id="202" w:name="_Toc466897577"/>
      <w:bookmarkStart w:id="203" w:name="_Toc466897821"/>
      <w:bookmarkStart w:id="204" w:name="_Toc467063025"/>
      <w:bookmarkStart w:id="205" w:name="_Toc466897578"/>
      <w:bookmarkStart w:id="206" w:name="_Toc466897822"/>
      <w:bookmarkStart w:id="207" w:name="_Toc467063026"/>
      <w:bookmarkStart w:id="208" w:name="_Toc466897579"/>
      <w:bookmarkStart w:id="209" w:name="_Toc466897823"/>
      <w:bookmarkStart w:id="210" w:name="_Toc467063027"/>
      <w:bookmarkStart w:id="211" w:name="_Toc466897580"/>
      <w:bookmarkStart w:id="212" w:name="_Toc466897824"/>
      <w:bookmarkStart w:id="213" w:name="_Toc467063028"/>
      <w:bookmarkStart w:id="214" w:name="_Toc466897581"/>
      <w:bookmarkStart w:id="215" w:name="_Toc466897825"/>
      <w:bookmarkStart w:id="216" w:name="_Toc467063029"/>
      <w:bookmarkStart w:id="217" w:name="_Toc467226116"/>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sidRPr="008467B6">
        <w:t>TMI applied in R</w:t>
      </w:r>
      <w:r w:rsidRPr="008467B6">
        <w:sym w:font="Symbol" w:char="F0A2"/>
      </w:r>
      <w:r w:rsidRPr="008467B6">
        <w:t>G</w:t>
      </w:r>
      <w:r w:rsidRPr="008467B6">
        <w:sym w:font="Symbol" w:char="F0A2"/>
      </w:r>
      <w:r w:rsidRPr="008467B6">
        <w:t>B</w:t>
      </w:r>
      <w:r w:rsidRPr="008467B6">
        <w:sym w:font="Symbol" w:char="F0A2"/>
      </w:r>
      <w:r w:rsidRPr="008467B6">
        <w:t xml:space="preserve"> </w:t>
      </w:r>
      <w:r w:rsidRPr="008467B6">
        <w:rPr>
          <w:lang w:eastAsia="zh-CN"/>
        </w:rPr>
        <w:t>4:4:4 domain</w:t>
      </w:r>
      <w:bookmarkEnd w:id="217"/>
    </w:p>
    <w:p w14:paraId="69EA146A" w14:textId="77777777" w:rsidR="007B6848" w:rsidRPr="008467B6" w:rsidRDefault="007B6848" w:rsidP="007B6848">
      <w:pPr>
        <w:rPr>
          <w:lang w:eastAsia="zh-CN"/>
        </w:rPr>
      </w:pPr>
      <w:r w:rsidRPr="008467B6">
        <w:rPr>
          <w:lang w:eastAsia="zh-CN"/>
        </w:rPr>
        <w:t>In the third design (</w:t>
      </w:r>
      <w:r w:rsidRPr="008467B6">
        <w:rPr>
          <w:lang w:eastAsia="zh-CN"/>
        </w:rPr>
        <w:fldChar w:fldCharType="begin"/>
      </w:r>
      <w:r w:rsidRPr="008467B6">
        <w:rPr>
          <w:lang w:eastAsia="zh-CN"/>
        </w:rPr>
        <w:instrText xml:space="preserve"> REF _Ref464607582 \h  \* MERGEFORMAT </w:instrText>
      </w:r>
      <w:r w:rsidRPr="008467B6">
        <w:rPr>
          <w:lang w:eastAsia="zh-CN"/>
        </w:rPr>
      </w:r>
      <w:r w:rsidRPr="008467B6">
        <w:rPr>
          <w:lang w:eastAsia="zh-CN"/>
        </w:rPr>
        <w:fldChar w:fldCharType="separate"/>
      </w:r>
      <w:r w:rsidRPr="008467B6">
        <w:rPr>
          <w:lang w:val="en-US"/>
        </w:rPr>
        <w:t>Figure </w:t>
      </w:r>
      <w:r>
        <w:rPr>
          <w:lang w:val="en-US"/>
        </w:rPr>
        <w:t>7</w:t>
      </w:r>
      <w:r>
        <w:rPr>
          <w:lang w:val="en-US"/>
        </w:rPr>
        <w:noBreakHyphen/>
        <w:t>6</w:t>
      </w:r>
      <w:r w:rsidRPr="008467B6">
        <w:rPr>
          <w:lang w:eastAsia="zh-CN"/>
        </w:rPr>
        <w:fldChar w:fldCharType="end"/>
      </w:r>
      <w:r w:rsidRPr="008467B6">
        <w:rPr>
          <w:lang w:eastAsia="zh-CN"/>
        </w:rPr>
        <w:t xml:space="preserve">), the TMI SEI message is used </w:t>
      </w:r>
      <w:r w:rsidRPr="008467B6">
        <w:t xml:space="preserve">to perform the </w:t>
      </w:r>
      <w:r>
        <w:rPr>
          <w:lang w:eastAsia="zh-CN"/>
        </w:rPr>
        <w:t xml:space="preserve">inverse </w:t>
      </w:r>
      <w:r w:rsidRPr="008467B6">
        <w:rPr>
          <w:lang w:eastAsia="zh-CN"/>
        </w:rPr>
        <w:t>DRA and it applies to a RGB 4:4:4 signal.</w:t>
      </w:r>
    </w:p>
    <w:p w14:paraId="541E249C" w14:textId="77777777" w:rsidR="007B6848" w:rsidRPr="008467B6" w:rsidRDefault="007B6848" w:rsidP="007B6848">
      <w:pPr>
        <w:rPr>
          <w:color w:val="000000" w:themeColor="text1"/>
        </w:rPr>
      </w:pPr>
      <w:r w:rsidRPr="008467B6">
        <w:rPr>
          <w:lang w:eastAsia="zh-CN"/>
        </w:rPr>
        <w:t>Pre-</w:t>
      </w:r>
      <w:r>
        <w:rPr>
          <w:lang w:eastAsia="zh-CN"/>
        </w:rPr>
        <w:t xml:space="preserve">encoding </w:t>
      </w:r>
      <w:r w:rsidRPr="008467B6">
        <w:rPr>
          <w:lang w:eastAsia="zh-CN"/>
        </w:rPr>
        <w:t xml:space="preserve">processing (top block-diagram) applies </w:t>
      </w:r>
      <w:r w:rsidRPr="008467B6">
        <w:rPr>
          <w:color w:val="000000" w:themeColor="text1"/>
        </w:rPr>
        <w:t>the following successive steps:</w:t>
      </w:r>
    </w:p>
    <w:p w14:paraId="236F696A" w14:textId="77777777" w:rsidR="007B6848" w:rsidRPr="008467B6" w:rsidRDefault="007B6848" w:rsidP="007B6848">
      <w:pPr>
        <w:pStyle w:val="ListParagraph"/>
        <w:numPr>
          <w:ilvl w:val="0"/>
          <w:numId w:val="18"/>
        </w:numPr>
        <w:rPr>
          <w:rFonts w:eastAsia="SimSun"/>
        </w:rPr>
      </w:pPr>
      <w:r w:rsidRPr="008467B6">
        <w:rPr>
          <w:lang w:eastAsia="ko-KR"/>
        </w:rPr>
        <w:t xml:space="preserve">a conversion step from an </w:t>
      </w:r>
      <w:r w:rsidRPr="008467B6">
        <w:rPr>
          <w:color w:val="000000" w:themeColor="text1"/>
        </w:rPr>
        <w:t xml:space="preserve">input </w:t>
      </w:r>
      <w:r w:rsidRPr="008467B6">
        <w:t xml:space="preserve">linear </w:t>
      </w:r>
      <w:r w:rsidRPr="008467B6">
        <w:rPr>
          <w:color w:val="000000" w:themeColor="text1"/>
        </w:rPr>
        <w:t xml:space="preserve">RGB 4:4:4 </w:t>
      </w:r>
      <w:r w:rsidRPr="008467B6">
        <w:rPr>
          <w:lang w:eastAsia="ko-KR"/>
        </w:rPr>
        <w:t>representation to a non-</w:t>
      </w:r>
      <w:r w:rsidRPr="008467B6">
        <w:t xml:space="preserve">linear </w:t>
      </w:r>
      <w:r w:rsidRPr="008467B6">
        <w:rPr>
          <w:lang w:eastAsia="ko-KR"/>
        </w:rPr>
        <w:t>representation using the inverse PQ EOTF,</w:t>
      </w:r>
      <w:r w:rsidRPr="008467B6">
        <w:rPr>
          <w:color w:val="000000" w:themeColor="text1"/>
        </w:rPr>
        <w:t xml:space="preserve"> </w:t>
      </w:r>
      <w:r w:rsidRPr="008467B6">
        <w:t xml:space="preserve">following the same process described in sub-clause </w:t>
      </w:r>
      <w:r>
        <w:t>6.1.1</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color w:val="000000" w:themeColor="text1"/>
        </w:rPr>
        <w:t>,</w:t>
      </w:r>
    </w:p>
    <w:p w14:paraId="042BBAD6" w14:textId="77777777" w:rsidR="007B6848" w:rsidRPr="008467B6" w:rsidRDefault="007B6848" w:rsidP="007B6848">
      <w:pPr>
        <w:pStyle w:val="ListParagraph"/>
        <w:numPr>
          <w:ilvl w:val="0"/>
          <w:numId w:val="18"/>
        </w:numPr>
        <w:rPr>
          <w:rFonts w:eastAsia="SimSun"/>
        </w:rPr>
      </w:pPr>
      <w:r w:rsidRPr="008467B6">
        <w:rPr>
          <w:lang w:eastAsia="ko-KR"/>
        </w:rPr>
        <w:t xml:space="preserve">a conversion </w:t>
      </w:r>
      <w:r>
        <w:rPr>
          <w:lang w:eastAsia="ko-KR"/>
        </w:rPr>
        <w:t>step</w:t>
      </w:r>
      <w:r w:rsidRPr="008467B6">
        <w:rPr>
          <w:lang w:eastAsia="ko-KR"/>
        </w:rPr>
        <w:t xml:space="preserve"> that converts a floating-point to a fixed-point M</w:t>
      </w:r>
      <w:r>
        <w:rPr>
          <w:lang w:eastAsia="ko-KR"/>
        </w:rPr>
        <w:t>-</w:t>
      </w:r>
      <w:r w:rsidRPr="008467B6">
        <w:rPr>
          <w:lang w:eastAsia="ko-KR"/>
        </w:rPr>
        <w:t>bits representation (typically M being set to 14 or 16 bits)</w:t>
      </w:r>
      <w:r w:rsidRPr="008467B6">
        <w:rPr>
          <w:rFonts w:eastAsia="SimSun"/>
        </w:rPr>
        <w:t xml:space="preserve">, </w:t>
      </w:r>
      <w:r w:rsidRPr="008467B6">
        <w:t xml:space="preserve">following a similar process as described in sub-clause </w:t>
      </w:r>
      <w:r>
        <w:t>6.1.4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1CAB677B" w14:textId="77777777" w:rsidR="007B6848" w:rsidRPr="008467B6" w:rsidRDefault="007B6848" w:rsidP="007B6848">
      <w:pPr>
        <w:pStyle w:val="ListParagraph"/>
        <w:numPr>
          <w:ilvl w:val="0"/>
          <w:numId w:val="18"/>
        </w:numPr>
        <w:rPr>
          <w:color w:val="000000" w:themeColor="text1"/>
        </w:rPr>
      </w:pPr>
      <w:r w:rsidRPr="008467B6">
        <w:rPr>
          <w:rFonts w:eastAsia="SimSun"/>
        </w:rPr>
        <w:t xml:space="preserve">a dynamic range adaptation (DRA) step applying to the </w:t>
      </w:r>
      <w:r w:rsidRPr="008467B6">
        <w:rPr>
          <w:color w:val="000000" w:themeColor="text1"/>
        </w:rPr>
        <w:t>M-bits</w:t>
      </w:r>
      <w:r w:rsidRPr="008467B6">
        <w:rPr>
          <w:lang w:eastAsia="zh-CN"/>
        </w:rPr>
        <w:t xml:space="preserve"> PQ </w:t>
      </w:r>
      <w:r w:rsidRPr="008467B6">
        <w:rPr>
          <w:color w:val="000000" w:themeColor="text1"/>
        </w:rPr>
        <w:t>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w:t>
      </w:r>
      <w:r>
        <w:rPr>
          <w:color w:val="000000" w:themeColor="text1"/>
        </w:rPr>
        <w:t xml:space="preserve"> to produce an SDR </w:t>
      </w:r>
      <w:r w:rsidRPr="004652D8">
        <w:rPr>
          <w:color w:val="000000" w:themeColor="text1"/>
        </w:rPr>
        <w:t>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w:t>
      </w:r>
      <w:r>
        <w:rPr>
          <w:color w:val="000000" w:themeColor="text1"/>
        </w:rPr>
        <w:t xml:space="preserve"> (</w:t>
      </w:r>
      <w:r w:rsidRPr="004652D8">
        <w:rPr>
          <w:lang w:eastAsia="zh-CN"/>
        </w:rPr>
        <w:t>having BT.709/BT.2020 transfer characteristics and BT.2020 color primaries</w:t>
      </w:r>
      <w:r>
        <w:rPr>
          <w:color w:val="000000" w:themeColor="text1"/>
        </w:rPr>
        <w:t>)</w:t>
      </w:r>
      <w:r w:rsidRPr="008467B6">
        <w:rPr>
          <w:color w:val="000000" w:themeColor="text1"/>
        </w:rPr>
        <w:t>,</w:t>
      </w:r>
    </w:p>
    <w:p w14:paraId="76AD94F3" w14:textId="77777777" w:rsidR="007B6848" w:rsidRPr="008467B6" w:rsidRDefault="007B6848" w:rsidP="007B6848">
      <w:pPr>
        <w:pStyle w:val="ListParagraph"/>
        <w:numPr>
          <w:ilvl w:val="0"/>
          <w:numId w:val="18"/>
        </w:numPr>
        <w:rPr>
          <w:rFonts w:eastAsia="SimSun"/>
        </w:rPr>
      </w:pPr>
      <w:r w:rsidRPr="008467B6">
        <w:rPr>
          <w:lang w:eastAsia="ko-KR"/>
        </w:rPr>
        <w:t xml:space="preserve">a colour format conversion from </w:t>
      </w:r>
      <w:r w:rsidRPr="008467B6">
        <w:rPr>
          <w:color w:val="000000" w:themeColor="text1"/>
        </w:rPr>
        <w:t>non-linear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signal to </w:t>
      </w:r>
      <w:r w:rsidRPr="008467B6">
        <w:rPr>
          <w:rFonts w:eastAsia="SimSun"/>
        </w:rPr>
        <w:t>Y</w:t>
      </w:r>
      <w:r w:rsidRPr="008467B6">
        <w:sym w:font="Symbol" w:char="F0A2"/>
      </w:r>
      <w:r w:rsidRPr="008467B6">
        <w:rPr>
          <w:rFonts w:eastAsia="SimSun"/>
        </w:rPr>
        <w:t xml:space="preserve">CbCr </w:t>
      </w:r>
      <w:r w:rsidRPr="008467B6">
        <w:rPr>
          <w:color w:val="000000" w:themeColor="text1"/>
        </w:rPr>
        <w:t>4:4:4</w:t>
      </w:r>
      <w:r w:rsidRPr="008467B6">
        <w:t xml:space="preserve"> following the same process described in sub-clause </w:t>
      </w:r>
      <w:r>
        <w:t>6.1.2</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t>,</w:t>
      </w:r>
    </w:p>
    <w:p w14:paraId="7C38221D" w14:textId="77777777" w:rsidR="007B6848" w:rsidRPr="008467B6" w:rsidRDefault="007B6848" w:rsidP="007B6848">
      <w:pPr>
        <w:pStyle w:val="ListParagraph"/>
        <w:numPr>
          <w:ilvl w:val="0"/>
          <w:numId w:val="18"/>
        </w:numPr>
        <w:rPr>
          <w:lang w:eastAsia="zh-CN"/>
        </w:rPr>
      </w:pPr>
      <w:r w:rsidRPr="008467B6">
        <w:rPr>
          <w:lang w:eastAsia="ko-KR"/>
        </w:rPr>
        <w:t xml:space="preserve">a chroma down-conversion that converts data from 4:4:4 to 4:2:0, </w:t>
      </w:r>
      <w:r w:rsidRPr="008467B6">
        <w:t xml:space="preserve">following </w:t>
      </w:r>
      <w:r>
        <w:t>a similar</w:t>
      </w:r>
      <w:r w:rsidRPr="008467B6">
        <w:t xml:space="preserve"> process</w:t>
      </w:r>
      <w:r>
        <w:t xml:space="preserve"> as</w:t>
      </w:r>
      <w:r w:rsidRPr="008467B6">
        <w:t xml:space="preserve"> described in sub-clause </w:t>
      </w:r>
      <w:r>
        <w:t>6.1.3</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t xml:space="preserve">, resulting in an SDR </w:t>
      </w:r>
      <w:r w:rsidRPr="008467B6">
        <w:rPr>
          <w:lang w:eastAsia="zh-CN"/>
        </w:rPr>
        <w:t xml:space="preserve">4:2:0 </w:t>
      </w:r>
      <w:r w:rsidRPr="008467B6">
        <w:t>Y</w:t>
      </w:r>
      <w:r w:rsidRPr="008467B6">
        <w:sym w:font="Symbol" w:char="F0A2"/>
      </w:r>
      <w:r>
        <w:rPr>
          <w:lang w:eastAsia="zh-CN"/>
        </w:rPr>
        <w:t>CbCr signal</w:t>
      </w:r>
      <w:r w:rsidRPr="008467B6">
        <w:rPr>
          <w:lang w:eastAsia="zh-CN"/>
        </w:rPr>
        <w:t>.</w:t>
      </w:r>
    </w:p>
    <w:p w14:paraId="1081ABD9" w14:textId="77777777" w:rsidR="007B6848" w:rsidRPr="008467B6" w:rsidRDefault="007B6848" w:rsidP="007B6848">
      <w:pPr>
        <w:pStyle w:val="ListParagraph"/>
        <w:numPr>
          <w:ilvl w:val="0"/>
          <w:numId w:val="18"/>
        </w:numPr>
        <w:rPr>
          <w:lang w:eastAsia="zh-CN"/>
        </w:rPr>
      </w:pPr>
      <w:r w:rsidRPr="008467B6">
        <w:rPr>
          <w:lang w:eastAsia="ko-KR"/>
        </w:rPr>
        <w:t>a re</w:t>
      </w:r>
      <w:r>
        <w:rPr>
          <w:lang w:eastAsia="ko-KR"/>
        </w:rPr>
        <w:t>-</w:t>
      </w:r>
      <w:r w:rsidRPr="008467B6">
        <w:rPr>
          <w:lang w:eastAsia="ko-KR"/>
        </w:rPr>
        <w:t>quantization to 10 bits.</w:t>
      </w:r>
    </w:p>
    <w:p w14:paraId="59AA5A4E" w14:textId="77777777" w:rsidR="007B6848" w:rsidRPr="008467B6" w:rsidRDefault="007B6848" w:rsidP="007B6848">
      <w:pPr>
        <w:rPr>
          <w:rFonts w:eastAsia="SimSun"/>
        </w:rPr>
      </w:pPr>
      <w:r w:rsidRPr="008467B6">
        <w:rPr>
          <w:rFonts w:eastAsia="SimSun"/>
        </w:rPr>
        <w:t>Post-</w:t>
      </w:r>
      <w:r>
        <w:rPr>
          <w:rFonts w:eastAsia="SimSun"/>
        </w:rPr>
        <w:t xml:space="preserve">decoding </w:t>
      </w:r>
      <w:r w:rsidRPr="008467B6">
        <w:rPr>
          <w:rFonts w:eastAsia="SimSun"/>
        </w:rPr>
        <w:t xml:space="preserve">processing </w:t>
      </w:r>
      <w:r w:rsidRPr="008467B6">
        <w:rPr>
          <w:lang w:eastAsia="zh-CN"/>
        </w:rPr>
        <w:t xml:space="preserve">(bottom block-diagram) </w:t>
      </w:r>
      <w:r w:rsidRPr="008467B6">
        <w:rPr>
          <w:rFonts w:eastAsia="SimSun"/>
        </w:rPr>
        <w:t>applies the following steps:</w:t>
      </w:r>
    </w:p>
    <w:p w14:paraId="77573E32" w14:textId="77777777" w:rsidR="007B6848" w:rsidRPr="008467B6" w:rsidRDefault="007B6848" w:rsidP="007B6848">
      <w:pPr>
        <w:pStyle w:val="ListParagraph"/>
        <w:numPr>
          <w:ilvl w:val="0"/>
          <w:numId w:val="19"/>
        </w:numPr>
        <w:rPr>
          <w:lang w:eastAsia="zh-CN"/>
        </w:rPr>
      </w:pPr>
      <w:r w:rsidRPr="004652D8">
        <w:rPr>
          <w:lang w:eastAsia="ko-KR"/>
        </w:rPr>
        <w:t>a re</w:t>
      </w:r>
      <w:r>
        <w:rPr>
          <w:lang w:eastAsia="ko-KR"/>
        </w:rPr>
        <w:t>-</w:t>
      </w:r>
      <w:r w:rsidRPr="008467B6">
        <w:rPr>
          <w:lang w:eastAsia="ko-KR"/>
        </w:rPr>
        <w:t>quantization</w:t>
      </w:r>
      <w:r>
        <w:rPr>
          <w:lang w:eastAsia="ko-KR"/>
        </w:rPr>
        <w:t xml:space="preserve"> to M-bits</w:t>
      </w:r>
      <w:r w:rsidRPr="008467B6">
        <w:rPr>
          <w:lang w:eastAsia="ko-KR"/>
        </w:rPr>
        <w:t xml:space="preserve"> </w:t>
      </w:r>
      <w:r>
        <w:rPr>
          <w:lang w:eastAsia="ko-KR"/>
        </w:rPr>
        <w:t xml:space="preserve">of the input </w:t>
      </w:r>
      <w:r w:rsidRPr="004652D8">
        <w:rPr>
          <w:lang w:eastAsia="zh-CN"/>
        </w:rPr>
        <w:t>decoded signal ha</w:t>
      </w:r>
      <w:r>
        <w:rPr>
          <w:lang w:eastAsia="zh-CN"/>
        </w:rPr>
        <w:t>ving</w:t>
      </w:r>
      <w:r w:rsidRPr="004652D8">
        <w:rPr>
          <w:lang w:eastAsia="zh-CN"/>
        </w:rPr>
        <w:t xml:space="preserve"> BT.709/BT.2020 transfer characteristics and BT.2020 colour primaries</w:t>
      </w:r>
      <w:r>
        <w:rPr>
          <w:lang w:eastAsia="zh-CN"/>
        </w:rPr>
        <w:t>,</w:t>
      </w:r>
    </w:p>
    <w:p w14:paraId="68F9F887" w14:textId="77777777" w:rsidR="007B6848" w:rsidRPr="008467B6" w:rsidRDefault="007B6848" w:rsidP="007B6848">
      <w:pPr>
        <w:pStyle w:val="ListParagraph"/>
        <w:numPr>
          <w:ilvl w:val="0"/>
          <w:numId w:val="19"/>
        </w:numPr>
        <w:rPr>
          <w:rFonts w:eastAsia="SimSun"/>
        </w:rPr>
      </w:pPr>
      <w:r w:rsidRPr="008467B6">
        <w:rPr>
          <w:lang w:eastAsia="ko-KR"/>
        </w:rPr>
        <w:t xml:space="preserve">a chroma up-conversion that converts data from </w:t>
      </w:r>
      <w:r w:rsidRPr="008467B6">
        <w:rPr>
          <w:rFonts w:eastAsia="SimSun"/>
        </w:rPr>
        <w:t>Y</w:t>
      </w:r>
      <w:r w:rsidRPr="008467B6">
        <w:sym w:font="Symbol" w:char="F0A2"/>
      </w:r>
      <w:r w:rsidRPr="008467B6">
        <w:rPr>
          <w:rFonts w:eastAsia="SimSun"/>
        </w:rPr>
        <w:t xml:space="preserve">CbCr </w:t>
      </w:r>
      <w:r w:rsidRPr="008467B6">
        <w:rPr>
          <w:lang w:eastAsia="ko-KR"/>
        </w:rPr>
        <w:t xml:space="preserve">4:2:0 to </w:t>
      </w:r>
      <w:r w:rsidRPr="008467B6">
        <w:rPr>
          <w:rFonts w:eastAsia="SimSun"/>
        </w:rPr>
        <w:t>Y</w:t>
      </w:r>
      <w:r w:rsidRPr="008467B6">
        <w:sym w:font="Symbol" w:char="F0A2"/>
      </w:r>
      <w:r w:rsidRPr="008467B6">
        <w:rPr>
          <w:rFonts w:eastAsia="SimSun"/>
        </w:rPr>
        <w:t xml:space="preserve">CbCr </w:t>
      </w:r>
      <w:r w:rsidRPr="008467B6">
        <w:rPr>
          <w:lang w:eastAsia="ko-KR"/>
        </w:rPr>
        <w:t>4:4:4,</w:t>
      </w:r>
      <w:r w:rsidRPr="008467B6">
        <w:rPr>
          <w:rFonts w:eastAsia="SimSun"/>
        </w:rPr>
        <w:t xml:space="preserve"> </w:t>
      </w:r>
      <w:r w:rsidRPr="008467B6">
        <w:t xml:space="preserve">following </w:t>
      </w:r>
      <w:r>
        <w:t xml:space="preserve">a similar </w:t>
      </w:r>
      <w:r w:rsidRPr="008467B6">
        <w:t xml:space="preserve">process </w:t>
      </w:r>
      <w:r>
        <w:t xml:space="preserve">as </w:t>
      </w:r>
      <w:r w:rsidRPr="008467B6">
        <w:t xml:space="preserve">described in sub-clause </w:t>
      </w:r>
      <w:r>
        <w:t>9.1.2</w:t>
      </w:r>
      <w:r w:rsidRPr="008467B6">
        <w:t xml:space="preserve"> in </w:t>
      </w:r>
      <w:r w:rsidRPr="008467B6">
        <w:fldChar w:fldCharType="begin"/>
      </w:r>
      <w:r w:rsidRPr="008467B6">
        <w:instrText xml:space="preserve"> REF _Ref448495076 \r \h  \* MERGEFORMAT </w:instrText>
      </w:r>
      <w:r w:rsidRPr="008467B6">
        <w:fldChar w:fldCharType="separate"/>
      </w:r>
      <w:r>
        <w:t>[1]</w:t>
      </w:r>
      <w:r w:rsidRPr="008467B6">
        <w:fldChar w:fldCharType="end"/>
      </w:r>
      <w:r w:rsidRPr="008467B6">
        <w:t>,</w:t>
      </w:r>
    </w:p>
    <w:p w14:paraId="58C03054" w14:textId="77777777" w:rsidR="007B6848" w:rsidRPr="008467B6" w:rsidRDefault="007B6848" w:rsidP="007B6848">
      <w:pPr>
        <w:pStyle w:val="ListParagraph"/>
        <w:numPr>
          <w:ilvl w:val="0"/>
          <w:numId w:val="17"/>
        </w:numPr>
        <w:rPr>
          <w:rFonts w:eastAsia="SimSun"/>
        </w:rPr>
      </w:pPr>
      <w:r w:rsidRPr="008467B6">
        <w:rPr>
          <w:color w:val="000000" w:themeColor="text1"/>
        </w:rPr>
        <w:lastRenderedPageBreak/>
        <w:t xml:space="preserve">a colour representation conversion from </w:t>
      </w:r>
      <w:r w:rsidRPr="008467B6">
        <w:rPr>
          <w:rFonts w:eastAsia="SimSun"/>
        </w:rPr>
        <w:t>Y</w:t>
      </w:r>
      <w:r w:rsidRPr="008467B6">
        <w:sym w:font="Symbol" w:char="F0A2"/>
      </w:r>
      <w:r w:rsidRPr="008467B6">
        <w:rPr>
          <w:rFonts w:eastAsia="SimSun"/>
        </w:rPr>
        <w:t xml:space="preserve">CbCr </w:t>
      </w:r>
      <w:r w:rsidRPr="008467B6">
        <w:rPr>
          <w:color w:val="000000" w:themeColor="text1"/>
        </w:rPr>
        <w:t>4:4:4 to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w:t>
      </w:r>
      <w:r w:rsidRPr="008467B6">
        <w:t xml:space="preserve">following the same process described in sub-clause </w:t>
      </w:r>
      <w:r>
        <w:t>9.1.3</w:t>
      </w:r>
      <w:r w:rsidRPr="008467B6">
        <w:t xml:space="preserve"> in </w:t>
      </w:r>
      <w:r w:rsidRPr="008467B6">
        <w:fldChar w:fldCharType="begin"/>
      </w:r>
      <w:r w:rsidRPr="004652D8">
        <w:instrText xml:space="preserve"> REF _Ref448495076 \r \h  \* MERGEFORMAT </w:instrText>
      </w:r>
      <w:r w:rsidRPr="008467B6">
        <w:fldChar w:fldCharType="separate"/>
      </w:r>
      <w:r>
        <w:t>[1]</w:t>
      </w:r>
      <w:r w:rsidRPr="008467B6">
        <w:fldChar w:fldCharType="end"/>
      </w:r>
      <w:r w:rsidRPr="008467B6">
        <w:t>,</w:t>
      </w:r>
    </w:p>
    <w:p w14:paraId="600AE5D3" w14:textId="77777777" w:rsidR="007B6848" w:rsidRPr="008467B6" w:rsidRDefault="007B6848" w:rsidP="007B6848">
      <w:pPr>
        <w:pStyle w:val="ListParagraph"/>
        <w:numPr>
          <w:ilvl w:val="0"/>
          <w:numId w:val="17"/>
        </w:numPr>
        <w:rPr>
          <w:lang w:eastAsia="zh-CN"/>
        </w:rPr>
      </w:pPr>
      <w:r w:rsidRPr="008467B6">
        <w:rPr>
          <w:lang w:eastAsia="zh-CN"/>
        </w:rPr>
        <w:t xml:space="preserve">an inverse DRA process, converting the SDR </w:t>
      </w:r>
      <w:r w:rsidRPr="008467B6">
        <w:rPr>
          <w:color w:val="000000" w:themeColor="text1"/>
        </w:rPr>
        <w:t>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w:t>
      </w:r>
      <w:r w:rsidRPr="008467B6">
        <w:rPr>
          <w:lang w:eastAsia="ko-KR"/>
        </w:rPr>
        <w:t xml:space="preserve">4:4:4 </w:t>
      </w:r>
      <w:r w:rsidRPr="008467B6">
        <w:rPr>
          <w:lang w:eastAsia="zh-CN"/>
        </w:rPr>
        <w:t xml:space="preserve">signal into a PQ </w:t>
      </w:r>
      <w:r>
        <w:rPr>
          <w:lang w:eastAsia="zh-CN"/>
        </w:rPr>
        <w:t>M</w:t>
      </w:r>
      <w:r w:rsidRPr="008467B6">
        <w:rPr>
          <w:lang w:eastAsia="zh-CN"/>
        </w:rPr>
        <w:t xml:space="preserve">-bits </w:t>
      </w:r>
      <w:r w:rsidRPr="008467B6">
        <w:rPr>
          <w:color w:val="000000" w:themeColor="text1"/>
        </w:rPr>
        <w:t>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w:t>
      </w:r>
      <w:r w:rsidRPr="008467B6">
        <w:rPr>
          <w:lang w:eastAsia="ko-KR"/>
        </w:rPr>
        <w:t xml:space="preserve">4:4:4 </w:t>
      </w:r>
      <w:r w:rsidRPr="008467B6">
        <w:rPr>
          <w:lang w:eastAsia="zh-CN"/>
        </w:rPr>
        <w:t>compatible signal,</w:t>
      </w:r>
    </w:p>
    <w:p w14:paraId="1D1FAB4B" w14:textId="77777777" w:rsidR="007B6848" w:rsidRPr="008467B6" w:rsidRDefault="007B6848" w:rsidP="007B6848">
      <w:pPr>
        <w:pStyle w:val="ListParagraph"/>
        <w:numPr>
          <w:ilvl w:val="0"/>
          <w:numId w:val="17"/>
        </w:numPr>
        <w:rPr>
          <w:rFonts w:eastAsia="SimSun"/>
        </w:rPr>
      </w:pPr>
      <w:r w:rsidRPr="008467B6">
        <w:rPr>
          <w:lang w:eastAsia="ko-KR"/>
        </w:rPr>
        <w:t xml:space="preserve">a conversion component that converts a </w:t>
      </w:r>
      <w:r>
        <w:rPr>
          <w:lang w:eastAsia="ko-KR"/>
        </w:rPr>
        <w:t xml:space="preserve">M-bits </w:t>
      </w:r>
      <w:r w:rsidRPr="008467B6">
        <w:rPr>
          <w:lang w:eastAsia="ko-KR"/>
        </w:rPr>
        <w:t xml:space="preserve">fixed-point representation, to a floating-point representation, </w:t>
      </w:r>
      <w:r w:rsidRPr="008467B6">
        <w:t xml:space="preserve">following the same process described in sub-clause </w:t>
      </w:r>
      <w:r>
        <w:t>9.1.1</w:t>
      </w:r>
      <w:r w:rsidRPr="008467B6">
        <w:t xml:space="preserve"> in </w:t>
      </w:r>
      <w:r w:rsidRPr="008467B6">
        <w:fldChar w:fldCharType="begin"/>
      </w:r>
      <w:r w:rsidRPr="008467B6">
        <w:instrText xml:space="preserve"> REF _Ref448495076 \r \h  \* MERGEFORMAT </w:instrText>
      </w:r>
      <w:r w:rsidRPr="008467B6">
        <w:fldChar w:fldCharType="separate"/>
      </w:r>
      <w:r>
        <w:t>[1]</w:t>
      </w:r>
      <w:r w:rsidRPr="008467B6">
        <w:fldChar w:fldCharType="end"/>
      </w:r>
      <w:r w:rsidRPr="008467B6">
        <w:t>,</w:t>
      </w:r>
    </w:p>
    <w:p w14:paraId="62FB1557" w14:textId="77777777" w:rsidR="007B6848" w:rsidRPr="008467B6" w:rsidRDefault="007B6848" w:rsidP="007B6848">
      <w:pPr>
        <w:pStyle w:val="ListParagraph"/>
        <w:numPr>
          <w:ilvl w:val="0"/>
          <w:numId w:val="17"/>
        </w:numPr>
        <w:rPr>
          <w:rFonts w:eastAsia="SimSun"/>
        </w:rPr>
      </w:pPr>
      <w:r w:rsidRPr="008467B6">
        <w:rPr>
          <w:color w:val="000000" w:themeColor="text1"/>
        </w:rPr>
        <w:t xml:space="preserve">a conversion using the </w:t>
      </w:r>
      <w:r w:rsidRPr="008467B6">
        <w:rPr>
          <w:lang w:eastAsia="ko-KR"/>
        </w:rPr>
        <w:t>PQ</w:t>
      </w:r>
      <w:r w:rsidRPr="008467B6">
        <w:rPr>
          <w:color w:val="000000" w:themeColor="text1"/>
        </w:rPr>
        <w:t xml:space="preserve"> EOTF from the input R</w:t>
      </w:r>
      <w:r w:rsidRPr="008467B6">
        <w:sym w:font="Symbol" w:char="F0A2"/>
      </w:r>
      <w:r w:rsidRPr="008467B6">
        <w:rPr>
          <w:color w:val="000000" w:themeColor="text1"/>
        </w:rPr>
        <w:t>G</w:t>
      </w:r>
      <w:r w:rsidRPr="008467B6">
        <w:sym w:font="Symbol" w:char="F0A2"/>
      </w:r>
      <w:r w:rsidRPr="008467B6">
        <w:rPr>
          <w:color w:val="000000" w:themeColor="text1"/>
        </w:rPr>
        <w:t>B</w:t>
      </w:r>
      <w:r w:rsidRPr="008467B6">
        <w:sym w:font="Symbol" w:char="F0A2"/>
      </w:r>
      <w:r w:rsidRPr="008467B6">
        <w:rPr>
          <w:color w:val="000000" w:themeColor="text1"/>
        </w:rPr>
        <w:t xml:space="preserve"> 4:4:4 to linear RGB 4:4:4, </w:t>
      </w:r>
      <w:r w:rsidRPr="008467B6">
        <w:t xml:space="preserve">following the same process described in sub-clause </w:t>
      </w:r>
      <w:r>
        <w:t>9.1.4</w:t>
      </w:r>
      <w:r w:rsidRPr="008467B6">
        <w:t xml:space="preserve"> in </w:t>
      </w:r>
      <w:r w:rsidRPr="00980878">
        <w:fldChar w:fldCharType="begin"/>
      </w:r>
      <w:r w:rsidRPr="008467B6">
        <w:instrText xml:space="preserve"> REF _Ref448495076 \r \h  \* MERGEFORMAT </w:instrText>
      </w:r>
      <w:r w:rsidRPr="00980878">
        <w:fldChar w:fldCharType="separate"/>
      </w:r>
      <w:r>
        <w:t>[1]</w:t>
      </w:r>
      <w:r w:rsidRPr="00980878">
        <w:fldChar w:fldCharType="end"/>
      </w:r>
      <w:r w:rsidRPr="008467B6">
        <w:rPr>
          <w:color w:val="000000" w:themeColor="text1"/>
        </w:rPr>
        <w:t>.</w:t>
      </w:r>
    </w:p>
    <w:p w14:paraId="556E942E" w14:textId="77777777" w:rsidR="007B6848" w:rsidRPr="008467B6" w:rsidRDefault="007B6848" w:rsidP="007B6848">
      <w:pPr>
        <w:rPr>
          <w:lang w:eastAsia="zh-CN"/>
        </w:rPr>
      </w:pPr>
      <w:r>
        <w:rPr>
          <w:lang w:eastAsia="zh-CN"/>
        </w:rPr>
        <w:t>T</w:t>
      </w:r>
      <w:r w:rsidRPr="008467B6">
        <w:rPr>
          <w:lang w:eastAsia="zh-CN"/>
        </w:rPr>
        <w:t>he inverse DRA transfer function</w:t>
      </w:r>
      <w:r>
        <w:rPr>
          <w:lang w:eastAsia="zh-CN"/>
        </w:rPr>
        <w:t xml:space="preserve"> is</w:t>
      </w:r>
      <w:r w:rsidRPr="008467B6">
        <w:rPr>
          <w:lang w:eastAsia="zh-CN"/>
        </w:rPr>
        <w:t xml:space="preserve"> signalled in a TMI SEI message. The function is modelled using</w:t>
      </w:r>
      <w:r w:rsidRPr="008467B6">
        <w:t xml:space="preserve"> one of the four model</w:t>
      </w:r>
      <w:r>
        <w:t xml:space="preserve"> types</w:t>
      </w:r>
      <w:r w:rsidRPr="008467B6">
        <w:t xml:space="preserve"> </w:t>
      </w:r>
      <w:r>
        <w:t>available for</w:t>
      </w:r>
      <w:r w:rsidRPr="008467B6">
        <w:t xml:space="preserve"> the TMI SEI message</w:t>
      </w:r>
      <w:r>
        <w:t>, for example the piece-wise linear function</w:t>
      </w:r>
      <w:r w:rsidRPr="008467B6">
        <w:t xml:space="preserve">. </w:t>
      </w:r>
      <w:r>
        <w:t>We note that o</w:t>
      </w:r>
      <w:r w:rsidRPr="008467B6">
        <w:t>ne of the pre- or post-LUTs of the CRI SEI message can also be used to model this function.</w:t>
      </w:r>
    </w:p>
    <w:p w14:paraId="0E377FEE" w14:textId="77777777" w:rsidR="007B6848" w:rsidRPr="008467B6" w:rsidRDefault="007B6848" w:rsidP="007B6848">
      <w:pPr>
        <w:spacing w:before="120"/>
        <w:jc w:val="center"/>
        <w:rPr>
          <w:lang w:eastAsia="zh-CN"/>
        </w:rPr>
      </w:pPr>
      <w:r w:rsidRPr="00980878">
        <w:rPr>
          <w:lang w:eastAsia="zh-CN"/>
        </w:rPr>
        <w:object w:dxaOrig="13715" w:dyaOrig="4185" w14:anchorId="20AD6AD8">
          <v:shape id="_x0000_i1032" type="#_x0000_t75" style="width:496.5pt;height:152.9pt" o:ole="">
            <v:imagedata r:id="rId33" o:title=""/>
          </v:shape>
          <o:OLEObject Type="Embed" ProgID="Visio.Drawing.11" ShapeID="_x0000_i1032" DrawAspect="Content" ObjectID="_1541247489" r:id="rId34"/>
        </w:object>
      </w:r>
    </w:p>
    <w:p w14:paraId="0233916D" w14:textId="77777777" w:rsidR="007B6848" w:rsidRPr="008467B6" w:rsidRDefault="007B6848" w:rsidP="007B6848">
      <w:pPr>
        <w:pStyle w:val="Caption"/>
        <w:rPr>
          <w:lang w:val="en-US"/>
        </w:rPr>
      </w:pPr>
      <w:bookmarkStart w:id="218" w:name="_Ref464607582"/>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7</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6</w:t>
      </w:r>
      <w:r>
        <w:rPr>
          <w:lang w:val="en-US"/>
        </w:rPr>
        <w:fldChar w:fldCharType="end"/>
      </w:r>
      <w:bookmarkEnd w:id="218"/>
      <w:r w:rsidRPr="008467B6">
        <w:rPr>
          <w:lang w:val="en-US"/>
        </w:rPr>
        <w:t xml:space="preserve"> – Pre-processing (top) and post-processing (down) for conversion from SDR/BT.2020 to HDR/BT.2020 with TMI applied in </w:t>
      </w:r>
      <w:r w:rsidRPr="008467B6">
        <w:rPr>
          <w:lang w:val="en-US" w:eastAsia="zh-CN"/>
        </w:rPr>
        <w:t>RGB 4:4:4 domain</w:t>
      </w:r>
      <w:r w:rsidRPr="008467B6">
        <w:rPr>
          <w:lang w:val="en-US"/>
        </w:rPr>
        <w:t>.</w:t>
      </w:r>
    </w:p>
    <w:p w14:paraId="0F5EAC69" w14:textId="77777777" w:rsidR="007B6848" w:rsidRPr="008467B6" w:rsidRDefault="007B6848" w:rsidP="007B6848">
      <w:r w:rsidRPr="008467B6">
        <w:t>In these three examples</w:t>
      </w:r>
      <w:r>
        <w:t xml:space="preserve"> (of applying either the CRI or TMI SEI)</w:t>
      </w:r>
      <w:r w:rsidRPr="008467B6">
        <w:t>, t</w:t>
      </w:r>
      <w:r w:rsidRPr="008467B6">
        <w:rPr>
          <w:lang w:eastAsia="zh-CN"/>
        </w:rPr>
        <w:t>he DRA functions can be derived from the analysis of input HDR signal properties</w:t>
      </w:r>
      <w:r>
        <w:rPr>
          <w:lang w:eastAsia="zh-CN"/>
        </w:rPr>
        <w:t>, with the aim of</w:t>
      </w:r>
      <w:r w:rsidRPr="008467B6">
        <w:rPr>
          <w:lang w:eastAsia="zh-CN"/>
        </w:rPr>
        <w:t xml:space="preserve"> producing an SDR approximation. Parameters of DRA can be </w:t>
      </w:r>
      <w:r>
        <w:rPr>
          <w:lang w:eastAsia="zh-CN"/>
        </w:rPr>
        <w:t xml:space="preserve">generally </w:t>
      </w:r>
      <w:r w:rsidRPr="008467B6">
        <w:rPr>
          <w:lang w:eastAsia="zh-CN"/>
        </w:rPr>
        <w:t xml:space="preserve">derived from </w:t>
      </w:r>
      <w:r>
        <w:rPr>
          <w:lang w:eastAsia="zh-CN"/>
        </w:rPr>
        <w:t xml:space="preserve">the </w:t>
      </w:r>
      <w:r w:rsidRPr="008467B6">
        <w:rPr>
          <w:lang w:eastAsia="zh-CN"/>
        </w:rPr>
        <w:t>HDR graded signal by using an HDR-to-SDR conversion algorithm</w:t>
      </w:r>
      <w:r>
        <w:rPr>
          <w:lang w:eastAsia="zh-CN"/>
        </w:rPr>
        <w:t>,</w:t>
      </w:r>
      <w:r w:rsidRPr="008467B6">
        <w:rPr>
          <w:lang w:eastAsia="zh-CN"/>
        </w:rPr>
        <w:t xml:space="preserve"> or directly from the graded SDR signal </w:t>
      </w:r>
      <w:r>
        <w:rPr>
          <w:lang w:eastAsia="zh-CN"/>
        </w:rPr>
        <w:t>in case</w:t>
      </w:r>
      <w:r w:rsidRPr="008467B6">
        <w:rPr>
          <w:lang w:eastAsia="zh-CN"/>
        </w:rPr>
        <w:t xml:space="preserve"> an SDR master is provided as input to the encoding system.</w:t>
      </w:r>
    </w:p>
    <w:p w14:paraId="3E08F943" w14:textId="77777777" w:rsidR="007B6848" w:rsidRPr="008467B6" w:rsidRDefault="007B6848" w:rsidP="007B6848">
      <w:pPr>
        <w:pStyle w:val="Heading3"/>
      </w:pPr>
      <w:bookmarkStart w:id="219" w:name="_Toc467226117"/>
      <w:bookmarkStart w:id="220" w:name="_Toc452455855"/>
      <w:r w:rsidRPr="008467B6">
        <w:t xml:space="preserve">Settings with </w:t>
      </w:r>
      <w:r>
        <w:t>c</w:t>
      </w:r>
      <w:r w:rsidRPr="008467B6">
        <w:t>olour remapping information SEI message</w:t>
      </w:r>
      <w:bookmarkEnd w:id="219"/>
    </w:p>
    <w:p w14:paraId="794F43E5" w14:textId="77777777" w:rsidR="007B6848" w:rsidRPr="008467B6" w:rsidRDefault="007B6848" w:rsidP="007B6848">
      <w:r w:rsidRPr="008467B6">
        <w:t xml:space="preserve">For the use case described in sub-clause </w:t>
      </w:r>
      <w:r w:rsidRPr="00980878">
        <w:fldChar w:fldCharType="begin"/>
      </w:r>
      <w:r w:rsidRPr="008467B6">
        <w:instrText xml:space="preserve"> REF _Ref452426283 \r \h </w:instrText>
      </w:r>
      <w:r w:rsidRPr="00980878">
        <w:fldChar w:fldCharType="separate"/>
      </w:r>
      <w:r>
        <w:t>7.2</w:t>
      </w:r>
      <w:r w:rsidRPr="00980878">
        <w:fldChar w:fldCharType="end"/>
      </w:r>
      <w:r w:rsidRPr="008467B6">
        <w:t xml:space="preserve">, with the implementation shown in </w:t>
      </w:r>
      <w:r w:rsidRPr="00980878">
        <w:fldChar w:fldCharType="begin"/>
      </w:r>
      <w:r w:rsidRPr="008467B6">
        <w:instrText xml:space="preserve"> REF _Ref464756461 \h </w:instrText>
      </w:r>
      <w:r w:rsidRPr="00980878">
        <w:fldChar w:fldCharType="separate"/>
      </w:r>
      <w:r w:rsidRPr="008467B6">
        <w:rPr>
          <w:lang w:val="en-US"/>
        </w:rPr>
        <w:t>Figure </w:t>
      </w:r>
      <w:r>
        <w:rPr>
          <w:noProof/>
          <w:lang w:val="en-US"/>
        </w:rPr>
        <w:t>7</w:t>
      </w:r>
      <w:r>
        <w:rPr>
          <w:lang w:val="en-US"/>
        </w:rPr>
        <w:noBreakHyphen/>
      </w:r>
      <w:r>
        <w:rPr>
          <w:noProof/>
          <w:lang w:val="en-US"/>
        </w:rPr>
        <w:t>4</w:t>
      </w:r>
      <w:r w:rsidRPr="00980878">
        <w:fldChar w:fldCharType="end"/>
      </w:r>
      <w:r w:rsidRPr="008467B6">
        <w:t>, t</w:t>
      </w:r>
      <w:r w:rsidRPr="008467B6">
        <w:rPr>
          <w:lang w:eastAsia="zh-CN"/>
        </w:rPr>
        <w:t xml:space="preserve">he inverse DRA functions are coded </w:t>
      </w:r>
      <w:r w:rsidRPr="008467B6">
        <w:t>using the three Pre-LUTs</w:t>
      </w:r>
      <w:r w:rsidRPr="008467B6">
        <w:rPr>
          <w:lang w:eastAsia="zh-CN"/>
        </w:rPr>
        <w:t xml:space="preserve"> of a CRI SEI message. The </w:t>
      </w:r>
      <w:r w:rsidRPr="008467B6">
        <w:t>conversion process directly applies to the decoded Y</w:t>
      </w:r>
      <w:r w:rsidRPr="008467B6">
        <w:sym w:font="Symbol" w:char="F0A2"/>
      </w:r>
      <w:r w:rsidRPr="008467B6">
        <w:t>CbCr 4:2:0 signal (</w:t>
      </w:r>
      <w:r w:rsidRPr="00980878">
        <w:fldChar w:fldCharType="begin"/>
      </w:r>
      <w:r w:rsidRPr="008467B6">
        <w:instrText xml:space="preserve"> REF _Ref464756461 \h </w:instrText>
      </w:r>
      <w:r w:rsidRPr="00980878">
        <w:fldChar w:fldCharType="separate"/>
      </w:r>
      <w:r w:rsidRPr="008467B6">
        <w:rPr>
          <w:lang w:val="en-US"/>
        </w:rPr>
        <w:t>Figure </w:t>
      </w:r>
      <w:r>
        <w:rPr>
          <w:noProof/>
          <w:lang w:val="en-US"/>
        </w:rPr>
        <w:t>7</w:t>
      </w:r>
      <w:r>
        <w:rPr>
          <w:lang w:val="en-US"/>
        </w:rPr>
        <w:noBreakHyphen/>
      </w:r>
      <w:r>
        <w:rPr>
          <w:noProof/>
          <w:lang w:val="en-US"/>
        </w:rPr>
        <w:t>4</w:t>
      </w:r>
      <w:r w:rsidRPr="00980878">
        <w:fldChar w:fldCharType="end"/>
      </w:r>
      <w:r w:rsidRPr="008467B6">
        <w:t>), and the three-by-three matrix and the Post-LUTs are not activated. The SDR-to-HDR conversion achieved at post-processing stage applies to each luma sample Y</w:t>
      </w:r>
      <w:r w:rsidRPr="008467B6">
        <w:rPr>
          <w:vertAlign w:val="subscript"/>
        </w:rPr>
        <w:t>SDR</w:t>
      </w:r>
      <w:r w:rsidRPr="008467B6">
        <w:t xml:space="preserve"> and each chroma samples U</w:t>
      </w:r>
      <w:r w:rsidRPr="008467B6">
        <w:rPr>
          <w:vertAlign w:val="subscript"/>
        </w:rPr>
        <w:t>SDR</w:t>
      </w:r>
      <w:r w:rsidRPr="008467B6">
        <w:t xml:space="preserve"> and V</w:t>
      </w:r>
      <w:r w:rsidRPr="008467B6">
        <w:rPr>
          <w:vertAlign w:val="subscript"/>
        </w:rPr>
        <w:t>SDR</w:t>
      </w:r>
      <w:r w:rsidRPr="008467B6">
        <w:t xml:space="preserve"> as follows:</w:t>
      </w:r>
    </w:p>
    <w:bookmarkEnd w:id="220"/>
    <w:p w14:paraId="70ECB01C"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8</w:t>
      </w:r>
      <w:r w:rsidRPr="00980878">
        <w:fldChar w:fldCharType="end"/>
      </w:r>
      <w:r w:rsidRPr="008467B6">
        <w:t>)</w:t>
      </w:r>
    </w:p>
    <w:p w14:paraId="432D0F31"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HDR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SDR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9</w:t>
      </w:r>
      <w:r w:rsidRPr="00980878">
        <w:fldChar w:fldCharType="end"/>
      </w:r>
      <w:r w:rsidRPr="008467B6">
        <w:t>)</w:t>
      </w:r>
    </w:p>
    <w:p w14:paraId="32ACAFBB" w14:textId="77777777" w:rsidR="007B6848" w:rsidRPr="008467B6" w:rsidRDefault="007B6848" w:rsidP="007B6848">
      <w:pPr>
        <w:spacing w:after="120"/>
      </w:pPr>
      <w:r w:rsidRPr="008467B6">
        <w:tab/>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HDR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SDR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10</w:t>
      </w:r>
      <w:r w:rsidRPr="00980878">
        <w:fldChar w:fldCharType="end"/>
      </w:r>
      <w:r w:rsidRPr="008467B6">
        <w:t>)</w:t>
      </w:r>
    </w:p>
    <w:p w14:paraId="25DE661D" w14:textId="77777777" w:rsidR="007B6848" w:rsidRPr="008467B6" w:rsidRDefault="007B6848" w:rsidP="007B6848">
      <w:r w:rsidRPr="008467B6">
        <w:rPr>
          <w:lang w:eastAsia="zh-CN"/>
        </w:rPr>
        <w:t xml:space="preserve">When the </w:t>
      </w:r>
      <w:r w:rsidRPr="008467B6">
        <w:t>conversion process applies to the decoded</w:t>
      </w:r>
      <w:r w:rsidRPr="008467B6">
        <w:rPr>
          <w:rFonts w:eastAsia="SimSun"/>
        </w:rPr>
        <w:t xml:space="preserve"> Y</w:t>
      </w:r>
      <w:r w:rsidRPr="008467B6">
        <w:sym w:font="Symbol" w:char="F0A2"/>
      </w:r>
      <w:r w:rsidRPr="008467B6">
        <w:rPr>
          <w:rFonts w:eastAsia="SimSun"/>
        </w:rPr>
        <w:t>CbCr</w:t>
      </w:r>
      <w:r w:rsidRPr="008467B6">
        <w:t xml:space="preserve"> 4:2:0 signal upsampled to 4:4:4 (implementation shown in </w:t>
      </w:r>
      <w:r w:rsidRPr="00980878">
        <w:fldChar w:fldCharType="begin"/>
      </w:r>
      <w:r w:rsidRPr="008467B6">
        <w:instrText xml:space="preserve"> REF _Ref464537357 \h </w:instrText>
      </w:r>
      <w:r w:rsidRPr="00980878">
        <w:fldChar w:fldCharType="separate"/>
      </w:r>
      <w:r w:rsidRPr="008467B6">
        <w:rPr>
          <w:lang w:val="en-US"/>
        </w:rPr>
        <w:t>Figure </w:t>
      </w:r>
      <w:r>
        <w:rPr>
          <w:noProof/>
          <w:lang w:val="en-US"/>
        </w:rPr>
        <w:t>7</w:t>
      </w:r>
      <w:r>
        <w:rPr>
          <w:lang w:val="en-US"/>
        </w:rPr>
        <w:noBreakHyphen/>
      </w:r>
      <w:r>
        <w:rPr>
          <w:noProof/>
          <w:lang w:val="en-US"/>
        </w:rPr>
        <w:t>5</w:t>
      </w:r>
      <w:r w:rsidRPr="00980878">
        <w:fldChar w:fldCharType="end"/>
      </w:r>
      <w:r w:rsidRPr="008467B6">
        <w:t>), the full CRI model, made of the three Pre-LUTs, the intermediate three-by-three matrix, and the three Post-LUTs, can be activated. The SDR-to-HDR conversion achieved at post-processing stage applies to each luma and chroma samples Y</w:t>
      </w:r>
      <w:r w:rsidRPr="008467B6">
        <w:rPr>
          <w:vertAlign w:val="subscript"/>
        </w:rPr>
        <w:t>SDR</w:t>
      </w:r>
      <w:r w:rsidRPr="008467B6">
        <w:t>, U</w:t>
      </w:r>
      <w:r w:rsidRPr="008467B6">
        <w:rPr>
          <w:vertAlign w:val="subscript"/>
        </w:rPr>
        <w:t>SDR</w:t>
      </w:r>
      <w:r w:rsidRPr="008467B6">
        <w:t xml:space="preserve"> and V</w:t>
      </w:r>
      <w:r w:rsidRPr="008467B6">
        <w:rPr>
          <w:vertAlign w:val="subscript"/>
        </w:rPr>
        <w:t>SDR</w:t>
      </w:r>
      <w:r w:rsidRPr="008467B6">
        <w:t xml:space="preserve"> as follows:</w:t>
      </w:r>
    </w:p>
    <w:p w14:paraId="60001D75"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1</m:t>
                      </m:r>
                    </m:sub>
                  </m:sSub>
                </m:e>
              </m:mr>
            </m:m>
          </m:e>
        </m:d>
        <m:r>
          <w:rPr>
            <w:rFonts w:ascii="Cambria Math" w:eastAsia="Cambria Math" w:hAnsi="Cambria Math" w:cs="Cambria Math"/>
          </w:rPr>
          <m:t>=</m:t>
        </m:r>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r>
                    <m:rPr>
                      <m:sty m:val="p"/>
                    </m:rPr>
                    <w:rPr>
                      <w:rFonts w:ascii="Cambria Math" w:hAnsi="Cambria Math"/>
                    </w:rPr>
                    <m:t>]</m:t>
                  </m:r>
                </m:e>
              </m:m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SDR</m:t>
                      </m:r>
                    </m:sub>
                  </m:sSub>
                  <m:r>
                    <m:rPr>
                      <m:sty m:val="p"/>
                    </m:rPr>
                    <w:rPr>
                      <w:rFonts w:ascii="Cambria Math" w:hAnsi="Cambria Math"/>
                    </w:rPr>
                    <m:t>]</m:t>
                  </m:r>
                </m:e>
              </m:m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SDR</m:t>
                      </m:r>
                    </m:sub>
                  </m:sSub>
                  <m:r>
                    <m:rPr>
                      <m:sty m:val="p"/>
                    </m:rPr>
                    <w:rPr>
                      <w:rFonts w:ascii="Cambria Math" w:hAnsi="Cambria Math"/>
                    </w:rPr>
                    <m:t>]</m:t>
                  </m:r>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11</w:t>
      </w:r>
      <w:r w:rsidRPr="00980878">
        <w:fldChar w:fldCharType="end"/>
      </w:r>
      <w:r w:rsidRPr="008467B6">
        <w:t>)</w:t>
      </w:r>
    </w:p>
    <w:p w14:paraId="7F76F0CF"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2</m:t>
                      </m:r>
                    </m:sub>
                  </m:sSub>
                </m:e>
              </m:mr>
            </m:m>
          </m:e>
        </m:d>
        <m: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M</m:t>
            </m:r>
          </m:e>
          <m:sub>
            <m:r>
              <m:rPr>
                <m:sty m:val="p"/>
              </m:rPr>
              <w:rPr>
                <w:rFonts w:ascii="Cambria Math" w:eastAsia="Cambria Math" w:hAnsi="Cambria Math" w:cs="Cambria Math"/>
              </w:rPr>
              <m:t>3x3</m:t>
            </m:r>
          </m:sub>
        </m:sSub>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1</m:t>
                      </m:r>
                    </m:sub>
                  </m:sSub>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12</w:t>
      </w:r>
      <w:r w:rsidRPr="00980878">
        <w:fldChar w:fldCharType="end"/>
      </w:r>
      <w:r w:rsidRPr="008467B6">
        <w:t>)</w:t>
      </w:r>
    </w:p>
    <w:p w14:paraId="11013734" w14:textId="77777777" w:rsidR="007B6848" w:rsidRPr="008467B6" w:rsidRDefault="007B6848" w:rsidP="007B6848">
      <w:pPr>
        <w:rPr>
          <w:lang w:eastAsia="zh-CN"/>
        </w:rPr>
      </w:pPr>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HDR</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HDR</m:t>
                      </m:r>
                    </m:sub>
                  </m:sSub>
                </m:e>
              </m:mr>
            </m:m>
          </m:e>
        </m:d>
        <m:r>
          <w:rPr>
            <w:rFonts w:ascii="Cambria Math" w:eastAsia="Cambria Math" w:hAnsi="Cambria Math" w:cs="Cambria Math"/>
          </w:rPr>
          <m:t>=</m:t>
        </m:r>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0</m:t>
                          </m:r>
                        </m:sub>
                      </m:sSub>
                      <m:r>
                        <m:rPr>
                          <m:sty m:val="p"/>
                        </m:rPr>
                        <w:rPr>
                          <w:rFonts w:ascii="Cambria Math" w:hAnsi="Cambria Math"/>
                        </w:rPr>
                        <m:t>[Y</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1</m:t>
                          </m:r>
                        </m:sub>
                      </m:sSub>
                      <m:r>
                        <m:rPr>
                          <m:sty m:val="p"/>
                        </m:rPr>
                        <w:rPr>
                          <w:rFonts w:ascii="Cambria Math" w:hAnsi="Cambria Math"/>
                        </w:rPr>
                        <m:t>[U</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2</m:t>
                          </m:r>
                        </m:sub>
                      </m:sSub>
                      <m:r>
                        <m:rPr>
                          <m:sty m:val="p"/>
                        </m:rPr>
                        <w:rPr>
                          <w:rFonts w:ascii="Cambria Math" w:hAnsi="Cambria Math"/>
                        </w:rPr>
                        <m:t>[V</m:t>
                      </m:r>
                    </m:e>
                    <m:sub>
                      <m:r>
                        <m:rPr>
                          <m:sty m:val="p"/>
                        </m:rPr>
                        <w:rPr>
                          <w:rFonts w:ascii="Cambria Math" w:hAnsi="Cambria Math"/>
                        </w:rPr>
                        <m:t>2</m:t>
                      </m:r>
                    </m:sub>
                  </m:sSub>
                  <m:r>
                    <m:rPr>
                      <m:sty m:val="p"/>
                    </m:rPr>
                    <w:rPr>
                      <w:rFonts w:ascii="Cambria Math" w:hAnsi="Cambria Math"/>
                    </w:rPr>
                    <m:t>]</m:t>
                  </m:r>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13</w:t>
      </w:r>
      <w:r w:rsidRPr="00980878">
        <w:fldChar w:fldCharType="end"/>
      </w:r>
      <w:r w:rsidRPr="008467B6">
        <w:t>)</w:t>
      </w:r>
    </w:p>
    <w:p w14:paraId="76AF7F0F" w14:textId="77777777" w:rsidR="007B6848" w:rsidRPr="008467B6" w:rsidRDefault="007B6848" w:rsidP="007B6848">
      <w:pPr>
        <w:rPr>
          <w:lang w:eastAsia="zh-CN"/>
        </w:rPr>
      </w:pPr>
      <w:r w:rsidRPr="008467B6">
        <w:rPr>
          <w:lang w:eastAsia="zh-CN"/>
        </w:rPr>
        <w:lastRenderedPageBreak/>
        <w:t xml:space="preserve">The following parameters of HEVC Main 10 bitstreams should be specified to correctly render the decoded video on displays compatible with SDR/BT.2020 representation and to conduct the HDR reconstruction to PQ10 compatible representation.  </w:t>
      </w:r>
    </w:p>
    <w:p w14:paraId="45AA52FE" w14:textId="77777777" w:rsidR="007B6848" w:rsidRPr="008467B6" w:rsidRDefault="007B6848" w:rsidP="007B6848">
      <w:pPr>
        <w:rPr>
          <w:lang w:eastAsia="zh-CN"/>
        </w:rPr>
      </w:pPr>
      <w:r w:rsidRPr="008467B6">
        <w:rPr>
          <w:lang w:eastAsia="zh-CN"/>
        </w:rPr>
        <w:t>Settings in VUI for SDR rendering:</w:t>
      </w:r>
    </w:p>
    <w:p w14:paraId="323EAD85"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colour_description_present_flag</w:t>
      </w:r>
      <w:r w:rsidRPr="00980878">
        <w:t xml:space="preserve"> </w:t>
      </w:r>
      <w:r w:rsidRPr="00980878">
        <w:tab/>
        <w:t>1</w:t>
      </w:r>
    </w:p>
    <w:p w14:paraId="29939997"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colour_primaries  </w:t>
      </w:r>
      <w:r w:rsidRPr="00980878">
        <w:tab/>
        <w:t>9 (if SDR target is BT.2020) or 1 (if SDR target is BT.709)</w:t>
      </w:r>
    </w:p>
    <w:p w14:paraId="1E77FA44"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transfer_characteristics  </w:t>
      </w:r>
      <w:r w:rsidRPr="00980878">
        <w:tab/>
        <w:t>1, 6, 14 or 15 (SDR transfer function)</w:t>
      </w:r>
    </w:p>
    <w:p w14:paraId="7BC8D652"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matrix_coeffs  </w:t>
      </w:r>
      <w:r w:rsidRPr="00980878">
        <w:tab/>
        <w:t>9 (BT.2020 NCL)</w:t>
      </w:r>
    </w:p>
    <w:p w14:paraId="62D2FCE6"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video_full_range_flag</w:t>
      </w:r>
      <w:r w:rsidRPr="00980878">
        <w:tab/>
        <w:t>0 (narrow range)</w:t>
      </w:r>
    </w:p>
    <w:p w14:paraId="533D0029" w14:textId="77777777" w:rsidR="007B6848" w:rsidRPr="008467B6" w:rsidRDefault="007B6848" w:rsidP="007B6848">
      <w:pPr>
        <w:tabs>
          <w:tab w:val="clear" w:pos="1584"/>
          <w:tab w:val="clear" w:pos="1987"/>
          <w:tab w:val="clear" w:pos="4853"/>
          <w:tab w:val="clear" w:pos="9691"/>
          <w:tab w:val="left" w:pos="3260"/>
        </w:tabs>
        <w:rPr>
          <w:lang w:eastAsia="zh-CN"/>
        </w:rPr>
      </w:pPr>
      <w:r w:rsidRPr="008467B6">
        <w:rPr>
          <w:lang w:eastAsia="zh-CN"/>
        </w:rPr>
        <w:t>Settings in CRI for HDR reconstruction from decoded SDR:</w:t>
      </w:r>
      <w:r w:rsidRPr="008467B6">
        <w:rPr>
          <w:lang w:eastAsia="zh-CN"/>
        </w:rPr>
        <w:tab/>
      </w:r>
    </w:p>
    <w:p w14:paraId="663C015B"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colour_remap_video_signal_info_present_flag</w:t>
      </w:r>
      <w:r w:rsidRPr="008467B6">
        <w:tab/>
        <w:t>1</w:t>
      </w:r>
    </w:p>
    <w:p w14:paraId="270CDF72"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colour_remap_transfer_function</w:t>
      </w:r>
      <w:r w:rsidRPr="008467B6">
        <w:tab/>
        <w:t>16 (BT.2100 PQ)</w:t>
      </w:r>
    </w:p>
    <w:p w14:paraId="33E4D4A8"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colour_remap_full_range_flag</w:t>
      </w:r>
      <w:r w:rsidRPr="008467B6">
        <w:tab/>
        <w:t>0</w:t>
      </w:r>
    </w:p>
    <w:p w14:paraId="6CBF0C5E"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colour_remap_primaries</w:t>
      </w:r>
      <w:r w:rsidRPr="008467B6">
        <w:tab/>
        <w:t>9 (BT.2020)</w:t>
      </w:r>
    </w:p>
    <w:p w14:paraId="784A5C18"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colour_remap_matrix_coefficients</w:t>
      </w:r>
      <w:r w:rsidRPr="008467B6">
        <w:tab/>
        <w:t>9 (BT.2020 NCL)</w:t>
      </w:r>
    </w:p>
    <w:p w14:paraId="57BBFEED"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colour_remap_output_bit_depth</w:t>
      </w:r>
      <w:r w:rsidRPr="008467B6">
        <w:tab/>
        <w:t>10</w:t>
      </w:r>
    </w:p>
    <w:p w14:paraId="622FADD3" w14:textId="77777777" w:rsidR="007B6848" w:rsidRPr="008467B6" w:rsidRDefault="007B6848" w:rsidP="007B6848">
      <w:pPr>
        <w:pStyle w:val="Heading3"/>
      </w:pPr>
      <w:bookmarkStart w:id="221" w:name="_Toc467226118"/>
      <w:r w:rsidRPr="008467B6">
        <w:t xml:space="preserve">Settings with </w:t>
      </w:r>
      <w:r>
        <w:t>t</w:t>
      </w:r>
      <w:r w:rsidRPr="008467B6">
        <w:t>one mapping information SEI message</w:t>
      </w:r>
      <w:bookmarkEnd w:id="221"/>
    </w:p>
    <w:p w14:paraId="5A2C6EC9" w14:textId="77777777" w:rsidR="007B6848" w:rsidRPr="008467B6" w:rsidRDefault="007B6848" w:rsidP="007B6848">
      <w:pPr>
        <w:rPr>
          <w:lang w:eastAsia="zh-CN"/>
        </w:rPr>
      </w:pPr>
      <w:r w:rsidRPr="008467B6">
        <w:t xml:space="preserve">For the use case described in sub-clause </w:t>
      </w:r>
      <w:r w:rsidRPr="00980878">
        <w:fldChar w:fldCharType="begin"/>
      </w:r>
      <w:r w:rsidRPr="008467B6">
        <w:instrText xml:space="preserve"> REF _Ref452426283 \r \h  \* MERGEFORMAT </w:instrText>
      </w:r>
      <w:r w:rsidRPr="00980878">
        <w:fldChar w:fldCharType="separate"/>
      </w:r>
      <w:r>
        <w:t>7.2</w:t>
      </w:r>
      <w:r w:rsidRPr="00980878">
        <w:fldChar w:fldCharType="end"/>
      </w:r>
      <w:r w:rsidRPr="008467B6">
        <w:t xml:space="preserve">, with the implementation example shown in </w:t>
      </w:r>
      <w:r w:rsidRPr="00980878">
        <w:fldChar w:fldCharType="begin"/>
      </w:r>
      <w:r w:rsidRPr="008467B6">
        <w:instrText xml:space="preserve"> REF _Ref464607582 \h  \* MERGEFORMAT </w:instrText>
      </w:r>
      <w:r w:rsidRPr="00980878">
        <w:fldChar w:fldCharType="separate"/>
      </w:r>
      <w:r w:rsidRPr="008467B6">
        <w:rPr>
          <w:lang w:val="en-US"/>
        </w:rPr>
        <w:t>Figure </w:t>
      </w:r>
      <w:r>
        <w:rPr>
          <w:lang w:val="en-US"/>
        </w:rPr>
        <w:t>7</w:t>
      </w:r>
      <w:r>
        <w:rPr>
          <w:lang w:val="en-US"/>
        </w:rPr>
        <w:noBreakHyphen/>
        <w:t>6</w:t>
      </w:r>
      <w:r w:rsidRPr="00980878">
        <w:fldChar w:fldCharType="end"/>
      </w:r>
      <w:r w:rsidRPr="008467B6">
        <w:t>, t</w:t>
      </w:r>
      <w:r w:rsidRPr="008467B6">
        <w:rPr>
          <w:lang w:eastAsia="zh-CN"/>
        </w:rPr>
        <w:t xml:space="preserve">he inverse DRA function is coded </w:t>
      </w:r>
      <w:r w:rsidRPr="008467B6">
        <w:t>using one 1D-LUT</w:t>
      </w:r>
      <w:r w:rsidRPr="008467B6">
        <w:rPr>
          <w:lang w:eastAsia="zh-CN"/>
        </w:rPr>
        <w:t xml:space="preserve"> of a TMI SEI message. Two implementation examples of the inverse DRA processes are provided below.</w:t>
      </w:r>
    </w:p>
    <w:p w14:paraId="75A30DE0" w14:textId="77777777" w:rsidR="007B6848" w:rsidRPr="008467B6" w:rsidRDefault="007B6848" w:rsidP="007B6848">
      <w:r w:rsidRPr="008467B6">
        <w:rPr>
          <w:lang w:eastAsia="zh-CN"/>
        </w:rPr>
        <w:t>In a first implementation example, t</w:t>
      </w:r>
      <w:r w:rsidRPr="008467B6">
        <w:t>he SDR-to-HDR conversion achieved at post-processing stage applies to the SDR 4:4:4 R</w:t>
      </w:r>
      <w:r w:rsidRPr="008467B6">
        <w:sym w:font="Symbol" w:char="F0A2"/>
      </w:r>
      <w:r w:rsidRPr="008467B6">
        <w:t>G</w:t>
      </w:r>
      <w:r w:rsidRPr="008467B6">
        <w:sym w:font="Symbol" w:char="F0A2"/>
      </w:r>
      <w:r w:rsidRPr="008467B6">
        <w:t>B</w:t>
      </w:r>
      <w:r w:rsidRPr="008467B6">
        <w:sym w:font="Symbol" w:char="F0A2"/>
      </w:r>
      <w:r w:rsidRPr="008467B6">
        <w:t xml:space="preserve"> M-bits samples as follows:</w:t>
      </w:r>
    </w:p>
    <w:p w14:paraId="0B584A0E" w14:textId="77777777" w:rsidR="007B6848" w:rsidRPr="008467B6" w:rsidRDefault="007B6848" w:rsidP="007B6848">
      <w:pPr>
        <w:rPr>
          <w:lang w:eastAsia="zh-CN"/>
        </w:rPr>
      </w:pPr>
      <w:r w:rsidRPr="008467B6">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R</m:t>
                      </m:r>
                    </m:e>
                    <m:sub>
                      <m:r>
                        <m:rPr>
                          <m:sty m:val="p"/>
                        </m:rPr>
                        <w:rPr>
                          <w:rFonts w:ascii="Cambria Math" w:hAnsi="Cambria Math"/>
                        </w:rPr>
                        <m:t>HDR</m:t>
                      </m:r>
                    </m:sub>
                  </m:sSub>
                </m:e>
              </m:mr>
              <m:mr>
                <m:e>
                  <m:sSub>
                    <m:sSubPr>
                      <m:ctrlPr>
                        <w:rPr>
                          <w:rFonts w:ascii="Cambria Math" w:hAnsi="Cambria Math"/>
                        </w:rPr>
                      </m:ctrlPr>
                    </m:sSubPr>
                    <m:e>
                      <m:r>
                        <m:rPr>
                          <m:sty m:val="p"/>
                        </m:rPr>
                        <w:rPr>
                          <w:rFonts w:ascii="Cambria Math" w:hAnsi="Cambria Math"/>
                        </w:rPr>
                        <m:t>G</m:t>
                      </m:r>
                    </m:e>
                    <m:sub>
                      <m:r>
                        <m:rPr>
                          <m:sty m:val="p"/>
                        </m:rPr>
                        <w:rPr>
                          <w:rFonts w:ascii="Cambria Math" w:hAnsi="Cambria Math"/>
                        </w:rPr>
                        <m:t>HDR</m:t>
                      </m:r>
                    </m:sub>
                  </m:sSub>
                </m:e>
              </m:mr>
              <m:m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HDR</m:t>
                      </m:r>
                    </m:sub>
                  </m:sSub>
                </m:e>
              </m:mr>
            </m:m>
          </m:e>
        </m:d>
        <m:r>
          <m:rPr>
            <m:sty m:val="p"/>
          </m:rPr>
          <w:rPr>
            <w:rFonts w:ascii="Cambria Math" w:eastAsia="Cambria Math" w:hAnsi="Cambria Math" w:cs="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[R</m:t>
                      </m:r>
                    </m:e>
                    <m:sub>
                      <m:r>
                        <m:rPr>
                          <m:sty m:val="p"/>
                        </m:rPr>
                        <w:rPr>
                          <w:rFonts w:ascii="Cambria Math" w:hAnsi="Cambria Math"/>
                        </w:rPr>
                        <m:t>SDR</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[G</m:t>
                      </m:r>
                    </m:e>
                    <m:sub>
                      <m:r>
                        <m:rPr>
                          <m:sty m:val="p"/>
                        </m:rPr>
                        <w:rPr>
                          <w:rFonts w:ascii="Cambria Math" w:hAnsi="Cambria Math"/>
                        </w:rPr>
                        <m:t>SDR</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[B</m:t>
                      </m:r>
                    </m:e>
                    <m:sub>
                      <m:r>
                        <m:rPr>
                          <m:sty m:val="p"/>
                        </m:rPr>
                        <w:rPr>
                          <w:rFonts w:ascii="Cambria Math" w:hAnsi="Cambria Math"/>
                        </w:rPr>
                        <m:t>SDR</m:t>
                      </m:r>
                    </m:sub>
                  </m:sSub>
                  <m:r>
                    <m:rPr>
                      <m:sty m:val="p"/>
                    </m:rPr>
                    <w:rPr>
                      <w:rFonts w:ascii="Cambria Math" w:hAnsi="Cambria Math"/>
                    </w:rPr>
                    <m:t>]</m:t>
                  </m:r>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14</w:t>
      </w:r>
      <w:r w:rsidRPr="00980878">
        <w:fldChar w:fldCharType="end"/>
      </w:r>
      <w:r w:rsidRPr="008467B6">
        <w:t>)</w:t>
      </w:r>
    </w:p>
    <w:p w14:paraId="551DC257" w14:textId="77777777" w:rsidR="007B6848" w:rsidRPr="008467B6" w:rsidRDefault="007B6848" w:rsidP="007B6848">
      <w:r w:rsidRPr="008467B6">
        <w:rPr>
          <w:lang w:eastAsia="zh-CN"/>
        </w:rPr>
        <w:t>In a second implementation example</w:t>
      </w:r>
      <w:r w:rsidRPr="008467B6">
        <w:t>, the tone mapping function is applied to the SDR luma component Y</w:t>
      </w:r>
      <w:r w:rsidRPr="008467B6">
        <w:sym w:font="Symbol" w:char="F0A2"/>
      </w:r>
      <w:r w:rsidRPr="008467B6">
        <w:t>, to derive a scaling ratio to be applied to the SDR 4:4:4 R</w:t>
      </w:r>
      <w:r w:rsidRPr="008467B6">
        <w:sym w:font="Symbol" w:char="F0A2"/>
      </w:r>
      <w:r w:rsidRPr="008467B6">
        <w:t>G</w:t>
      </w:r>
      <w:r w:rsidRPr="008467B6">
        <w:sym w:font="Symbol" w:char="F0A2"/>
      </w:r>
      <w:r w:rsidRPr="008467B6">
        <w:t>B</w:t>
      </w:r>
      <w:r w:rsidRPr="008467B6">
        <w:sym w:font="Symbol" w:char="F0A2"/>
      </w:r>
      <w:r w:rsidRPr="008467B6">
        <w:t xml:space="preserve"> M-bits samples as follows:</w:t>
      </w:r>
    </w:p>
    <w:p w14:paraId="71B579D7"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HDR_PQ</m:t>
            </m:r>
          </m:sub>
        </m:sSub>
        <m: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LUT</m:t>
            </m:r>
          </m:e>
          <m:sub>
            <m:r>
              <m:rPr>
                <m:sty m:val="p"/>
              </m:rPr>
              <w:rPr>
                <w:rFonts w:ascii="Cambria Math" w:hAnsi="Cambria Math"/>
              </w:rPr>
              <m:t>TM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15</w:t>
      </w:r>
      <w:r w:rsidRPr="00980878">
        <w:fldChar w:fldCharType="end"/>
      </w:r>
      <w:r w:rsidRPr="008467B6">
        <w:t>)</w:t>
      </w:r>
    </w:p>
    <w:p w14:paraId="5A101F12" w14:textId="77777777" w:rsidR="007B6848" w:rsidRPr="008467B6" w:rsidRDefault="007B6848" w:rsidP="007B6848">
      <w:r w:rsidRPr="008467B6">
        <w:t>For each sample value X = R, G or B:</w:t>
      </w:r>
    </w:p>
    <w:p w14:paraId="3784DA05"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HDR</m:t>
            </m:r>
          </m:sub>
        </m:sSub>
        <m:r>
          <w:rPr>
            <w:rFonts w:ascii="Cambria Math" w:eastAsia="Cambria Math" w:hAnsi="Cambria Math" w:cs="Cambria Math"/>
          </w:rPr>
          <m:t>=</m:t>
        </m:r>
        <m:r>
          <m:rPr>
            <m:sty m:val="p"/>
          </m:rPr>
          <w:rPr>
            <w:rFonts w:ascii="Cambria Math" w:hAnsi="Cambria Math"/>
          </w:rPr>
          <m:t>Clip3</m:t>
        </m:r>
        <m:d>
          <m:dPr>
            <m:ctrlPr>
              <w:rPr>
                <w:rFonts w:ascii="Cambria Math" w:eastAsia="Cambria Math" w:hAnsi="Cambria Math" w:cs="Cambria Math"/>
                <w:i/>
              </w:rPr>
            </m:ctrlPr>
          </m:dPr>
          <m:e>
            <m:r>
              <w:rPr>
                <w:rFonts w:ascii="Cambria Math" w:eastAsia="Cambria Math" w:hAnsi="Cambria Math" w:cs="Cambria Math"/>
              </w:rPr>
              <m:t>0,( 1≪</m:t>
            </m:r>
            <m:r>
              <m:rPr>
                <m:sty m:val="p"/>
              </m:rPr>
              <w:rPr>
                <w:rFonts w:ascii="Cambria Math" w:eastAsia="Cambria Math" w:hAnsi="Cambria Math" w:cs="Cambria Math"/>
              </w:rPr>
              <m:t>M</m:t>
            </m:r>
            <m:r>
              <w:rPr>
                <w:rFonts w:ascii="Cambria Math" w:eastAsia="Cambria Math" w:hAnsi="Cambria Math" w:cs="Cambria Math"/>
              </w:rPr>
              <m:t xml:space="preserve"> )-1,</m:t>
            </m:r>
            <m:sSub>
              <m:sSubPr>
                <m:ctrlPr>
                  <w:rPr>
                    <w:rFonts w:ascii="Cambria Math" w:hAnsi="Cambria Math"/>
                  </w:rPr>
                </m:ctrlPr>
              </m:sSubPr>
              <m:e>
                <m:f>
                  <m:fPr>
                    <m:ctrlPr>
                      <w:rPr>
                        <w:rFonts w:ascii="Cambria Math" w:eastAsia="Cambria Math" w:hAnsi="Cambria Math" w:cs="Cambria Math"/>
                        <w:i/>
                      </w:rPr>
                    </m:ctrlPr>
                  </m:fPr>
                  <m:num>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HDR_PQ</m:t>
                        </m:r>
                      </m:sub>
                    </m:sSub>
                  </m:num>
                  <m:den>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den>
                </m:f>
                <m:r>
                  <w:rPr>
                    <w:rFonts w:ascii="Cambria Math" w:eastAsia="Cambria Math" w:hAnsi="Cambria Math" w:cs="Cambria Math"/>
                  </w:rPr>
                  <m:t>*</m:t>
                </m:r>
                <m:r>
                  <m:rPr>
                    <m:sty m:val="p"/>
                  </m:rPr>
                  <w:rPr>
                    <w:rFonts w:ascii="Cambria Math" w:hAnsi="Cambria Math"/>
                  </w:rPr>
                  <m:t>X</m:t>
                </m:r>
              </m:e>
              <m:sub>
                <m:r>
                  <m:rPr>
                    <m:sty m:val="p"/>
                  </m:rPr>
                  <w:rPr>
                    <w:rFonts w:ascii="Cambria Math" w:hAnsi="Cambria Math"/>
                  </w:rPr>
                  <m:t>SDR</m:t>
                </m:r>
              </m:sub>
            </m:sSub>
          </m:e>
        </m:d>
      </m:oMath>
      <w:r w:rsidRPr="008467B6">
        <w:tab/>
        <w:t>(</w:t>
      </w:r>
      <w:r w:rsidRPr="00980878">
        <w:fldChar w:fldCharType="begin"/>
      </w:r>
      <w:r w:rsidRPr="008467B6">
        <w:instrText xml:space="preserve"> STYLEREF 1 \s </w:instrText>
      </w:r>
      <w:r w:rsidRPr="00980878">
        <w:fldChar w:fldCharType="separate"/>
      </w:r>
      <w:r>
        <w:rPr>
          <w:noProof/>
        </w:rPr>
        <w:t>7</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16</w:t>
      </w:r>
      <w:r w:rsidRPr="00980878">
        <w:fldChar w:fldCharType="end"/>
      </w:r>
      <w:r w:rsidRPr="008467B6">
        <w:t>)</w:t>
      </w:r>
    </w:p>
    <w:p w14:paraId="7EACBB8B" w14:textId="77777777" w:rsidR="007B6848" w:rsidRPr="008467B6" w:rsidRDefault="007B6848" w:rsidP="007B6848">
      <w:pPr>
        <w:rPr>
          <w:lang w:eastAsia="zh-CN"/>
        </w:rPr>
      </w:pPr>
      <w:r w:rsidRPr="008467B6">
        <w:rPr>
          <w:lang w:eastAsia="zh-CN"/>
        </w:rPr>
        <w:t>where M is the bit-depth of the output samples resulting from the inverse DRA application (corresponding to the TMI SEI message syntax element target_bit_depth). This second implementation can be beneficial to limit the color hue shift resulting from the SDR-to-HDR conversion</w:t>
      </w:r>
      <w:r>
        <w:rPr>
          <w:lang w:eastAsia="zh-CN"/>
        </w:rPr>
        <w:t xml:space="preserve"> (see </w:t>
      </w:r>
      <w:r>
        <w:rPr>
          <w:lang w:eastAsia="zh-CN"/>
        </w:rPr>
        <w:fldChar w:fldCharType="begin"/>
      </w:r>
      <w:r>
        <w:rPr>
          <w:lang w:eastAsia="zh-CN"/>
        </w:rPr>
        <w:instrText xml:space="preserve"> REF _Ref467237358 \r \h </w:instrText>
      </w:r>
      <w:r>
        <w:rPr>
          <w:lang w:eastAsia="zh-CN"/>
        </w:rPr>
      </w:r>
      <w:r>
        <w:rPr>
          <w:lang w:eastAsia="zh-CN"/>
        </w:rPr>
        <w:fldChar w:fldCharType="separate"/>
      </w:r>
      <w:r>
        <w:rPr>
          <w:lang w:eastAsia="zh-CN"/>
        </w:rPr>
        <w:t>[23]</w:t>
      </w:r>
      <w:r>
        <w:rPr>
          <w:lang w:eastAsia="zh-CN"/>
        </w:rPr>
        <w:fldChar w:fldCharType="end"/>
      </w:r>
      <w:r>
        <w:rPr>
          <w:lang w:eastAsia="zh-CN"/>
        </w:rPr>
        <w:t xml:space="preserve"> for a fuller exposition).</w:t>
      </w:r>
    </w:p>
    <w:p w14:paraId="43A3B982" w14:textId="77777777" w:rsidR="007B6848" w:rsidRPr="008467B6" w:rsidRDefault="007B6848" w:rsidP="007B6848">
      <w:pPr>
        <w:rPr>
          <w:lang w:eastAsia="zh-CN"/>
        </w:rPr>
      </w:pPr>
      <w:r w:rsidRPr="008467B6">
        <w:rPr>
          <w:lang w:eastAsia="zh-CN"/>
        </w:rPr>
        <w:t xml:space="preserve">The following parameters of HEVC Main 10 bitstreams should be specified to correctly render the decoded video on displays compatible with SDR/BT.2020 representation and to conduct the HDR reconstruction to PQ10 compatible representation.  </w:t>
      </w:r>
    </w:p>
    <w:p w14:paraId="7B108D5C" w14:textId="77777777" w:rsidR="007B6848" w:rsidRPr="008467B6" w:rsidRDefault="007B6848" w:rsidP="007B6848">
      <w:pPr>
        <w:rPr>
          <w:lang w:eastAsia="zh-CN"/>
        </w:rPr>
      </w:pPr>
      <w:r w:rsidRPr="008467B6">
        <w:rPr>
          <w:lang w:eastAsia="zh-CN"/>
        </w:rPr>
        <w:t>Settings in VUI for SDR rendering:</w:t>
      </w:r>
    </w:p>
    <w:p w14:paraId="450BFA28"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colour_description_present_flag</w:t>
      </w:r>
      <w:r w:rsidRPr="00980878">
        <w:tab/>
        <w:t>1</w:t>
      </w:r>
    </w:p>
    <w:p w14:paraId="7788B48F"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colour_primaries  </w:t>
      </w:r>
      <w:r w:rsidRPr="00980878">
        <w:tab/>
        <w:t>9 (BT.2020)</w:t>
      </w:r>
    </w:p>
    <w:p w14:paraId="5283BE98"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transfer_characteristics  </w:t>
      </w:r>
      <w:r w:rsidRPr="00980878">
        <w:tab/>
        <w:t>1, 6, 14 or 15 (SDR transfer function)</w:t>
      </w:r>
    </w:p>
    <w:p w14:paraId="2333B5BF"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matrix_coeffs  </w:t>
      </w:r>
      <w:r w:rsidRPr="00980878">
        <w:tab/>
        <w:t>9 (BT.2020 NCL)</w:t>
      </w:r>
    </w:p>
    <w:p w14:paraId="11D022C7"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video_full_range_flag</w:t>
      </w:r>
      <w:r w:rsidRPr="00980878">
        <w:tab/>
        <w:t>0 (narrow range)</w:t>
      </w:r>
    </w:p>
    <w:p w14:paraId="78D2DD38" w14:textId="77777777" w:rsidR="007B6848" w:rsidRPr="008467B6" w:rsidRDefault="007B6848" w:rsidP="007B6848">
      <w:pPr>
        <w:tabs>
          <w:tab w:val="clear" w:pos="1584"/>
          <w:tab w:val="clear" w:pos="1987"/>
          <w:tab w:val="clear" w:pos="4853"/>
          <w:tab w:val="clear" w:pos="9691"/>
          <w:tab w:val="left" w:pos="3260"/>
        </w:tabs>
        <w:rPr>
          <w:lang w:eastAsia="zh-CN"/>
        </w:rPr>
      </w:pPr>
      <w:r w:rsidRPr="008467B6">
        <w:rPr>
          <w:lang w:eastAsia="zh-CN"/>
        </w:rPr>
        <w:t>Settings in TMI for HDR reconstruction from decoded SDR:</w:t>
      </w:r>
      <w:r w:rsidRPr="008467B6">
        <w:rPr>
          <w:lang w:eastAsia="zh-CN"/>
        </w:rPr>
        <w:tab/>
      </w:r>
    </w:p>
    <w:p w14:paraId="4C7D9EA3"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tone_map_model_id</w:t>
      </w:r>
      <w:r w:rsidRPr="008467B6">
        <w:tab/>
        <w:t>3 (piece-wise linear model)</w:t>
      </w:r>
    </w:p>
    <w:p w14:paraId="0A3B9F45"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rPr>
          <w:bCs/>
        </w:rPr>
        <w:t>coded_data_bit_depth</w:t>
      </w:r>
      <w:r w:rsidRPr="008467B6">
        <w:tab/>
        <w:t>M (typically 14 bits)</w:t>
      </w:r>
    </w:p>
    <w:p w14:paraId="2C59DB8E"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target_bit_depth</w:t>
      </w:r>
      <w:r w:rsidRPr="008467B6">
        <w:tab/>
        <w:t>M (typically 14 bits)</w:t>
      </w:r>
    </w:p>
    <w:p w14:paraId="0E48A6FD" w14:textId="77777777" w:rsidR="007B6848" w:rsidRPr="008467B6"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8467B6">
        <w:t>num_pivots</w:t>
      </w:r>
      <w:r w:rsidRPr="008467B6">
        <w:tab/>
        <w:t>32</w:t>
      </w:r>
    </w:p>
    <w:p w14:paraId="143AE791" w14:textId="77777777" w:rsidR="007B6848" w:rsidRPr="008467B6" w:rsidRDefault="007B6848" w:rsidP="007B6848">
      <w:pPr>
        <w:pStyle w:val="Heading1"/>
      </w:pPr>
      <w:bookmarkStart w:id="222" w:name="_Ref453763011"/>
      <w:bookmarkStart w:id="223" w:name="_Toc454454600"/>
      <w:bookmarkStart w:id="224" w:name="_Toc467226119"/>
      <w:r w:rsidRPr="008467B6">
        <w:lastRenderedPageBreak/>
        <w:t>Bitstream SDR backward compatibility with dual-layer SHVC coding</w:t>
      </w:r>
      <w:bookmarkEnd w:id="222"/>
      <w:bookmarkEnd w:id="223"/>
      <w:bookmarkEnd w:id="224"/>
    </w:p>
    <w:p w14:paraId="32D26D3C" w14:textId="77777777" w:rsidR="007B6848" w:rsidRPr="008467B6" w:rsidRDefault="007B6848" w:rsidP="007B6848">
      <w:pPr>
        <w:pStyle w:val="Heading2"/>
        <w:ind w:left="720" w:hanging="720"/>
      </w:pPr>
      <w:bookmarkStart w:id="225" w:name="_Toc467226120"/>
      <w:r w:rsidRPr="008467B6">
        <w:t>Introduction</w:t>
      </w:r>
      <w:bookmarkEnd w:id="225"/>
    </w:p>
    <w:p w14:paraId="4DB55C2E" w14:textId="77777777" w:rsidR="007B6848" w:rsidRPr="008467B6" w:rsidRDefault="007B6848" w:rsidP="007B6848">
      <w:r w:rsidRPr="008467B6">
        <w:rPr>
          <w:szCs w:val="22"/>
        </w:rPr>
        <w:t xml:space="preserve">SHVC, the scalable form of HEVC </w:t>
      </w:r>
      <w:r w:rsidRPr="00980878">
        <w:fldChar w:fldCharType="begin"/>
      </w:r>
      <w:r w:rsidRPr="008467B6">
        <w:instrText xml:space="preserve"> REF _Ref324152123 \r \h </w:instrText>
      </w:r>
      <w:r w:rsidRPr="00980878">
        <w:fldChar w:fldCharType="separate"/>
      </w:r>
      <w:r>
        <w:t>[4]</w:t>
      </w:r>
      <w:r w:rsidRPr="00980878">
        <w:fldChar w:fldCharType="end"/>
      </w:r>
      <w:r w:rsidRPr="00980878">
        <w:fldChar w:fldCharType="begin"/>
      </w:r>
      <w:r w:rsidRPr="008467B6">
        <w:instrText xml:space="preserve"> REF _Ref464312482 \r \h </w:instrText>
      </w:r>
      <w:r w:rsidRPr="00980878">
        <w:fldChar w:fldCharType="separate"/>
      </w:r>
      <w:r>
        <w:t>[5]</w:t>
      </w:r>
      <w:r w:rsidRPr="00980878">
        <w:fldChar w:fldCharType="end"/>
      </w:r>
      <w:r>
        <w:fldChar w:fldCharType="begin"/>
      </w:r>
      <w:r>
        <w:instrText xml:space="preserve"> REF _Ref467237376 \r \h </w:instrText>
      </w:r>
      <w:r>
        <w:fldChar w:fldCharType="separate"/>
      </w:r>
      <w:r>
        <w:t>[16]</w:t>
      </w:r>
      <w:r>
        <w:fldChar w:fldCharType="end"/>
      </w:r>
      <w:r w:rsidRPr="008467B6">
        <w:rPr>
          <w:szCs w:val="22"/>
        </w:rPr>
        <w:t xml:space="preserve">, </w:t>
      </w:r>
      <w:r w:rsidRPr="008467B6">
        <w:t>is based on a multi-layer framework. Typically, a base layer and an enhancement layer are both coded by using inter-layer prediction mechanisms that produce an inter-layer picture used as reference picture</w:t>
      </w:r>
      <w:r w:rsidRPr="008467B6">
        <w:rPr>
          <w:szCs w:val="22"/>
        </w:rPr>
        <w:t xml:space="preserve">. </w:t>
      </w:r>
      <w:r w:rsidRPr="008467B6">
        <w:t xml:space="preserve">HEVC Scalable Main 10 profile </w:t>
      </w:r>
      <w:r w:rsidRPr="008467B6">
        <w:rPr>
          <w:szCs w:val="22"/>
        </w:rPr>
        <w:t xml:space="preserve">includes colour mapping prediction specifically designed for inter-layer prediction from a given colour volume to another one. </w:t>
      </w:r>
      <w:r w:rsidRPr="008467B6">
        <w:t>In an</w:t>
      </w:r>
      <w:r w:rsidRPr="008467B6">
        <w:rPr>
          <w:szCs w:val="22"/>
        </w:rPr>
        <w:t xml:space="preserve"> SDR-backward compatible system, this profile can be used to convey in</w:t>
      </w:r>
      <w:r w:rsidRPr="008467B6">
        <w:t xml:space="preserve"> a dual layer-bitstream an SDR video and an HDR video</w:t>
      </w:r>
      <w:r w:rsidRPr="008467B6">
        <w:rPr>
          <w:szCs w:val="22"/>
        </w:rPr>
        <w:t>. T</w:t>
      </w:r>
      <w:r w:rsidRPr="008467B6">
        <w:t xml:space="preserve">he input of the coding system is an SDR content as base layer, and its HDR version as enhancement layer. The SDR version can result from an HDR-to-SDR conversion such as the one mentioned in sub-clause </w:t>
      </w:r>
      <w:r w:rsidRPr="00980878">
        <w:fldChar w:fldCharType="begin"/>
      </w:r>
      <w:r w:rsidRPr="008467B6">
        <w:instrText xml:space="preserve"> REF _Ref456972458 \r \h </w:instrText>
      </w:r>
      <w:r w:rsidRPr="00980878">
        <w:fldChar w:fldCharType="separate"/>
      </w:r>
      <w:r>
        <w:t>7.2</w:t>
      </w:r>
      <w:r w:rsidRPr="00980878">
        <w:fldChar w:fldCharType="end"/>
      </w:r>
      <w:r w:rsidRPr="008467B6">
        <w:t xml:space="preserve">, or be provided as an input SDR master. </w:t>
      </w:r>
    </w:p>
    <w:p w14:paraId="419E3231" w14:textId="77777777" w:rsidR="007B6848" w:rsidRPr="008467B6" w:rsidRDefault="007B6848" w:rsidP="007B6848">
      <w:pPr>
        <w:jc w:val="center"/>
      </w:pPr>
      <w:r w:rsidRPr="00980878">
        <w:object w:dxaOrig="8223" w:dyaOrig="1835" w14:anchorId="37E89991">
          <v:shape id="_x0000_i1033" type="#_x0000_t75" style="width:352.5pt;height:76.65pt" o:ole="">
            <v:imagedata r:id="rId35" o:title=""/>
          </v:shape>
          <o:OLEObject Type="Embed" ProgID="Visio.Drawing.11" ShapeID="_x0000_i1033" DrawAspect="Content" ObjectID="_1541247490" r:id="rId36"/>
        </w:object>
      </w:r>
    </w:p>
    <w:p w14:paraId="6CF867B3" w14:textId="77777777" w:rsidR="007B6848" w:rsidRPr="008467B6" w:rsidRDefault="007B6848" w:rsidP="007B6848">
      <w:pPr>
        <w:pStyle w:val="Caption"/>
        <w:rPr>
          <w:lang w:val="en-US"/>
        </w:rPr>
      </w:pPr>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8</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1</w:t>
      </w:r>
      <w:r>
        <w:rPr>
          <w:lang w:val="en-US"/>
        </w:rPr>
        <w:fldChar w:fldCharType="end"/>
      </w:r>
      <w:r w:rsidRPr="008467B6">
        <w:rPr>
          <w:lang w:val="en-US"/>
        </w:rPr>
        <w:t xml:space="preserve"> – Example of SDR backward compatible solution implemented with SHVC.</w:t>
      </w:r>
    </w:p>
    <w:p w14:paraId="10AF3F6F" w14:textId="77777777" w:rsidR="007B6848" w:rsidRPr="008467B6" w:rsidRDefault="007B6848" w:rsidP="007B6848">
      <w:pPr>
        <w:pStyle w:val="Heading2"/>
        <w:numPr>
          <w:ilvl w:val="1"/>
          <w:numId w:val="9"/>
        </w:numPr>
      </w:pPr>
      <w:bookmarkStart w:id="226" w:name="_Toc454454603"/>
      <w:bookmarkStart w:id="227" w:name="_Toc467226121"/>
      <w:r w:rsidRPr="008467B6">
        <w:t>Encoding and decoding stages</w:t>
      </w:r>
      <w:bookmarkEnd w:id="226"/>
      <w:bookmarkEnd w:id="227"/>
    </w:p>
    <w:p w14:paraId="2E212D1D" w14:textId="77777777" w:rsidR="007B6848" w:rsidRPr="008467B6" w:rsidRDefault="007B6848" w:rsidP="007B6848">
      <w:r w:rsidRPr="008467B6">
        <w:t xml:space="preserve">One typical dual-layer configuration is as follows. </w:t>
      </w:r>
    </w:p>
    <w:p w14:paraId="49CC7652" w14:textId="77777777" w:rsidR="007B6848" w:rsidRPr="008467B6" w:rsidRDefault="007B6848" w:rsidP="007B6848">
      <w:r w:rsidRPr="008467B6">
        <w:t xml:space="preserve">The </w:t>
      </w:r>
      <w:r w:rsidRPr="008467B6">
        <w:rPr>
          <w:rFonts w:eastAsia="SimSun"/>
        </w:rPr>
        <w:t>Y</w:t>
      </w:r>
      <w:r w:rsidRPr="008467B6">
        <w:sym w:font="Symbol" w:char="F0A2"/>
      </w:r>
      <w:r w:rsidRPr="008467B6">
        <w:rPr>
          <w:rFonts w:eastAsia="SimSun"/>
        </w:rPr>
        <w:t>CbCr</w:t>
      </w:r>
      <w:r w:rsidRPr="00980878">
        <w:t xml:space="preserve"> 4:2:0 10-bits</w:t>
      </w:r>
      <w:r w:rsidRPr="008467B6">
        <w:t xml:space="preserve"> HDR video is available to the SHVC encoder in the following format (signalled in enhancement layer VUI):</w:t>
      </w:r>
    </w:p>
    <w:p w14:paraId="43E3F7E3"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transfer_characteristics </w:t>
      </w:r>
      <w:r w:rsidRPr="00980878">
        <w:tab/>
        <w:t>16 (BT.2100 PQ)</w:t>
      </w:r>
    </w:p>
    <w:p w14:paraId="1BA99FFA"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colour_primaries</w:t>
      </w:r>
      <w:r w:rsidRPr="00980878">
        <w:tab/>
        <w:t>9 (BT.2020)</w:t>
      </w:r>
    </w:p>
    <w:p w14:paraId="556AEB7F"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ind w:left="5040" w:hanging="4680"/>
        <w:textAlignment w:val="baseline"/>
      </w:pPr>
      <w:r w:rsidRPr="00980878">
        <w:t>matrix_coeffs</w:t>
      </w:r>
      <w:r w:rsidRPr="00980878">
        <w:tab/>
        <w:t xml:space="preserve">1 (if base layer SDR is BT.709 NCL) or 9 (if base layer SDR is BT.2020 NCL)  </w:t>
      </w:r>
    </w:p>
    <w:p w14:paraId="01D95164"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video_full_range_flag </w:t>
      </w:r>
      <w:r w:rsidRPr="00980878">
        <w:tab/>
        <w:t>0 (narrow range)</w:t>
      </w:r>
    </w:p>
    <w:p w14:paraId="09140C2C" w14:textId="77777777" w:rsidR="007B6848" w:rsidRPr="008467B6" w:rsidRDefault="007B6848" w:rsidP="007B6848">
      <w:r w:rsidRPr="008467B6">
        <w:t xml:space="preserve">The </w:t>
      </w:r>
      <w:r w:rsidRPr="008467B6">
        <w:rPr>
          <w:rFonts w:eastAsia="SimSun"/>
        </w:rPr>
        <w:t>Y</w:t>
      </w:r>
      <w:r w:rsidRPr="008467B6">
        <w:sym w:font="Symbol" w:char="F0A2"/>
      </w:r>
      <w:r w:rsidRPr="008467B6">
        <w:rPr>
          <w:rFonts w:eastAsia="SimSun"/>
        </w:rPr>
        <w:t>CbCr</w:t>
      </w:r>
      <w:r w:rsidRPr="00980878">
        <w:t xml:space="preserve"> 4:2:0 10-bits</w:t>
      </w:r>
      <w:r w:rsidRPr="008467B6">
        <w:t xml:space="preserve"> SDR video is available to the SHVC encoder in the following format (signalled in base layer VUI):</w:t>
      </w:r>
    </w:p>
    <w:p w14:paraId="6123B938"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transfer_characteristics </w:t>
      </w:r>
      <w:r w:rsidRPr="00980878">
        <w:tab/>
        <w:t>1, 6, 14 or 15 (SDR transfer function)</w:t>
      </w:r>
    </w:p>
    <w:p w14:paraId="328583E2"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colour_primaries </w:t>
      </w:r>
      <w:r w:rsidRPr="00980878">
        <w:tab/>
        <w:t>1 (BT.709) or 9 (BT.2020) depending on SDR input</w:t>
      </w:r>
    </w:p>
    <w:p w14:paraId="47214AE5"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matrix_coeffs </w:t>
      </w:r>
      <w:r w:rsidRPr="00980878">
        <w:tab/>
        <w:t>9 (BT.2020 NCL)</w:t>
      </w:r>
    </w:p>
    <w:p w14:paraId="63430C34"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video_full_range_flag </w:t>
      </w:r>
      <w:r w:rsidRPr="00980878">
        <w:tab/>
        <w:t>0 (narrow range)</w:t>
      </w:r>
    </w:p>
    <w:p w14:paraId="1E381F01" w14:textId="77777777" w:rsidR="007B6848" w:rsidRPr="008467B6" w:rsidRDefault="007B6848" w:rsidP="007B6848">
      <w:r w:rsidRPr="008467B6">
        <w:t xml:space="preserve">The SDR video is coded as the base layer of SHVC encoding conforming to the Main 10 profile, and the HDR video is coded as the enhancement layer conforming to the Scalable Main 10 profile. When the colour containers in which the SDR and HDR are represented are different, SHVC colour gamut scalability (CGS) tool </w:t>
      </w:r>
      <w:r w:rsidRPr="00980878">
        <w:fldChar w:fldCharType="begin"/>
      </w:r>
      <w:r w:rsidRPr="008467B6">
        <w:instrText xml:space="preserve"> REF _Ref324152636 \r \h </w:instrText>
      </w:r>
      <w:r w:rsidRPr="00980878">
        <w:fldChar w:fldCharType="separate"/>
      </w:r>
      <w:r>
        <w:t>[17]</w:t>
      </w:r>
      <w:r w:rsidRPr="00980878">
        <w:fldChar w:fldCharType="end"/>
      </w:r>
      <w:r w:rsidRPr="008467B6">
        <w:t xml:space="preserve"> can apply to encode the content with good coding efficiency </w:t>
      </w:r>
      <w:r w:rsidRPr="00980878">
        <w:fldChar w:fldCharType="begin"/>
      </w:r>
      <w:r w:rsidRPr="008467B6">
        <w:instrText xml:space="preserve"> REF _Ref448325941 \r \h </w:instrText>
      </w:r>
      <w:r w:rsidRPr="00980878">
        <w:fldChar w:fldCharType="separate"/>
      </w:r>
      <w:r>
        <w:t>[18]</w:t>
      </w:r>
      <w:r w:rsidRPr="00980878">
        <w:fldChar w:fldCharType="end"/>
      </w:r>
      <w:r w:rsidRPr="00980878">
        <w:fldChar w:fldCharType="begin"/>
      </w:r>
      <w:r w:rsidRPr="008467B6">
        <w:instrText xml:space="preserve"> REF _Ref448319125 \r \h </w:instrText>
      </w:r>
      <w:r w:rsidRPr="00980878">
        <w:fldChar w:fldCharType="separate"/>
      </w:r>
      <w:r>
        <w:t>[19]</w:t>
      </w:r>
      <w:r w:rsidRPr="00980878">
        <w:fldChar w:fldCharType="end"/>
      </w:r>
      <w:r w:rsidRPr="008467B6">
        <w:t>. Even if the colour containers in which the SDR and HDR are coded are the same, the colour volume occupied by the SDR and HDR pictures is typically different. Even in such cases, the CGS tool can encode the video with good coding efficiency.</w:t>
      </w:r>
    </w:p>
    <w:p w14:paraId="6A0A235B" w14:textId="77777777" w:rsidR="007B6848" w:rsidRPr="008467B6" w:rsidRDefault="007B6848" w:rsidP="007B6848">
      <w:r w:rsidRPr="008467B6">
        <w:t xml:space="preserve">The dual-layer bitstream is then decoded using an SHVC decoder, with the output from the base layer resulting in an SDR video representation and the enhancement layer resulting in a HDR video representation. </w:t>
      </w:r>
    </w:p>
    <w:p w14:paraId="21FB4A87" w14:textId="77777777" w:rsidR="007B6848" w:rsidRPr="008467B6" w:rsidRDefault="007B6848" w:rsidP="007B6848">
      <w:pPr>
        <w:pStyle w:val="Heading1"/>
      </w:pPr>
      <w:bookmarkStart w:id="228" w:name="_Toc454454604"/>
      <w:bookmarkStart w:id="229" w:name="_Ref454454612"/>
      <w:bookmarkStart w:id="230" w:name="_Toc467226122"/>
      <w:r w:rsidRPr="008467B6">
        <w:t>Display adaptation</w:t>
      </w:r>
      <w:bookmarkEnd w:id="228"/>
      <w:bookmarkEnd w:id="229"/>
      <w:bookmarkEnd w:id="230"/>
    </w:p>
    <w:p w14:paraId="4066E92C" w14:textId="77777777" w:rsidR="007B6848" w:rsidRPr="008467B6" w:rsidRDefault="007B6848" w:rsidP="007B6848">
      <w:pPr>
        <w:pStyle w:val="Heading2"/>
        <w:ind w:left="720" w:hanging="720"/>
      </w:pPr>
      <w:bookmarkStart w:id="231" w:name="_Toc467226123"/>
      <w:r w:rsidRPr="008467B6">
        <w:t>Introduction</w:t>
      </w:r>
      <w:bookmarkEnd w:id="231"/>
    </w:p>
    <w:p w14:paraId="470C0571" w14:textId="77777777" w:rsidR="007B6848" w:rsidRPr="008467B6" w:rsidRDefault="007B6848" w:rsidP="007B6848">
      <w:pPr>
        <w:rPr>
          <w:rFonts w:eastAsia="SimSun"/>
        </w:rPr>
      </w:pPr>
      <w:r w:rsidRPr="008467B6">
        <w:rPr>
          <w:rFonts w:eastAsia="SimSun"/>
        </w:rPr>
        <w:t xml:space="preserve">Display adaptation aims at converting a decoded HDR video (typically </w:t>
      </w:r>
      <w:r w:rsidRPr="008467B6">
        <w:rPr>
          <w:lang w:eastAsia="zh-CN"/>
        </w:rPr>
        <w:t>PQ10</w:t>
      </w:r>
      <w:r w:rsidRPr="008467B6">
        <w:rPr>
          <w:rFonts w:eastAsia="SimSun"/>
        </w:rPr>
        <w:t xml:space="preserve">) to a version adapted to the target rendering device. For instance, it may be used to convert a </w:t>
      </w:r>
      <w:r w:rsidRPr="008467B6">
        <w:rPr>
          <w:lang w:eastAsia="zh-CN"/>
        </w:rPr>
        <w:t xml:space="preserve">PQ10 </w:t>
      </w:r>
      <w:r w:rsidRPr="008467B6">
        <w:rPr>
          <w:rFonts w:eastAsia="SimSun"/>
        </w:rPr>
        <w:t xml:space="preserve">video mastered on a display with a given peak luminance, to a display capable of displaying a lower peak luminance. The concept is illustrated in </w:t>
      </w:r>
      <w:r w:rsidRPr="00980878">
        <w:rPr>
          <w:rFonts w:eastAsia="SimSun"/>
        </w:rPr>
        <w:fldChar w:fldCharType="begin"/>
      </w:r>
      <w:r w:rsidRPr="008467B6">
        <w:rPr>
          <w:rFonts w:eastAsia="SimSun"/>
        </w:rPr>
        <w:instrText xml:space="preserve"> REF _Ref456971667 \h </w:instrText>
      </w:r>
      <w:r w:rsidRPr="00980878">
        <w:rPr>
          <w:rFonts w:eastAsia="SimSun"/>
        </w:rPr>
      </w:r>
      <w:r w:rsidRPr="00980878">
        <w:rPr>
          <w:rFonts w:eastAsia="SimSun"/>
        </w:rPr>
        <w:fldChar w:fldCharType="separate"/>
      </w:r>
      <w:r w:rsidRPr="008467B6">
        <w:rPr>
          <w:lang w:val="en-US"/>
        </w:rPr>
        <w:t>Figure </w:t>
      </w:r>
      <w:r>
        <w:rPr>
          <w:noProof/>
          <w:lang w:val="en-US"/>
        </w:rPr>
        <w:t>9</w:t>
      </w:r>
      <w:r>
        <w:rPr>
          <w:lang w:val="en-US"/>
        </w:rPr>
        <w:noBreakHyphen/>
      </w:r>
      <w:r>
        <w:rPr>
          <w:noProof/>
          <w:lang w:val="en-US"/>
        </w:rPr>
        <w:t>1</w:t>
      </w:r>
      <w:r w:rsidRPr="00980878">
        <w:rPr>
          <w:rFonts w:eastAsia="SimSun"/>
        </w:rPr>
        <w:fldChar w:fldCharType="end"/>
      </w:r>
      <w:r w:rsidRPr="008467B6">
        <w:rPr>
          <w:rFonts w:eastAsia="SimSun"/>
        </w:rPr>
        <w:t>. The conversion process can be driven by metadata produced during the mastering stage, and conveyed with the main bitstream. CRI or TMI SEI messages can be used for this purpose.</w:t>
      </w:r>
    </w:p>
    <w:p w14:paraId="33398C54" w14:textId="77777777" w:rsidR="007B6848" w:rsidRPr="008467B6" w:rsidRDefault="007B6848" w:rsidP="007B6848">
      <w:pPr>
        <w:rPr>
          <w:rFonts w:eastAsia="SimSun"/>
        </w:rPr>
      </w:pPr>
      <w:r w:rsidRPr="008467B6">
        <w:rPr>
          <w:rFonts w:eastAsia="SimSun"/>
        </w:rPr>
        <w:lastRenderedPageBreak/>
        <w:t xml:space="preserve">Display SDR backward compatibility, using CRI or TMI SEI messages, is a specific example of display adaptation, when the rendering device has only SDR display capabilities. This specific case is further described in </w:t>
      </w:r>
      <w:r w:rsidRPr="008467B6">
        <w:t xml:space="preserve">sub-clause </w:t>
      </w:r>
      <w:r w:rsidRPr="00980878">
        <w:rPr>
          <w:rFonts w:eastAsia="SimSun"/>
        </w:rPr>
        <w:fldChar w:fldCharType="begin"/>
      </w:r>
      <w:r w:rsidRPr="008467B6">
        <w:rPr>
          <w:rFonts w:eastAsia="SimSun"/>
        </w:rPr>
        <w:instrText xml:space="preserve"> REF _Ref456973480 \r \h </w:instrText>
      </w:r>
      <w:r w:rsidRPr="00980878">
        <w:rPr>
          <w:rFonts w:eastAsia="SimSun"/>
        </w:rPr>
      </w:r>
      <w:r w:rsidRPr="00980878">
        <w:rPr>
          <w:rFonts w:eastAsia="SimSun"/>
        </w:rPr>
        <w:fldChar w:fldCharType="separate"/>
      </w:r>
      <w:r>
        <w:rPr>
          <w:rFonts w:eastAsia="SimSun"/>
        </w:rPr>
        <w:t>9.2</w:t>
      </w:r>
      <w:r w:rsidRPr="00980878">
        <w:rPr>
          <w:rFonts w:eastAsia="SimSun"/>
        </w:rPr>
        <w:fldChar w:fldCharType="end"/>
      </w:r>
      <w:r w:rsidRPr="008467B6">
        <w:rPr>
          <w:rFonts w:eastAsia="SimSun"/>
        </w:rPr>
        <w:t xml:space="preserve">. More generally, the adaptation of an HDR content with a given colour volume, to a version with a different target colour volume, can be achieved using CRI or TMI SEI messages. If multiple target colour volumes are considered, multiple instances of CRI or TMI SEI messages would be required. </w:t>
      </w:r>
      <w:r w:rsidRPr="008467B6">
        <w:t>Identifier tags signalled in these SEI messages can be used to identify the different target colour volumes.</w:t>
      </w:r>
    </w:p>
    <w:p w14:paraId="41C948E8" w14:textId="77777777" w:rsidR="007B6848" w:rsidRPr="008467B6" w:rsidRDefault="007B6848" w:rsidP="007B6848">
      <w:pPr>
        <w:jc w:val="center"/>
      </w:pPr>
      <w:r w:rsidRPr="00980878">
        <w:object w:dxaOrig="9117" w:dyaOrig="1403" w14:anchorId="715812E2">
          <v:shape id="_x0000_i1034" type="#_x0000_t75" style="width:390.65pt;height:59.9pt" o:ole="">
            <v:imagedata r:id="rId37" o:title=""/>
          </v:shape>
          <o:OLEObject Type="Embed" ProgID="Visio.Drawing.11" ShapeID="_x0000_i1034" DrawAspect="Content" ObjectID="_1541247491" r:id="rId38"/>
        </w:object>
      </w:r>
    </w:p>
    <w:p w14:paraId="61FED6AD" w14:textId="77777777" w:rsidR="007B6848" w:rsidRPr="008467B6" w:rsidRDefault="007B6848" w:rsidP="007B6848">
      <w:pPr>
        <w:pStyle w:val="Caption"/>
        <w:rPr>
          <w:lang w:val="en-US"/>
        </w:rPr>
      </w:pPr>
      <w:bookmarkStart w:id="232" w:name="_Ref456971667"/>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9</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1</w:t>
      </w:r>
      <w:r>
        <w:rPr>
          <w:lang w:val="en-US"/>
        </w:rPr>
        <w:fldChar w:fldCharType="end"/>
      </w:r>
      <w:bookmarkEnd w:id="232"/>
      <w:r w:rsidRPr="008467B6">
        <w:rPr>
          <w:lang w:val="en-US"/>
        </w:rPr>
        <w:t xml:space="preserve"> – Illustration of the concept of display adaptation.</w:t>
      </w:r>
    </w:p>
    <w:p w14:paraId="087EA85B" w14:textId="77777777" w:rsidR="007B6848" w:rsidRPr="008467B6" w:rsidRDefault="007B6848" w:rsidP="007B6848">
      <w:pPr>
        <w:rPr>
          <w:szCs w:val="22"/>
        </w:rPr>
      </w:pPr>
      <w:r w:rsidRPr="008467B6">
        <w:rPr>
          <w:lang w:eastAsia="ko-KR"/>
        </w:rPr>
        <w:t>I</w:t>
      </w:r>
      <w:r w:rsidRPr="008467B6">
        <w:rPr>
          <w:rFonts w:eastAsia="SimSun"/>
        </w:rPr>
        <w:t>t should be noted that the display adaptation functionality is also addressed by SMPTE ST 2094</w:t>
      </w:r>
      <w:r>
        <w:rPr>
          <w:rFonts w:eastAsia="SimSun"/>
        </w:rPr>
        <w:t xml:space="preserve"> </w:t>
      </w:r>
      <w:r>
        <w:rPr>
          <w:rFonts w:eastAsia="SimSun"/>
        </w:rPr>
        <w:fldChar w:fldCharType="begin"/>
      </w:r>
      <w:r>
        <w:rPr>
          <w:rFonts w:eastAsia="SimSun"/>
        </w:rPr>
        <w:instrText xml:space="preserve"> REF _Ref467237396 \r \h </w:instrText>
      </w:r>
      <w:r>
        <w:rPr>
          <w:rFonts w:eastAsia="SimSun"/>
        </w:rPr>
      </w:r>
      <w:r>
        <w:rPr>
          <w:rFonts w:eastAsia="SimSun"/>
        </w:rPr>
        <w:fldChar w:fldCharType="separate"/>
      </w:r>
      <w:r>
        <w:rPr>
          <w:rFonts w:eastAsia="SimSun"/>
        </w:rPr>
        <w:t>[10]</w:t>
      </w:r>
      <w:r>
        <w:rPr>
          <w:rFonts w:eastAsia="SimSun"/>
        </w:rPr>
        <w:fldChar w:fldCharType="end"/>
      </w:r>
      <w:r w:rsidRPr="008467B6">
        <w:rPr>
          <w:rFonts w:eastAsia="SimSun"/>
        </w:rPr>
        <w:t xml:space="preserve">. </w:t>
      </w:r>
      <w:r w:rsidRPr="008467B6">
        <w:rPr>
          <w:szCs w:val="22"/>
        </w:rPr>
        <w:t xml:space="preserve">SMPTE ST 2094 defines metadata for use in color volume transforms of content. The metadata are content-dependent and can vary scene-by-scene or frame-by-frame. The metadata are intended to transform HDR/WCG source content for presentation on a display having a smaller color volume than the source content’s mastering display. </w:t>
      </w:r>
      <w:r w:rsidRPr="008467B6">
        <w:t>Multiple applications provide particular color volume transforms.</w:t>
      </w:r>
      <w:r w:rsidRPr="008467B6">
        <w:rPr>
          <w:szCs w:val="22"/>
        </w:rPr>
        <w:t xml:space="preserve"> Currently there are four applications supported in ST 2094.</w:t>
      </w:r>
    </w:p>
    <w:p w14:paraId="7E0D680C" w14:textId="77777777" w:rsidR="007B6848" w:rsidRDefault="007B6848" w:rsidP="007B6848">
      <w:pPr>
        <w:rPr>
          <w:szCs w:val="22"/>
        </w:rPr>
      </w:pPr>
      <w:r w:rsidRPr="008467B6">
        <w:rPr>
          <w:szCs w:val="22"/>
        </w:rPr>
        <w:t xml:space="preserve">A metadata set in ST 2094 incorporates a time interval, a window, </w:t>
      </w:r>
      <w:bookmarkStart w:id="233" w:name="OLE_LINK106"/>
      <w:bookmarkStart w:id="234" w:name="OLE_LINK112"/>
      <w:bookmarkStart w:id="235" w:name="OLE_LINK113"/>
      <w:r w:rsidRPr="008467B6">
        <w:rPr>
          <w:szCs w:val="22"/>
        </w:rPr>
        <w:t>metadata describing the targeted system display</w:t>
      </w:r>
      <w:bookmarkEnd w:id="233"/>
      <w:bookmarkEnd w:id="234"/>
      <w:bookmarkEnd w:id="235"/>
      <w:r w:rsidRPr="008467B6">
        <w:rPr>
          <w:szCs w:val="22"/>
        </w:rPr>
        <w:t xml:space="preserve"> and parameters controlling the color volume transform. </w:t>
      </w:r>
      <w:bookmarkStart w:id="236" w:name="OLE_LINK791"/>
      <w:bookmarkStart w:id="237" w:name="OLE_LINK792"/>
      <w:r w:rsidRPr="008467B6">
        <w:rPr>
          <w:szCs w:val="22"/>
        </w:rPr>
        <w:t>A receiver of the metadata can use the targeted system display metadata to select the metadata sets that are most applicable to the actual output device. A receiver of the metadata can use the targeted system display metadata to adjust the output of the color volume transform from the specified output device to the actual output device.</w:t>
      </w:r>
      <w:bookmarkEnd w:id="236"/>
      <w:bookmarkEnd w:id="237"/>
      <w:r w:rsidRPr="008467B6">
        <w:rPr>
          <w:szCs w:val="22"/>
        </w:rPr>
        <w:t xml:space="preserve"> Two different approaches have been identified as transform methods in ST 2094 applications: parametric mapping and reference based numerical derivation. Application #1, #2 and #4 belong to the parametric model, and #3 belongs to the numerical data-fitting model. Part of the syntax in Application #3 is supported in </w:t>
      </w:r>
      <w:r>
        <w:rPr>
          <w:szCs w:val="22"/>
        </w:rPr>
        <w:t>c</w:t>
      </w:r>
      <w:r w:rsidRPr="008467B6">
        <w:rPr>
          <w:szCs w:val="22"/>
        </w:rPr>
        <w:t>olour remapping information SEI message.</w:t>
      </w:r>
    </w:p>
    <w:p w14:paraId="635D8F04" w14:textId="77777777" w:rsidR="007B6848" w:rsidRPr="008467B6" w:rsidRDefault="007B6848" w:rsidP="007B6848">
      <w:pPr>
        <w:rPr>
          <w:rFonts w:eastAsia="SimSun"/>
        </w:rPr>
      </w:pPr>
      <w:r>
        <w:rPr>
          <w:szCs w:val="22"/>
        </w:rPr>
        <w:t>Display adaptation for HLG systems is specified as part of the display EOTF in BT.2100.</w:t>
      </w:r>
    </w:p>
    <w:p w14:paraId="174473A2" w14:textId="77777777" w:rsidR="007B6848" w:rsidRPr="008467B6" w:rsidRDefault="007B6848" w:rsidP="007B6848">
      <w:pPr>
        <w:pStyle w:val="Heading2"/>
        <w:ind w:left="720" w:hanging="720"/>
      </w:pPr>
      <w:bookmarkStart w:id="238" w:name="_Toc454454606"/>
      <w:bookmarkStart w:id="239" w:name="_Ref456973480"/>
      <w:bookmarkStart w:id="240" w:name="_Toc467226124"/>
      <w:r w:rsidRPr="008467B6">
        <w:t>Case of display SDR backward compatibility</w:t>
      </w:r>
      <w:bookmarkEnd w:id="238"/>
      <w:bookmarkEnd w:id="239"/>
      <w:bookmarkEnd w:id="240"/>
    </w:p>
    <w:p w14:paraId="3814C5E6" w14:textId="77777777" w:rsidR="007B6848" w:rsidRPr="008467B6" w:rsidRDefault="007B6848" w:rsidP="007B6848">
      <w:pPr>
        <w:pStyle w:val="Heading3"/>
      </w:pPr>
      <w:bookmarkStart w:id="241" w:name="_Toc467226125"/>
      <w:r w:rsidRPr="008467B6">
        <w:t>Conversion and coding process example</w:t>
      </w:r>
      <w:bookmarkEnd w:id="241"/>
    </w:p>
    <w:p w14:paraId="0FF8DD4D" w14:textId="77777777" w:rsidR="007B6848" w:rsidRPr="008467B6" w:rsidRDefault="007B6848" w:rsidP="007B6848">
      <w:pPr>
        <w:rPr>
          <w:lang w:eastAsia="zh-CN"/>
        </w:rPr>
      </w:pPr>
      <w:r w:rsidRPr="008467B6">
        <w:rPr>
          <w:lang w:eastAsia="zh-CN"/>
        </w:rPr>
        <w:t xml:space="preserve">Dynamic mapping from HDR to SDR is the reverse problem of bitstream SDR backward compatibility studied in sub-clause </w:t>
      </w:r>
      <w:r w:rsidRPr="00980878">
        <w:rPr>
          <w:lang w:eastAsia="zh-CN"/>
        </w:rPr>
        <w:fldChar w:fldCharType="begin"/>
      </w:r>
      <w:r w:rsidRPr="008467B6">
        <w:rPr>
          <w:lang w:eastAsia="zh-CN"/>
        </w:rPr>
        <w:instrText xml:space="preserve"> REF _Ref456972458 \r \h  \* MERGEFORMAT </w:instrText>
      </w:r>
      <w:r w:rsidRPr="00980878">
        <w:rPr>
          <w:lang w:eastAsia="zh-CN"/>
        </w:rPr>
      </w:r>
      <w:r w:rsidRPr="00980878">
        <w:rPr>
          <w:lang w:eastAsia="zh-CN"/>
        </w:rPr>
        <w:fldChar w:fldCharType="separate"/>
      </w:r>
      <w:r>
        <w:rPr>
          <w:lang w:eastAsia="zh-CN"/>
        </w:rPr>
        <w:t>7.2</w:t>
      </w:r>
      <w:r w:rsidRPr="00980878">
        <w:rPr>
          <w:lang w:eastAsia="zh-CN"/>
        </w:rPr>
        <w:fldChar w:fldCharType="end"/>
      </w:r>
      <w:r w:rsidRPr="008467B6">
        <w:rPr>
          <w:lang w:eastAsia="zh-CN"/>
        </w:rPr>
        <w:t>. This use case is sometimes named display SDR backward compatibility.</w:t>
      </w:r>
    </w:p>
    <w:p w14:paraId="594E9728" w14:textId="77777777" w:rsidR="007B6848" w:rsidRPr="008467B6" w:rsidRDefault="007B6848" w:rsidP="007B6848">
      <w:pPr>
        <w:rPr>
          <w:lang w:eastAsia="zh-CN"/>
        </w:rPr>
      </w:pPr>
      <w:r w:rsidRPr="008467B6">
        <w:rPr>
          <w:lang w:eastAsia="zh-CN"/>
        </w:rPr>
        <w:t xml:space="preserve">The system design can be straightforwardly deduced from </w:t>
      </w:r>
      <w:r w:rsidRPr="00980878">
        <w:rPr>
          <w:lang w:eastAsia="zh-CN"/>
        </w:rPr>
        <w:fldChar w:fldCharType="begin"/>
      </w:r>
      <w:r w:rsidRPr="008467B6">
        <w:rPr>
          <w:lang w:eastAsia="zh-CN"/>
        </w:rPr>
        <w:instrText xml:space="preserve"> REF _Ref464756461 \h  \* MERGEFORMAT </w:instrText>
      </w:r>
      <w:r w:rsidRPr="00980878">
        <w:rPr>
          <w:lang w:eastAsia="zh-CN"/>
        </w:rPr>
      </w:r>
      <w:r w:rsidRPr="00980878">
        <w:rPr>
          <w:lang w:eastAsia="zh-CN"/>
        </w:rPr>
        <w:fldChar w:fldCharType="separate"/>
      </w:r>
      <w:r w:rsidRPr="008467B6">
        <w:rPr>
          <w:lang w:val="en-US"/>
        </w:rPr>
        <w:t>Figure </w:t>
      </w:r>
      <w:r>
        <w:rPr>
          <w:lang w:val="en-US"/>
        </w:rPr>
        <w:t>7</w:t>
      </w:r>
      <w:r>
        <w:rPr>
          <w:lang w:val="en-US"/>
        </w:rPr>
        <w:noBreakHyphen/>
        <w:t>4</w:t>
      </w:r>
      <w:r w:rsidRPr="00980878">
        <w:rPr>
          <w:lang w:eastAsia="zh-CN"/>
        </w:rPr>
        <w:fldChar w:fldCharType="end"/>
      </w:r>
      <w:r w:rsidRPr="008467B6">
        <w:rPr>
          <w:lang w:eastAsia="zh-CN"/>
        </w:rPr>
        <w:t xml:space="preserve"> and </w:t>
      </w:r>
      <w:r w:rsidRPr="00980878">
        <w:rPr>
          <w:lang w:eastAsia="zh-CN"/>
        </w:rPr>
        <w:fldChar w:fldCharType="begin"/>
      </w:r>
      <w:r w:rsidRPr="008467B6">
        <w:rPr>
          <w:lang w:eastAsia="zh-CN"/>
        </w:rPr>
        <w:instrText xml:space="preserve"> REF _Ref464537357 \h  \* MERGEFORMAT </w:instrText>
      </w:r>
      <w:r w:rsidRPr="00980878">
        <w:rPr>
          <w:lang w:eastAsia="zh-CN"/>
        </w:rPr>
      </w:r>
      <w:r w:rsidRPr="00980878">
        <w:rPr>
          <w:lang w:eastAsia="zh-CN"/>
        </w:rPr>
        <w:fldChar w:fldCharType="separate"/>
      </w:r>
      <w:r w:rsidRPr="008467B6">
        <w:rPr>
          <w:lang w:val="en-US"/>
        </w:rPr>
        <w:t>Figure </w:t>
      </w:r>
      <w:r>
        <w:rPr>
          <w:lang w:val="en-US"/>
        </w:rPr>
        <w:t>7</w:t>
      </w:r>
      <w:r>
        <w:rPr>
          <w:lang w:val="en-US"/>
        </w:rPr>
        <w:noBreakHyphen/>
        <w:t>5</w:t>
      </w:r>
      <w:r w:rsidRPr="00980878">
        <w:rPr>
          <w:lang w:eastAsia="zh-CN"/>
        </w:rPr>
        <w:fldChar w:fldCharType="end"/>
      </w:r>
      <w:r w:rsidRPr="008467B6">
        <w:rPr>
          <w:lang w:eastAsia="zh-CN"/>
        </w:rPr>
        <w:t xml:space="preserve"> by placing a forward DRA process to the decoder side and signalling DRA parameters through SEI message such as CRI. </w:t>
      </w:r>
    </w:p>
    <w:p w14:paraId="3709BE9C" w14:textId="77777777" w:rsidR="007B6848" w:rsidRPr="008467B6" w:rsidRDefault="007B6848" w:rsidP="007B6848">
      <w:pPr>
        <w:rPr>
          <w:lang w:eastAsia="zh-CN"/>
        </w:rPr>
      </w:pPr>
      <w:r w:rsidRPr="008467B6">
        <w:rPr>
          <w:lang w:eastAsia="zh-CN"/>
        </w:rPr>
        <w:t xml:space="preserve">Two examples of encoding process producing HDR/BT.2020 compatible HEVC bitstream which includes DRA control parameters for decoder side guided conversion from HDR to SDR is illustrated in top block-diagrams of </w:t>
      </w:r>
      <w:r w:rsidRPr="00980878">
        <w:rPr>
          <w:lang w:eastAsia="zh-CN"/>
        </w:rPr>
        <w:fldChar w:fldCharType="begin"/>
      </w:r>
      <w:r w:rsidRPr="008467B6">
        <w:rPr>
          <w:lang w:eastAsia="zh-CN"/>
        </w:rPr>
        <w:instrText xml:space="preserve"> REF _Ref456971847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2</w:t>
      </w:r>
      <w:r w:rsidRPr="00980878">
        <w:rPr>
          <w:lang w:eastAsia="zh-CN"/>
        </w:rPr>
        <w:fldChar w:fldCharType="end"/>
      </w:r>
      <w:r w:rsidRPr="008467B6">
        <w:rPr>
          <w:lang w:eastAsia="zh-CN"/>
        </w:rPr>
        <w:t xml:space="preserve"> and </w:t>
      </w:r>
      <w:r w:rsidRPr="00980878">
        <w:rPr>
          <w:lang w:eastAsia="zh-CN"/>
        </w:rPr>
        <w:fldChar w:fldCharType="begin"/>
      </w:r>
      <w:r w:rsidRPr="008467B6">
        <w:rPr>
          <w:lang w:eastAsia="zh-CN"/>
        </w:rPr>
        <w:instrText xml:space="preserve"> REF _Ref464723696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3</w:t>
      </w:r>
      <w:r w:rsidRPr="00980878">
        <w:rPr>
          <w:lang w:eastAsia="zh-CN"/>
        </w:rPr>
        <w:fldChar w:fldCharType="end"/>
      </w:r>
      <w:r w:rsidRPr="008467B6">
        <w:rPr>
          <w:lang w:eastAsia="zh-CN"/>
        </w:rPr>
        <w:t xml:space="preserve">. These parameters can be conveyed to the decoder, and used for performing the HDR-to-SDR conversion at decoder side. A corresponding decoding process which enables to conduct an optional mapping from HDR to SDR through forward DRA process is illustrated in bottom block-diagrams of </w:t>
      </w:r>
      <w:r w:rsidRPr="00980878">
        <w:rPr>
          <w:lang w:eastAsia="zh-CN"/>
        </w:rPr>
        <w:fldChar w:fldCharType="begin"/>
      </w:r>
      <w:r w:rsidRPr="008467B6">
        <w:rPr>
          <w:lang w:eastAsia="zh-CN"/>
        </w:rPr>
        <w:instrText xml:space="preserve"> REF _Ref456971847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2</w:t>
      </w:r>
      <w:r w:rsidRPr="00980878">
        <w:rPr>
          <w:lang w:eastAsia="zh-CN"/>
        </w:rPr>
        <w:fldChar w:fldCharType="end"/>
      </w:r>
      <w:r w:rsidRPr="008467B6">
        <w:rPr>
          <w:lang w:eastAsia="zh-CN"/>
        </w:rPr>
        <w:t xml:space="preserve"> and </w:t>
      </w:r>
      <w:r w:rsidRPr="00980878">
        <w:rPr>
          <w:lang w:eastAsia="zh-CN"/>
        </w:rPr>
        <w:fldChar w:fldCharType="begin"/>
      </w:r>
      <w:r w:rsidRPr="008467B6">
        <w:rPr>
          <w:lang w:eastAsia="zh-CN"/>
        </w:rPr>
        <w:instrText xml:space="preserve"> REF _Ref464723696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3</w:t>
      </w:r>
      <w:r w:rsidRPr="00980878">
        <w:rPr>
          <w:lang w:eastAsia="zh-CN"/>
        </w:rPr>
        <w:fldChar w:fldCharType="end"/>
      </w:r>
      <w:r w:rsidRPr="008467B6">
        <w:rPr>
          <w:lang w:eastAsia="zh-CN"/>
        </w:rPr>
        <w:t xml:space="preserve">. After HEVC Main 10 compliant decoding, the decoded signal has BT.2100 PQ transfer characteristics and BT.2020 colour primaries which makes it PQ10 compatible. The DRA can be used as a post-decoding processing to convert decoded HDR/BT.2020 video signal to SDR representation. The resulting </w:t>
      </w:r>
      <w:r w:rsidRPr="008467B6">
        <w:rPr>
          <w:rFonts w:eastAsia="SimSun"/>
        </w:rPr>
        <w:t>Y</w:t>
      </w:r>
      <w:r w:rsidRPr="008467B6">
        <w:sym w:font="Symbol" w:char="F0A2"/>
      </w:r>
      <w:r w:rsidRPr="008467B6">
        <w:rPr>
          <w:rFonts w:eastAsia="SimSun"/>
        </w:rPr>
        <w:t>CbCr</w:t>
      </w:r>
      <w:r w:rsidRPr="008467B6">
        <w:rPr>
          <w:lang w:eastAsia="zh-CN"/>
        </w:rPr>
        <w:t xml:space="preserve"> 10-bits signal has BT.709/BT.2020 transfer characteristics and BT.2020 or BT.709 color primaries (depending on the application use case).</w:t>
      </w:r>
    </w:p>
    <w:p w14:paraId="0BE241CA" w14:textId="77777777" w:rsidR="007B6848" w:rsidRPr="008467B6" w:rsidRDefault="007B6848" w:rsidP="007B6848">
      <w:pPr>
        <w:rPr>
          <w:lang w:eastAsia="zh-CN"/>
        </w:rPr>
      </w:pPr>
      <w:r w:rsidRPr="008467B6">
        <w:rPr>
          <w:lang w:eastAsia="zh-CN"/>
        </w:rPr>
        <w:t>In the first example (</w:t>
      </w:r>
      <w:r w:rsidRPr="00980878">
        <w:rPr>
          <w:lang w:eastAsia="zh-CN"/>
        </w:rPr>
        <w:fldChar w:fldCharType="begin"/>
      </w:r>
      <w:r w:rsidRPr="008467B6">
        <w:rPr>
          <w:lang w:eastAsia="zh-CN"/>
        </w:rPr>
        <w:instrText xml:space="preserve"> REF _Ref456971847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2</w:t>
      </w:r>
      <w:r w:rsidRPr="00980878">
        <w:rPr>
          <w:lang w:eastAsia="zh-CN"/>
        </w:rPr>
        <w:fldChar w:fldCharType="end"/>
      </w:r>
      <w:r w:rsidRPr="008467B6">
        <w:rPr>
          <w:lang w:eastAsia="zh-CN"/>
        </w:rPr>
        <w:t xml:space="preserve">), DRA operates in </w:t>
      </w:r>
      <w:r w:rsidRPr="008467B6">
        <w:t>Y</w:t>
      </w:r>
      <w:r w:rsidRPr="008467B6">
        <w:sym w:font="Symbol" w:char="F0A2"/>
      </w:r>
      <w:r w:rsidRPr="008467B6">
        <w:t>CbCr</w:t>
      </w:r>
      <w:r w:rsidRPr="008467B6">
        <w:rPr>
          <w:lang w:eastAsia="zh-CN"/>
        </w:rPr>
        <w:t xml:space="preserve"> 4:2:0 domain. It typically applies three transfer functions to the </w:t>
      </w:r>
      <w:r w:rsidRPr="008467B6">
        <w:rPr>
          <w:rFonts w:eastAsia="SimSun"/>
        </w:rPr>
        <w:t>Y</w:t>
      </w:r>
      <w:r w:rsidRPr="008467B6">
        <w:sym w:font="Symbol" w:char="F0A2"/>
      </w:r>
      <w:r w:rsidRPr="008467B6">
        <w:rPr>
          <w:lang w:eastAsia="zh-CN"/>
        </w:rPr>
        <w:t>, Cb, and Cr components of the decoded PQ10 signal, for instance</w:t>
      </w:r>
      <w:r w:rsidRPr="008467B6">
        <w:t xml:space="preserve"> using the three Pre-LUTs of a CRI </w:t>
      </w:r>
      <w:r w:rsidRPr="008467B6">
        <w:rPr>
          <w:lang w:eastAsia="zh-CN"/>
        </w:rPr>
        <w:t xml:space="preserve">SEI message. </w:t>
      </w:r>
      <w:r w:rsidRPr="008467B6">
        <w:t>The functions may be implemented in the shape of 1D-LUTs (LUT</w:t>
      </w:r>
      <w:r w:rsidRPr="008467B6">
        <w:rPr>
          <w:vertAlign w:val="subscript"/>
        </w:rPr>
        <w:t>DRAk</w:t>
      </w:r>
      <w:r w:rsidRPr="008467B6">
        <w:t xml:space="preserve">, for </w:t>
      </w:r>
      <w:r w:rsidRPr="008467B6">
        <w:rPr>
          <w:i/>
        </w:rPr>
        <w:t>k</w:t>
      </w:r>
      <w:r w:rsidRPr="008467B6">
        <w:t xml:space="preserve">=0, 1, 2), that directly apply to the </w:t>
      </w:r>
      <w:r w:rsidRPr="008467B6">
        <w:rPr>
          <w:lang w:eastAsia="zh-CN"/>
        </w:rPr>
        <w:t xml:space="preserve">PQ10 </w:t>
      </w:r>
      <w:r w:rsidRPr="008467B6">
        <w:rPr>
          <w:rFonts w:eastAsia="SimSun"/>
        </w:rPr>
        <w:t>Y</w:t>
      </w:r>
      <w:r w:rsidRPr="008467B6">
        <w:sym w:font="Symbol" w:char="F0A2"/>
      </w:r>
      <w:r w:rsidRPr="008467B6">
        <w:t>, Cb and Cr components.</w:t>
      </w:r>
      <w:r w:rsidRPr="008467B6">
        <w:rPr>
          <w:lang w:eastAsia="zh-CN"/>
        </w:rPr>
        <w:t xml:space="preserve"> The 3x3 matrix and Post-LUTs are not activated.</w:t>
      </w:r>
    </w:p>
    <w:p w14:paraId="02029111" w14:textId="77777777" w:rsidR="007B6848" w:rsidRPr="00980878" w:rsidRDefault="007B6848" w:rsidP="007B6848">
      <w:pPr>
        <w:jc w:val="center"/>
      </w:pPr>
    </w:p>
    <w:p w14:paraId="3783F2DF" w14:textId="77777777" w:rsidR="007B6848" w:rsidRPr="008467B6" w:rsidRDefault="007B6848" w:rsidP="007B6848">
      <w:pPr>
        <w:jc w:val="center"/>
      </w:pPr>
      <w:r w:rsidRPr="00980878">
        <w:object w:dxaOrig="11555" w:dyaOrig="5455" w14:anchorId="5AD965AE">
          <v:shape id="_x0000_i1035" type="#_x0000_t75" style="width:460.85pt;height:217.45pt" o:ole="">
            <v:imagedata r:id="rId39" o:title=""/>
          </v:shape>
          <o:OLEObject Type="Embed" ProgID="Visio.Drawing.11" ShapeID="_x0000_i1035" DrawAspect="Content" ObjectID="_1541247492" r:id="rId40"/>
        </w:object>
      </w:r>
    </w:p>
    <w:p w14:paraId="5C09299B" w14:textId="77777777" w:rsidR="007B6848" w:rsidRPr="008467B6" w:rsidRDefault="007B6848" w:rsidP="007B6848">
      <w:pPr>
        <w:pStyle w:val="Caption"/>
        <w:rPr>
          <w:lang w:val="en-US"/>
        </w:rPr>
      </w:pPr>
      <w:bookmarkStart w:id="242" w:name="_Ref456971847"/>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9</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2</w:t>
      </w:r>
      <w:r>
        <w:rPr>
          <w:lang w:val="en-US"/>
        </w:rPr>
        <w:fldChar w:fldCharType="end"/>
      </w:r>
      <w:bookmarkEnd w:id="242"/>
      <w:r w:rsidRPr="008467B6">
        <w:rPr>
          <w:lang w:val="en-US"/>
        </w:rPr>
        <w:t xml:space="preserve"> – Example of pre-processing (top) and post-processing (down) for display SDR backward compatibility with CRI applied in Y</w:t>
      </w:r>
      <w:r w:rsidRPr="008467B6">
        <w:rPr>
          <w:lang w:val="en-US"/>
        </w:rPr>
        <w:sym w:font="Symbol" w:char="F0A2"/>
      </w:r>
      <w:r w:rsidRPr="008467B6">
        <w:rPr>
          <w:lang w:val="en-US"/>
        </w:rPr>
        <w:t xml:space="preserve">CbCr </w:t>
      </w:r>
      <w:r w:rsidRPr="008467B6">
        <w:rPr>
          <w:lang w:val="en-US" w:eastAsia="zh-CN"/>
        </w:rPr>
        <w:t>4:2:0 domain</w:t>
      </w:r>
      <w:r w:rsidRPr="008467B6">
        <w:rPr>
          <w:lang w:val="en-US"/>
        </w:rPr>
        <w:t>.</w:t>
      </w:r>
    </w:p>
    <w:p w14:paraId="668E12EC" w14:textId="77777777" w:rsidR="007B6848" w:rsidRPr="008467B6" w:rsidRDefault="007B6848" w:rsidP="007B6848">
      <w:pPr>
        <w:rPr>
          <w:lang w:eastAsia="zh-CN"/>
        </w:rPr>
      </w:pPr>
      <w:r w:rsidRPr="008467B6">
        <w:rPr>
          <w:lang w:eastAsia="zh-CN"/>
        </w:rPr>
        <w:t>In the second example (</w:t>
      </w:r>
      <w:r w:rsidRPr="00980878">
        <w:rPr>
          <w:lang w:eastAsia="zh-CN"/>
        </w:rPr>
        <w:fldChar w:fldCharType="begin"/>
      </w:r>
      <w:r w:rsidRPr="008467B6">
        <w:rPr>
          <w:lang w:eastAsia="zh-CN"/>
        </w:rPr>
        <w:instrText xml:space="preserve"> REF _Ref464723696 \h  \* MERGEFORMAT </w:instrText>
      </w:r>
      <w:r w:rsidRPr="00980878">
        <w:rPr>
          <w:lang w:eastAsia="zh-CN"/>
        </w:rPr>
      </w:r>
      <w:r w:rsidRPr="00980878">
        <w:rPr>
          <w:lang w:eastAsia="zh-CN"/>
        </w:rPr>
        <w:fldChar w:fldCharType="separate"/>
      </w:r>
      <w:r w:rsidRPr="008467B6">
        <w:rPr>
          <w:lang w:val="en-US"/>
        </w:rPr>
        <w:t>Figure </w:t>
      </w:r>
      <w:r>
        <w:rPr>
          <w:lang w:val="en-US"/>
        </w:rPr>
        <w:t>9</w:t>
      </w:r>
      <w:r>
        <w:rPr>
          <w:lang w:val="en-US"/>
        </w:rPr>
        <w:noBreakHyphen/>
        <w:t>3</w:t>
      </w:r>
      <w:r w:rsidRPr="00980878">
        <w:rPr>
          <w:lang w:eastAsia="zh-CN"/>
        </w:rPr>
        <w:fldChar w:fldCharType="end"/>
      </w:r>
      <w:r w:rsidRPr="008467B6">
        <w:rPr>
          <w:lang w:eastAsia="zh-CN"/>
        </w:rPr>
        <w:t xml:space="preserve">), DRA operates after the conversion of the decoded </w:t>
      </w:r>
      <w:r w:rsidRPr="008467B6">
        <w:t>Y</w:t>
      </w:r>
      <w:r w:rsidRPr="008467B6">
        <w:sym w:font="Symbol" w:char="F0A2"/>
      </w:r>
      <w:r w:rsidRPr="008467B6">
        <w:t>CbCr</w:t>
      </w:r>
      <w:r w:rsidRPr="008467B6">
        <w:rPr>
          <w:lang w:eastAsia="zh-CN"/>
        </w:rPr>
        <w:t xml:space="preserve"> 4:2:0 10-bits PQ BT.2020 video to 4:4:4. The complete CRI model may be used. This may be relevant when the target SDR color primaries are BT.709, where the three-by-three matrix can be beneficial to perform the conversion from BT.2020 to BT.709 primaries.</w:t>
      </w:r>
    </w:p>
    <w:p w14:paraId="7378CBFC" w14:textId="77777777" w:rsidR="007B6848" w:rsidRPr="008467B6" w:rsidRDefault="007B6848" w:rsidP="007B6848">
      <w:pPr>
        <w:jc w:val="center"/>
      </w:pPr>
      <w:r w:rsidRPr="00980878">
        <w:object w:dxaOrig="11734" w:dyaOrig="5455" w14:anchorId="611EAE88">
          <v:shape id="_x0000_i1036" type="#_x0000_t75" style="width:469.45pt;height:217.45pt" o:ole="">
            <v:imagedata r:id="rId41" o:title=""/>
          </v:shape>
          <o:OLEObject Type="Embed" ProgID="Visio.Drawing.11" ShapeID="_x0000_i1036" DrawAspect="Content" ObjectID="_1541247493" r:id="rId42"/>
        </w:object>
      </w:r>
    </w:p>
    <w:p w14:paraId="7C368418" w14:textId="77777777" w:rsidR="007B6848" w:rsidRPr="008467B6" w:rsidRDefault="007B6848" w:rsidP="007B6848">
      <w:pPr>
        <w:pStyle w:val="Caption"/>
        <w:rPr>
          <w:lang w:val="en-US"/>
        </w:rPr>
      </w:pPr>
      <w:bookmarkStart w:id="243" w:name="_Ref464723696"/>
      <w:bookmarkStart w:id="244" w:name="_Ref464725570"/>
      <w:r w:rsidRPr="008467B6">
        <w:rPr>
          <w:lang w:val="en-US"/>
        </w:rPr>
        <w:t>Figure </w:t>
      </w:r>
      <w:r>
        <w:rPr>
          <w:lang w:val="en-US"/>
        </w:rPr>
        <w:fldChar w:fldCharType="begin"/>
      </w:r>
      <w:r>
        <w:rPr>
          <w:lang w:val="en-US"/>
        </w:rPr>
        <w:instrText xml:space="preserve"> STYLEREF 1 \s </w:instrText>
      </w:r>
      <w:r>
        <w:rPr>
          <w:lang w:val="en-US"/>
        </w:rPr>
        <w:fldChar w:fldCharType="separate"/>
      </w:r>
      <w:r>
        <w:rPr>
          <w:noProof/>
          <w:lang w:val="en-US"/>
        </w:rPr>
        <w:t>9</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3</w:t>
      </w:r>
      <w:r>
        <w:rPr>
          <w:lang w:val="en-US"/>
        </w:rPr>
        <w:fldChar w:fldCharType="end"/>
      </w:r>
      <w:bookmarkEnd w:id="243"/>
      <w:r w:rsidRPr="008467B6">
        <w:rPr>
          <w:lang w:val="en-US"/>
        </w:rPr>
        <w:t xml:space="preserve"> – Example of pre-processing (top) and post-processing (down) for display SDR backward compatibility with CRI applied in Y</w:t>
      </w:r>
      <w:r w:rsidRPr="008467B6">
        <w:rPr>
          <w:lang w:val="en-US"/>
        </w:rPr>
        <w:sym w:font="Symbol" w:char="F0A2"/>
      </w:r>
      <w:r w:rsidRPr="008467B6">
        <w:rPr>
          <w:lang w:val="en-US"/>
        </w:rPr>
        <w:t xml:space="preserve">CbCr </w:t>
      </w:r>
      <w:r w:rsidRPr="008467B6">
        <w:rPr>
          <w:lang w:val="en-US" w:eastAsia="zh-CN"/>
        </w:rPr>
        <w:t>4:4:4 domain</w:t>
      </w:r>
      <w:r w:rsidRPr="008467B6">
        <w:rPr>
          <w:lang w:val="en-US"/>
        </w:rPr>
        <w:t>.</w:t>
      </w:r>
      <w:bookmarkEnd w:id="244"/>
    </w:p>
    <w:p w14:paraId="52768F2B" w14:textId="77777777" w:rsidR="007B6848" w:rsidRPr="008467B6" w:rsidRDefault="007B6848" w:rsidP="007B6848">
      <w:pPr>
        <w:pStyle w:val="Heading3"/>
      </w:pPr>
      <w:bookmarkStart w:id="245" w:name="_Toc467226126"/>
      <w:r w:rsidRPr="008467B6">
        <w:t xml:space="preserve">Using </w:t>
      </w:r>
      <w:r>
        <w:t>c</w:t>
      </w:r>
      <w:r w:rsidRPr="008467B6">
        <w:t>olour remapping information SEI message</w:t>
      </w:r>
      <w:bookmarkEnd w:id="245"/>
    </w:p>
    <w:p w14:paraId="295F479A" w14:textId="77777777" w:rsidR="007B6848" w:rsidRPr="008467B6" w:rsidRDefault="007B6848" w:rsidP="007B6848">
      <w:r w:rsidRPr="008467B6">
        <w:rPr>
          <w:lang w:eastAsia="zh-CN"/>
        </w:rPr>
        <w:t xml:space="preserve">In the implementation illustrated in </w:t>
      </w:r>
      <w:r w:rsidRPr="00980878">
        <w:rPr>
          <w:lang w:eastAsia="zh-CN"/>
        </w:rPr>
        <w:fldChar w:fldCharType="begin"/>
      </w:r>
      <w:r w:rsidRPr="008467B6">
        <w:rPr>
          <w:lang w:eastAsia="zh-CN"/>
        </w:rPr>
        <w:instrText xml:space="preserve"> REF _Ref456971847 \h </w:instrText>
      </w:r>
      <w:r w:rsidRPr="00980878">
        <w:rPr>
          <w:lang w:eastAsia="zh-CN"/>
        </w:rPr>
      </w:r>
      <w:r w:rsidRPr="00980878">
        <w:rPr>
          <w:lang w:eastAsia="zh-CN"/>
        </w:rPr>
        <w:fldChar w:fldCharType="separate"/>
      </w:r>
      <w:r w:rsidRPr="008467B6">
        <w:rPr>
          <w:lang w:val="en-US"/>
        </w:rPr>
        <w:t>Figure </w:t>
      </w:r>
      <w:r>
        <w:rPr>
          <w:noProof/>
          <w:lang w:val="en-US"/>
        </w:rPr>
        <w:t>9</w:t>
      </w:r>
      <w:r>
        <w:rPr>
          <w:lang w:val="en-US"/>
        </w:rPr>
        <w:noBreakHyphen/>
      </w:r>
      <w:r>
        <w:rPr>
          <w:noProof/>
          <w:lang w:val="en-US"/>
        </w:rPr>
        <w:t>2</w:t>
      </w:r>
      <w:r w:rsidRPr="00980878">
        <w:rPr>
          <w:lang w:eastAsia="zh-CN"/>
        </w:rPr>
        <w:fldChar w:fldCharType="end"/>
      </w:r>
      <w:r w:rsidRPr="008467B6">
        <w:rPr>
          <w:lang w:eastAsia="zh-CN"/>
        </w:rPr>
        <w:t xml:space="preserve">, the DRA operates in </w:t>
      </w:r>
      <w:r w:rsidRPr="008467B6">
        <w:t>Y</w:t>
      </w:r>
      <w:r w:rsidRPr="008467B6">
        <w:sym w:font="Symbol" w:char="F0A2"/>
      </w:r>
      <w:r w:rsidRPr="008467B6">
        <w:t xml:space="preserve">CbCr </w:t>
      </w:r>
      <w:r w:rsidRPr="008467B6">
        <w:rPr>
          <w:lang w:eastAsia="zh-CN"/>
        </w:rPr>
        <w:t xml:space="preserve">4:2:0 domain. The three DRA functions can be implemented in 4:2:0 </w:t>
      </w:r>
      <w:r w:rsidRPr="008467B6">
        <w:t>using the three Pre-LUTs</w:t>
      </w:r>
      <w:r w:rsidRPr="008467B6">
        <w:rPr>
          <w:lang w:eastAsia="zh-CN"/>
        </w:rPr>
        <w:t xml:space="preserve"> of a CRI SEI message. </w:t>
      </w:r>
      <w:r w:rsidRPr="008467B6">
        <w:t>The three-by-three matrix and the Post-LUTs are not activated. Therefore, the conversion process can directly apply to the decoded 4:2:0 signal. The SDR-to-HDR conversion achieved at post-processing stage applies to each luma sample Y</w:t>
      </w:r>
      <w:r w:rsidRPr="008467B6">
        <w:rPr>
          <w:vertAlign w:val="subscript"/>
        </w:rPr>
        <w:t>HDR</w:t>
      </w:r>
      <w:r w:rsidRPr="008467B6">
        <w:t xml:space="preserve"> and each chroma sample U</w:t>
      </w:r>
      <w:r w:rsidRPr="008467B6">
        <w:rPr>
          <w:vertAlign w:val="subscript"/>
        </w:rPr>
        <w:t>HDR</w:t>
      </w:r>
      <w:r w:rsidRPr="008467B6">
        <w:t xml:space="preserve"> and V</w:t>
      </w:r>
      <w:r w:rsidRPr="008467B6">
        <w:rPr>
          <w:vertAlign w:val="subscript"/>
        </w:rPr>
        <w:t>HDR</w:t>
      </w:r>
      <w:r w:rsidRPr="008467B6">
        <w:t xml:space="preserve"> as follows:</w:t>
      </w:r>
    </w:p>
    <w:p w14:paraId="474AB6C3"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1</w:t>
      </w:r>
      <w:r w:rsidRPr="00980878">
        <w:fldChar w:fldCharType="end"/>
      </w:r>
      <w:r w:rsidRPr="008467B6">
        <w:t>)</w:t>
      </w:r>
    </w:p>
    <w:p w14:paraId="18522C30" w14:textId="77777777" w:rsidR="007B6848" w:rsidRPr="008467B6" w:rsidRDefault="007B6848" w:rsidP="007B6848">
      <w:r w:rsidRPr="008467B6">
        <w:tab/>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SDR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HDR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2</w:t>
      </w:r>
      <w:r w:rsidRPr="00980878">
        <w:fldChar w:fldCharType="end"/>
      </w:r>
      <w:r w:rsidRPr="008467B6">
        <w:t>)</w:t>
      </w:r>
    </w:p>
    <w:p w14:paraId="2375DCA5" w14:textId="77777777" w:rsidR="007B6848" w:rsidRPr="008467B6" w:rsidRDefault="007B6848" w:rsidP="007B6848">
      <w:pPr>
        <w:spacing w:after="120"/>
      </w:pPr>
      <w:r w:rsidRPr="008467B6">
        <w:tab/>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SDR</m:t>
            </m:r>
          </m:sub>
        </m:sSub>
        <m:r>
          <m:rPr>
            <m:sty m:val="p"/>
          </m:rPr>
          <w:rPr>
            <w:rFonts w:ascii="Cambria Math" w:eastAsia="Cambria Math" w:hAnsi="Cambria Math" w:cs="Cambria Math"/>
          </w:rPr>
          <m:t>=</m:t>
        </m:r>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HDR</m:t>
            </m:r>
          </m:sub>
        </m:sSub>
        <m:r>
          <m:rPr>
            <m:sty m:val="p"/>
          </m:rPr>
          <w:rPr>
            <w:rFonts w:ascii="Cambria Math" w:hAnsi="Cambria Math"/>
          </w:rPr>
          <m:t>]</m:t>
        </m:r>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3</w:t>
      </w:r>
      <w:r w:rsidRPr="00980878">
        <w:fldChar w:fldCharType="end"/>
      </w:r>
      <w:r w:rsidRPr="008467B6">
        <w:t>)</w:t>
      </w:r>
    </w:p>
    <w:p w14:paraId="7B9E6A0C" w14:textId="77777777" w:rsidR="007B6848" w:rsidRPr="008467B6" w:rsidRDefault="007B6848" w:rsidP="007B6848">
      <w:r w:rsidRPr="008467B6">
        <w:rPr>
          <w:lang w:eastAsia="zh-CN"/>
        </w:rPr>
        <w:lastRenderedPageBreak/>
        <w:t xml:space="preserve">In the </w:t>
      </w:r>
      <w:r w:rsidRPr="008467B6">
        <w:t xml:space="preserve">implementation illustrated in </w:t>
      </w:r>
      <w:r w:rsidRPr="00980878">
        <w:fldChar w:fldCharType="begin"/>
      </w:r>
      <w:r w:rsidRPr="008467B6">
        <w:instrText xml:space="preserve"> REF _Ref464723696 \h  \* MERGEFORMAT </w:instrText>
      </w:r>
      <w:r w:rsidRPr="00980878">
        <w:fldChar w:fldCharType="separate"/>
      </w:r>
      <w:r w:rsidRPr="008467B6">
        <w:rPr>
          <w:lang w:val="en-US"/>
        </w:rPr>
        <w:t>Figure </w:t>
      </w:r>
      <w:r>
        <w:rPr>
          <w:lang w:val="en-US"/>
        </w:rPr>
        <w:t>9</w:t>
      </w:r>
      <w:r>
        <w:rPr>
          <w:lang w:val="en-US"/>
        </w:rPr>
        <w:noBreakHyphen/>
        <w:t>3</w:t>
      </w:r>
      <w:r w:rsidRPr="00980878">
        <w:fldChar w:fldCharType="end"/>
      </w:r>
      <w:r w:rsidRPr="008467B6">
        <w:t>, the DRA operates in Y</w:t>
      </w:r>
      <w:r w:rsidRPr="008467B6">
        <w:sym w:font="Symbol" w:char="F0A2"/>
      </w:r>
      <w:r w:rsidRPr="008467B6">
        <w:t>CbCr 4:4:4 domain. The full CRI model can be used, involving three Pre-LUTs, three-by-three matrix, and three Post-LUTs. This may be applicable, when the use case requires an SDR backward compatibility to SDR BT.709 color primaries while the input HDR color primaries are BT.2020. The application of the matrix can be of use to help converting from one color representation to the other one. The SDR-to-HDR conversion achieved at post-processing stage applies to each luma and chroma samples Y</w:t>
      </w:r>
      <w:r w:rsidRPr="008467B6">
        <w:rPr>
          <w:vertAlign w:val="subscript"/>
        </w:rPr>
        <w:t>HDR</w:t>
      </w:r>
      <w:r w:rsidRPr="008467B6">
        <w:t>, U</w:t>
      </w:r>
      <w:r w:rsidRPr="008467B6">
        <w:rPr>
          <w:vertAlign w:val="subscript"/>
        </w:rPr>
        <w:t>HDR</w:t>
      </w:r>
      <w:r w:rsidRPr="008467B6">
        <w:t xml:space="preserve"> and V</w:t>
      </w:r>
      <w:r w:rsidRPr="008467B6">
        <w:rPr>
          <w:vertAlign w:val="subscript"/>
        </w:rPr>
        <w:t>HDR</w:t>
      </w:r>
      <w:r w:rsidRPr="008467B6">
        <w:t xml:space="preserve"> as follows:</w:t>
      </w:r>
    </w:p>
    <w:p w14:paraId="075752D6"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1</m:t>
                      </m:r>
                    </m:sub>
                  </m:sSub>
                </m:e>
              </m:mr>
            </m:m>
          </m:e>
        </m:d>
        <m:r>
          <w:rPr>
            <w:rFonts w:ascii="Cambria Math" w:eastAsia="Cambria Math" w:hAnsi="Cambria Math" w:cs="Cambria Math"/>
          </w:rPr>
          <m:t>=</m:t>
        </m:r>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HDR</m:t>
                      </m:r>
                    </m:sub>
                  </m:sSub>
                  <m:r>
                    <m:rPr>
                      <m:sty m:val="p"/>
                    </m:rPr>
                    <w:rPr>
                      <w:rFonts w:ascii="Cambria Math" w:hAnsi="Cambria Math"/>
                    </w:rPr>
                    <m:t>]</m:t>
                  </m:r>
                </m:e>
              </m:m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HDR</m:t>
                      </m:r>
                    </m:sub>
                  </m:sSub>
                  <m:r>
                    <m:rPr>
                      <m:sty m:val="p"/>
                    </m:rPr>
                    <w:rPr>
                      <w:rFonts w:ascii="Cambria Math" w:hAnsi="Cambria Math"/>
                    </w:rPr>
                    <m:t>]</m:t>
                  </m:r>
                </m:e>
              </m:mr>
              <m:mr>
                <m:e>
                  <m:sSub>
                    <m:sSubPr>
                      <m:ctrlPr>
                        <w:rPr>
                          <w:rFonts w:ascii="Cambria Math" w:hAnsi="Cambria Math"/>
                        </w:rPr>
                      </m:ctrlPr>
                    </m:sSubPr>
                    <m:e>
                      <m:r>
                        <m:rPr>
                          <m:sty m:val="p"/>
                        </m:rPr>
                        <w:rPr>
                          <w:rFonts w:ascii="Cambria Math" w:hAnsi="Cambria Math"/>
                        </w:rPr>
                        <m:t>PreLUT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HDR</m:t>
                      </m:r>
                    </m:sub>
                  </m:sSub>
                  <m:r>
                    <m:rPr>
                      <m:sty m:val="p"/>
                    </m:rPr>
                    <w:rPr>
                      <w:rFonts w:ascii="Cambria Math" w:hAnsi="Cambria Math"/>
                    </w:rPr>
                    <m:t>]</m:t>
                  </m:r>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4</w:t>
      </w:r>
      <w:r w:rsidRPr="00980878">
        <w:fldChar w:fldCharType="end"/>
      </w:r>
      <w:r w:rsidRPr="008467B6">
        <w:t>)</w:t>
      </w:r>
    </w:p>
    <w:p w14:paraId="3C11949D" w14:textId="77777777" w:rsidR="007B6848" w:rsidRPr="008467B6" w:rsidRDefault="007B6848" w:rsidP="007B6848">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2</m:t>
                      </m:r>
                    </m:sub>
                  </m:sSub>
                </m:e>
              </m:mr>
            </m:m>
          </m:e>
        </m:d>
        <m:r>
          <w:rPr>
            <w:rFonts w:ascii="Cambria Math" w:eastAsia="Cambria Math" w:hAnsi="Cambria Math" w:cs="Cambria Math"/>
          </w:rPr>
          <m:t>=</m:t>
        </m:r>
        <m:sSub>
          <m:sSubPr>
            <m:ctrlPr>
              <w:rPr>
                <w:rFonts w:ascii="Cambria Math" w:eastAsia="Cambria Math" w:hAnsi="Cambria Math" w:cs="Cambria Math"/>
              </w:rPr>
            </m:ctrlPr>
          </m:sSubPr>
          <m:e>
            <m:r>
              <m:rPr>
                <m:sty m:val="p"/>
              </m:rPr>
              <w:rPr>
                <w:rFonts w:ascii="Cambria Math" w:eastAsia="Cambria Math" w:hAnsi="Cambria Math" w:cs="Cambria Math"/>
              </w:rPr>
              <m:t>M</m:t>
            </m:r>
          </m:e>
          <m:sub>
            <m:r>
              <m:rPr>
                <m:sty m:val="p"/>
              </m:rPr>
              <w:rPr>
                <w:rFonts w:ascii="Cambria Math" w:eastAsia="Cambria Math" w:hAnsi="Cambria Math" w:cs="Cambria Math"/>
              </w:rPr>
              <m:t>3x3</m:t>
            </m:r>
          </m:sub>
        </m:sSub>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1</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1</m:t>
                      </m:r>
                    </m:sub>
                  </m:sSub>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5</w:t>
      </w:r>
      <w:r w:rsidRPr="00980878">
        <w:fldChar w:fldCharType="end"/>
      </w:r>
      <w:r w:rsidRPr="008467B6">
        <w:t>)</w:t>
      </w:r>
    </w:p>
    <w:p w14:paraId="097F1FB5" w14:textId="77777777" w:rsidR="007B6848" w:rsidRPr="008467B6" w:rsidRDefault="007B6848" w:rsidP="007B6848">
      <w:pPr>
        <w:rPr>
          <w:lang w:eastAsia="zh-CN"/>
        </w:rPr>
      </w:pPr>
      <w:r w:rsidRPr="008467B6">
        <w:tab/>
      </w:r>
      <m:oMath>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SDR</m:t>
                      </m:r>
                    </m:sub>
                  </m:sSub>
                </m:e>
              </m:mr>
              <m:m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SDR</m:t>
                      </m:r>
                    </m:sub>
                  </m:sSub>
                </m:e>
              </m:mr>
              <m:mr>
                <m:e>
                  <m:sSub>
                    <m:sSubPr>
                      <m:ctrlPr>
                        <w:rPr>
                          <w:rFonts w:ascii="Cambria Math" w:hAnsi="Cambria Math"/>
                        </w:rPr>
                      </m:ctrlPr>
                    </m:sSubPr>
                    <m:e>
                      <m:r>
                        <m:rPr>
                          <m:sty m:val="p"/>
                        </m:rPr>
                        <w:rPr>
                          <w:rFonts w:ascii="Cambria Math" w:hAnsi="Cambria Math"/>
                        </w:rPr>
                        <m:t>V</m:t>
                      </m:r>
                    </m:e>
                    <m:sub>
                      <m:r>
                        <m:rPr>
                          <m:sty m:val="p"/>
                        </m:rPr>
                        <w:rPr>
                          <w:rFonts w:ascii="Cambria Math" w:hAnsi="Cambria Math"/>
                        </w:rPr>
                        <m:t>SDR</m:t>
                      </m:r>
                    </m:sub>
                  </m:sSub>
                </m:e>
              </m:mr>
            </m:m>
          </m:e>
        </m:d>
        <m:r>
          <w:rPr>
            <w:rFonts w:ascii="Cambria Math" w:eastAsia="Cambria Math" w:hAnsi="Cambria Math" w:cs="Cambria Math"/>
          </w:rPr>
          <m:t>=</m:t>
        </m:r>
        <m:d>
          <m:dPr>
            <m:begChr m:val="["/>
            <m:endChr m:val="]"/>
            <m:ctrlPr>
              <w:rPr>
                <w:rFonts w:ascii="Cambria Math" w:hAnsi="Cambria Math"/>
                <w:i/>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0</m:t>
                          </m:r>
                        </m:sub>
                      </m:sSub>
                      <m:r>
                        <m:rPr>
                          <m:sty m:val="p"/>
                        </m:rPr>
                        <w:rPr>
                          <w:rFonts w:ascii="Cambria Math" w:hAnsi="Cambria Math"/>
                        </w:rPr>
                        <m:t>[Y</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1</m:t>
                          </m:r>
                        </m:sub>
                      </m:sSub>
                      <m:r>
                        <m:rPr>
                          <m:sty m:val="p"/>
                        </m:rPr>
                        <w:rPr>
                          <w:rFonts w:ascii="Cambria Math" w:hAnsi="Cambria Math"/>
                        </w:rPr>
                        <m:t>[U</m:t>
                      </m:r>
                    </m:e>
                    <m:sub>
                      <m:r>
                        <m:rPr>
                          <m:sty m:val="p"/>
                        </m:rPr>
                        <w:rPr>
                          <w:rFonts w:ascii="Cambria Math" w:hAnsi="Cambria Math"/>
                        </w:rPr>
                        <m:t>2</m:t>
                      </m:r>
                    </m:sub>
                  </m:sSub>
                  <m:r>
                    <m:rPr>
                      <m:sty m:val="p"/>
                    </m:rPr>
                    <w:rPr>
                      <w:rFonts w:ascii="Cambria Math" w:hAnsi="Cambria Math"/>
                    </w:rPr>
                    <m:t>]</m:t>
                  </m:r>
                </m:e>
              </m:mr>
              <m:m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PostLUT</m:t>
                          </m:r>
                        </m:e>
                        <m:sub>
                          <m:r>
                            <m:rPr>
                              <m:sty m:val="p"/>
                            </m:rPr>
                            <w:rPr>
                              <w:rFonts w:ascii="Cambria Math" w:hAnsi="Cambria Math"/>
                            </w:rPr>
                            <m:t>2</m:t>
                          </m:r>
                        </m:sub>
                      </m:sSub>
                      <m:r>
                        <m:rPr>
                          <m:sty m:val="p"/>
                        </m:rPr>
                        <w:rPr>
                          <w:rFonts w:ascii="Cambria Math" w:hAnsi="Cambria Math"/>
                        </w:rPr>
                        <m:t>[V</m:t>
                      </m:r>
                    </m:e>
                    <m:sub>
                      <m:r>
                        <m:rPr>
                          <m:sty m:val="p"/>
                        </m:rPr>
                        <w:rPr>
                          <w:rFonts w:ascii="Cambria Math" w:hAnsi="Cambria Math"/>
                        </w:rPr>
                        <m:t>2</m:t>
                      </m:r>
                    </m:sub>
                  </m:sSub>
                  <m:r>
                    <m:rPr>
                      <m:sty m:val="p"/>
                    </m:rPr>
                    <w:rPr>
                      <w:rFonts w:ascii="Cambria Math" w:hAnsi="Cambria Math"/>
                    </w:rPr>
                    <m:t>]</m:t>
                  </m:r>
                </m:e>
              </m:mr>
            </m:m>
          </m:e>
        </m:d>
      </m:oMath>
      <w:r w:rsidRPr="008467B6">
        <w:tab/>
      </w:r>
      <w:r w:rsidRPr="008467B6">
        <w:tab/>
        <w:t>(</w:t>
      </w:r>
      <w:r w:rsidRPr="00980878">
        <w:fldChar w:fldCharType="begin"/>
      </w:r>
      <w:r w:rsidRPr="008467B6">
        <w:instrText xml:space="preserve"> STYLEREF 1 \s </w:instrText>
      </w:r>
      <w:r w:rsidRPr="00980878">
        <w:fldChar w:fldCharType="separate"/>
      </w:r>
      <w:r>
        <w:rPr>
          <w:noProof/>
        </w:rPr>
        <w:t>9</w:t>
      </w:r>
      <w:r w:rsidRPr="00980878">
        <w:fldChar w:fldCharType="end"/>
      </w:r>
      <w:r w:rsidRPr="008467B6">
        <w:noBreakHyphen/>
      </w:r>
      <w:r w:rsidRPr="00980878">
        <w:fldChar w:fldCharType="begin"/>
      </w:r>
      <w:r w:rsidRPr="008467B6">
        <w:instrText xml:space="preserve"> SEQ Equation \* ARABIC \s 1 </w:instrText>
      </w:r>
      <w:r w:rsidRPr="00980878">
        <w:fldChar w:fldCharType="separate"/>
      </w:r>
      <w:r>
        <w:rPr>
          <w:noProof/>
        </w:rPr>
        <w:t>6</w:t>
      </w:r>
      <w:r w:rsidRPr="00980878">
        <w:fldChar w:fldCharType="end"/>
      </w:r>
      <w:r w:rsidRPr="008467B6">
        <w:t>)</w:t>
      </w:r>
    </w:p>
    <w:p w14:paraId="6CF01FF8" w14:textId="77777777" w:rsidR="007B6848" w:rsidRPr="008467B6" w:rsidRDefault="007B6848" w:rsidP="007B6848">
      <w:pPr>
        <w:rPr>
          <w:lang w:eastAsia="zh-CN"/>
        </w:rPr>
      </w:pPr>
      <w:r w:rsidRPr="008467B6">
        <w:rPr>
          <w:lang w:eastAsia="zh-CN"/>
        </w:rPr>
        <w:t>The following parameters of HEVC Main 10 bitstreams shall be specified to correctly display video on PQ10 compatible devices and to conduct a guided mapping from SDR to HDR with CRI post-processing.</w:t>
      </w:r>
    </w:p>
    <w:p w14:paraId="5307564B" w14:textId="77777777" w:rsidR="007B6848" w:rsidRPr="008467B6" w:rsidRDefault="007B6848" w:rsidP="007B6848">
      <w:pPr>
        <w:rPr>
          <w:lang w:eastAsia="zh-CN"/>
        </w:rPr>
      </w:pPr>
      <w:r w:rsidRPr="008467B6">
        <w:rPr>
          <w:lang w:eastAsia="zh-CN"/>
        </w:rPr>
        <w:t>Settings in VUI:</w:t>
      </w:r>
    </w:p>
    <w:p w14:paraId="5B8655FC"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transfer_characteristics </w:t>
      </w:r>
      <w:r w:rsidRPr="00980878">
        <w:tab/>
        <w:t>16 (BT.2100 PQ)</w:t>
      </w:r>
    </w:p>
    <w:p w14:paraId="4B9D7D1D"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colour_primaries</w:t>
      </w:r>
      <w:r w:rsidRPr="00980878">
        <w:tab/>
        <w:t>9 (BT.2020)</w:t>
      </w:r>
    </w:p>
    <w:p w14:paraId="73D58FD5"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matrix_coeffs </w:t>
      </w:r>
      <w:r w:rsidRPr="00980878">
        <w:tab/>
        <w:t>9 (BT.2020 NCL)</w:t>
      </w:r>
    </w:p>
    <w:p w14:paraId="62FBD776"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video_full_range_flag </w:t>
      </w:r>
      <w:r w:rsidRPr="00980878">
        <w:tab/>
        <w:t>0 (narrow range)</w:t>
      </w:r>
    </w:p>
    <w:p w14:paraId="7285B815" w14:textId="77777777" w:rsidR="007B6848" w:rsidRPr="008467B6" w:rsidRDefault="007B6848" w:rsidP="007B6848">
      <w:pPr>
        <w:rPr>
          <w:lang w:eastAsia="zh-CN"/>
        </w:rPr>
      </w:pPr>
      <w:r w:rsidRPr="008467B6">
        <w:rPr>
          <w:lang w:eastAsia="zh-CN"/>
        </w:rPr>
        <w:t>Settings in CRI:</w:t>
      </w:r>
    </w:p>
    <w:p w14:paraId="0EF40541"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colour_remap_video_signal_info_present_flag </w:t>
      </w:r>
      <w:r w:rsidRPr="00980878">
        <w:tab/>
        <w:t>1</w:t>
      </w:r>
    </w:p>
    <w:p w14:paraId="427A3966"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colour_remap_transfer_function </w:t>
      </w:r>
      <w:r w:rsidRPr="00980878">
        <w:tab/>
        <w:t>1, 6, 14 or 15 (SDR transfer function)</w:t>
      </w:r>
    </w:p>
    <w:p w14:paraId="65F8CD07"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colour_remap_full_range_flag</w:t>
      </w:r>
      <w:r w:rsidRPr="00980878">
        <w:tab/>
        <w:t>0</w:t>
      </w:r>
    </w:p>
    <w:p w14:paraId="14DE709E"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colour_remap_primaries</w:t>
      </w:r>
      <w:r w:rsidRPr="00980878">
        <w:tab/>
        <w:t>9 (if SDR target is BT.2020) or 1 (if SDR target is BT.709)</w:t>
      </w:r>
    </w:p>
    <w:p w14:paraId="34932688" w14:textId="77777777" w:rsidR="007B6848" w:rsidRPr="0098087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ind w:left="5040" w:hanging="4680"/>
        <w:textAlignment w:val="baseline"/>
      </w:pPr>
      <w:r w:rsidRPr="00980878">
        <w:t>colour_remap_matrix_coefficients</w:t>
      </w:r>
      <w:r w:rsidRPr="00980878">
        <w:tab/>
        <w:t xml:space="preserve">1 (if SDR target is BT.709 NCL) or 9 (if SDR target is BT.2020 NCL)  </w:t>
      </w:r>
    </w:p>
    <w:p w14:paraId="0C39EDAD" w14:textId="77777777" w:rsidR="007B6848" w:rsidRDefault="007B6848" w:rsidP="007B6848">
      <w:pPr>
        <w:pStyle w:val="ListParagraph"/>
        <w:numPr>
          <w:ilvl w:val="0"/>
          <w:numId w:val="10"/>
        </w:numPr>
        <w:tabs>
          <w:tab w:val="clear" w:pos="792"/>
          <w:tab w:val="clear" w:pos="1195"/>
          <w:tab w:val="clear" w:pos="1584"/>
          <w:tab w:val="clear" w:pos="1987"/>
          <w:tab w:val="clear" w:pos="4853"/>
          <w:tab w:val="clear" w:pos="9691"/>
          <w:tab w:val="left" w:pos="360"/>
          <w:tab w:val="left" w:pos="720"/>
          <w:tab w:val="left" w:pos="1080"/>
          <w:tab w:val="left" w:pos="1440"/>
          <w:tab w:val="left" w:pos="5040"/>
        </w:tabs>
        <w:overflowPunct w:val="0"/>
        <w:autoSpaceDE w:val="0"/>
        <w:autoSpaceDN w:val="0"/>
        <w:adjustRightInd w:val="0"/>
        <w:textAlignment w:val="baseline"/>
      </w:pPr>
      <w:r w:rsidRPr="00980878">
        <w:t xml:space="preserve">colour_remap_output_bit_depth </w:t>
      </w:r>
      <w:r w:rsidRPr="00980878">
        <w:tab/>
        <w:t>10</w:t>
      </w:r>
    </w:p>
    <w:p w14:paraId="255FB727" w14:textId="77777777" w:rsidR="007B6848" w:rsidRPr="008467B6" w:rsidRDefault="007B6848" w:rsidP="007B6848">
      <w:pPr>
        <w:tabs>
          <w:tab w:val="clear" w:pos="792"/>
          <w:tab w:val="clear" w:pos="1195"/>
          <w:tab w:val="clear" w:pos="1584"/>
          <w:tab w:val="clear" w:pos="1987"/>
          <w:tab w:val="clear" w:pos="4853"/>
          <w:tab w:val="clear" w:pos="9691"/>
        </w:tabs>
        <w:spacing w:before="0"/>
        <w:jc w:val="left"/>
      </w:pPr>
      <w:r>
        <w:br w:type="page"/>
      </w:r>
    </w:p>
    <w:p w14:paraId="64021A93" w14:textId="77777777" w:rsidR="007B6848" w:rsidRPr="00AC254C" w:rsidRDefault="007B6848" w:rsidP="007B6848">
      <w:pPr>
        <w:pStyle w:val="Heading1"/>
        <w:numPr>
          <w:ilvl w:val="0"/>
          <w:numId w:val="0"/>
        </w:numPr>
        <w:ind w:left="432" w:hanging="432"/>
        <w:jc w:val="center"/>
        <w:rPr>
          <w:sz w:val="32"/>
        </w:rPr>
      </w:pPr>
      <w:bookmarkStart w:id="246" w:name="_Toc452455863"/>
      <w:bookmarkStart w:id="247" w:name="_Toc454454610"/>
      <w:bookmarkStart w:id="248" w:name="_Toc467226128"/>
      <w:r w:rsidRPr="00AC254C">
        <w:rPr>
          <w:sz w:val="32"/>
        </w:rPr>
        <w:lastRenderedPageBreak/>
        <w:t>Bibliography</w:t>
      </w:r>
      <w:bookmarkEnd w:id="246"/>
      <w:bookmarkEnd w:id="247"/>
      <w:bookmarkEnd w:id="248"/>
    </w:p>
    <w:p w14:paraId="3FC25737" w14:textId="77777777" w:rsidR="007B6848" w:rsidRPr="008467B6" w:rsidRDefault="007B6848" w:rsidP="007B6848">
      <w:pPr>
        <w:pStyle w:val="Reftext"/>
        <w:numPr>
          <w:ilvl w:val="0"/>
          <w:numId w:val="7"/>
        </w:numPr>
        <w:rPr>
          <w:iCs/>
          <w:lang w:val="en-US"/>
        </w:rPr>
      </w:pPr>
      <w:r w:rsidRPr="008467B6">
        <w:rPr>
          <w:bCs/>
          <w:lang w:val="en-US"/>
        </w:rPr>
        <w:t xml:space="preserve">Technical Report </w:t>
      </w:r>
      <w:r w:rsidRPr="008467B6">
        <w:rPr>
          <w:iCs/>
          <w:lang w:val="en-US"/>
        </w:rPr>
        <w:t xml:space="preserve">ISO/IEC 23008-14 (2017), </w:t>
      </w:r>
      <w:r w:rsidRPr="008467B6">
        <w:rPr>
          <w:bCs/>
          <w:lang w:val="en-US"/>
        </w:rPr>
        <w:t xml:space="preserve">“Conversion and Coding Practices for HDR/WCG </w:t>
      </w:r>
      <w:r w:rsidRPr="008467B6">
        <w:rPr>
          <w:rFonts w:hint="eastAsia"/>
          <w:bCs/>
          <w:lang w:val="en-US"/>
        </w:rPr>
        <w:t>Y</w:t>
      </w:r>
      <w:r>
        <w:rPr>
          <w:rFonts w:cs="Arial"/>
          <w:noProof/>
        </w:rPr>
        <w:t>′</w:t>
      </w:r>
      <w:r w:rsidRPr="008467B6">
        <w:rPr>
          <w:rFonts w:hint="eastAsia"/>
          <w:bCs/>
          <w:lang w:val="en-US"/>
        </w:rPr>
        <w:t>CbCr</w:t>
      </w:r>
      <w:r w:rsidRPr="008467B6">
        <w:rPr>
          <w:bCs/>
          <w:lang w:val="en-US"/>
        </w:rPr>
        <w:t xml:space="preserve"> 4:2:0 Video with PQ Transfer Characteristics”</w:t>
      </w:r>
      <w:r w:rsidRPr="008467B6">
        <w:rPr>
          <w:lang w:val="en-US"/>
        </w:rPr>
        <w:t>.</w:t>
      </w:r>
    </w:p>
    <w:p w14:paraId="1D989C58" w14:textId="77777777" w:rsidR="007B6848" w:rsidRPr="008467B6" w:rsidRDefault="007B6848" w:rsidP="007B6848">
      <w:pPr>
        <w:pStyle w:val="Reftext"/>
        <w:numPr>
          <w:ilvl w:val="0"/>
          <w:numId w:val="7"/>
        </w:numPr>
        <w:rPr>
          <w:iCs/>
          <w:lang w:val="en-US"/>
        </w:rPr>
      </w:pPr>
      <w:bookmarkStart w:id="249" w:name="_Ref461013792"/>
      <w:r w:rsidRPr="008467B6">
        <w:rPr>
          <w:iCs/>
          <w:lang w:val="en-US"/>
        </w:rPr>
        <w:t>Recommendation ITU-R BT.2100 (2016), “Image parameter values for high dynamic range television for use in production and international programme exchange”.</w:t>
      </w:r>
      <w:bookmarkEnd w:id="249"/>
    </w:p>
    <w:p w14:paraId="02B29AC3" w14:textId="77777777" w:rsidR="007B6848" w:rsidRPr="008467B6" w:rsidRDefault="007B6848" w:rsidP="007B6848">
      <w:pPr>
        <w:pStyle w:val="Reftext"/>
        <w:numPr>
          <w:ilvl w:val="0"/>
          <w:numId w:val="7"/>
        </w:numPr>
        <w:rPr>
          <w:iCs/>
          <w:lang w:val="en-US"/>
        </w:rPr>
      </w:pPr>
      <w:bookmarkStart w:id="250" w:name="_Ref461013904"/>
      <w:r w:rsidRPr="008467B6">
        <w:rPr>
          <w:iCs/>
          <w:lang w:val="en-US"/>
        </w:rPr>
        <w:t>Recommendation ITU-R BT.2020-2 (2015), “Parameter values for ultra-high definition television systems for production and international programme exchange”.</w:t>
      </w:r>
      <w:bookmarkEnd w:id="250"/>
    </w:p>
    <w:p w14:paraId="18E7E68F" w14:textId="77777777" w:rsidR="007B6848" w:rsidRPr="008467B6" w:rsidRDefault="007B6848" w:rsidP="007B6848">
      <w:pPr>
        <w:pStyle w:val="Reftext"/>
        <w:numPr>
          <w:ilvl w:val="0"/>
          <w:numId w:val="7"/>
        </w:numPr>
        <w:rPr>
          <w:lang w:val="en-US"/>
        </w:rPr>
      </w:pPr>
      <w:r w:rsidRPr="008467B6">
        <w:rPr>
          <w:iCs/>
          <w:lang w:val="en-US"/>
        </w:rPr>
        <w:t>Recommendation ISO/IEC 23008-2 (2015), “Information technology -- High efficiency coding and media delivery in heterogeneous environments -- Part 2: High efficiency video coding”</w:t>
      </w:r>
      <w:r w:rsidRPr="008467B6">
        <w:rPr>
          <w:i/>
          <w:lang w:val="en-US"/>
        </w:rPr>
        <w:t>.</w:t>
      </w:r>
    </w:p>
    <w:p w14:paraId="1384CCE1" w14:textId="77777777" w:rsidR="007B6848" w:rsidRPr="00AC254C" w:rsidRDefault="007B6848" w:rsidP="007B6848">
      <w:pPr>
        <w:pStyle w:val="Reftext"/>
        <w:numPr>
          <w:ilvl w:val="0"/>
          <w:numId w:val="7"/>
        </w:numPr>
        <w:rPr>
          <w:lang w:val="en-US"/>
        </w:rPr>
      </w:pPr>
      <w:bookmarkStart w:id="251" w:name="_Ref464312482"/>
      <w:r w:rsidRPr="008467B6">
        <w:rPr>
          <w:lang w:val="en-US"/>
        </w:rPr>
        <w:t>Recommendation ITU-T H.265 (V3) (2015), “</w:t>
      </w:r>
      <w:r w:rsidRPr="008467B6">
        <w:rPr>
          <w:iCs/>
          <w:lang w:val="en-US"/>
        </w:rPr>
        <w:t>High Efficiency Video Coding”.</w:t>
      </w:r>
      <w:bookmarkEnd w:id="251"/>
    </w:p>
    <w:p w14:paraId="68B47E72" w14:textId="77777777" w:rsidR="007B6848" w:rsidRPr="008467B6" w:rsidRDefault="007B6848" w:rsidP="007B6848">
      <w:pPr>
        <w:pStyle w:val="Reftext"/>
        <w:numPr>
          <w:ilvl w:val="0"/>
          <w:numId w:val="7"/>
        </w:numPr>
        <w:rPr>
          <w:lang w:val="en-US"/>
        </w:rPr>
      </w:pPr>
      <w:bookmarkStart w:id="252" w:name="_Ref467236857"/>
      <w:r w:rsidRPr="008467B6">
        <w:rPr>
          <w:lang w:val="en-US"/>
        </w:rPr>
        <w:t>Recommendation ISO/IEC 14496-10 (2014), “Information technology -- Coding of audio-visual objects -- Part 10: Advanced Video Coding”.</w:t>
      </w:r>
      <w:bookmarkEnd w:id="252"/>
    </w:p>
    <w:p w14:paraId="6F63C9C8" w14:textId="77777777" w:rsidR="007B6848" w:rsidRDefault="007B6848" w:rsidP="007B6848">
      <w:pPr>
        <w:pStyle w:val="Reftext"/>
        <w:numPr>
          <w:ilvl w:val="0"/>
          <w:numId w:val="7"/>
        </w:numPr>
        <w:rPr>
          <w:lang w:val="en-US"/>
        </w:rPr>
      </w:pPr>
      <w:bookmarkStart w:id="253" w:name="_Ref467236864"/>
      <w:r w:rsidRPr="008467B6">
        <w:rPr>
          <w:lang w:val="en-US"/>
        </w:rPr>
        <w:t xml:space="preserve">Recommendation ITU-T H.264 (V10) (2015), </w:t>
      </w:r>
      <w:r w:rsidRPr="008467B6">
        <w:rPr>
          <w:iCs/>
          <w:lang w:val="en-US"/>
        </w:rPr>
        <w:t>Advanced video coding for generic audiovisual services</w:t>
      </w:r>
      <w:r w:rsidRPr="008467B6">
        <w:rPr>
          <w:lang w:val="en-US"/>
        </w:rPr>
        <w:t>.</w:t>
      </w:r>
      <w:bookmarkEnd w:id="253"/>
    </w:p>
    <w:p w14:paraId="6240ECD9" w14:textId="77777777" w:rsidR="007B6848" w:rsidRPr="008467B6" w:rsidRDefault="007B6848" w:rsidP="007B6848">
      <w:pPr>
        <w:pStyle w:val="Reftext"/>
        <w:numPr>
          <w:ilvl w:val="0"/>
          <w:numId w:val="7"/>
        </w:numPr>
        <w:rPr>
          <w:lang w:val="en-US"/>
        </w:rPr>
      </w:pPr>
      <w:bookmarkStart w:id="254" w:name="_Ref467237186"/>
      <w:r w:rsidRPr="008467B6">
        <w:rPr>
          <w:lang w:val="en-US"/>
        </w:rPr>
        <w:t>Report ITU-R BT. 2390-0 (2016), High dynamic range television for production and international programme exchange.</w:t>
      </w:r>
      <w:bookmarkEnd w:id="254"/>
    </w:p>
    <w:p w14:paraId="6FCB2FF3" w14:textId="77777777" w:rsidR="007B6848" w:rsidRPr="008467B6" w:rsidRDefault="007B6848" w:rsidP="007B6848">
      <w:pPr>
        <w:pStyle w:val="Reftext"/>
        <w:numPr>
          <w:ilvl w:val="0"/>
          <w:numId w:val="7"/>
        </w:numPr>
        <w:rPr>
          <w:lang w:val="en-US"/>
        </w:rPr>
      </w:pPr>
      <w:bookmarkStart w:id="255" w:name="_Ref467237320"/>
      <w:r w:rsidRPr="008467B6">
        <w:rPr>
          <w:lang w:val="en-US"/>
        </w:rPr>
        <w:t>Recommendation ETSI TS 103 433 (2016), High-Performance Single Layer Directly Standard Dynamic Range (SDR) Compatible High Dynamic Range (HDR) System for use in Consumer Electronics devices (SL-HDR1).</w:t>
      </w:r>
      <w:bookmarkEnd w:id="255"/>
    </w:p>
    <w:p w14:paraId="60FB656D" w14:textId="77777777" w:rsidR="007B6848" w:rsidRPr="008467B6" w:rsidRDefault="007B6848" w:rsidP="007B6848">
      <w:pPr>
        <w:pStyle w:val="Reftext"/>
        <w:numPr>
          <w:ilvl w:val="0"/>
          <w:numId w:val="7"/>
        </w:numPr>
        <w:rPr>
          <w:lang w:val="en-US"/>
        </w:rPr>
      </w:pPr>
      <w:bookmarkStart w:id="256" w:name="_Ref467237396"/>
      <w:r w:rsidRPr="008467B6">
        <w:rPr>
          <w:lang w:val="en-US"/>
        </w:rPr>
        <w:t>Society of Motion Picture and Television Engineers ST 2094-1 (2016), "Dynamic Metadata for Color Volume Transform – Core Components".</w:t>
      </w:r>
      <w:bookmarkEnd w:id="256"/>
    </w:p>
    <w:p w14:paraId="276EF305" w14:textId="77777777" w:rsidR="007B6848" w:rsidRPr="008467B6" w:rsidRDefault="007B6848" w:rsidP="007B6848">
      <w:pPr>
        <w:pStyle w:val="Reftext"/>
        <w:numPr>
          <w:ilvl w:val="0"/>
          <w:numId w:val="7"/>
        </w:numPr>
        <w:rPr>
          <w:lang w:val="en-US"/>
        </w:rPr>
      </w:pPr>
      <w:bookmarkStart w:id="257" w:name="_Ref467237054"/>
      <w:r w:rsidRPr="008467B6">
        <w:rPr>
          <w:lang w:val="en-US"/>
        </w:rPr>
        <w:t>ISO 11664-1: in force, Colorimetry – Part 1: CIE standard colorimetric observers.</w:t>
      </w:r>
      <w:bookmarkEnd w:id="257"/>
      <w:r w:rsidRPr="008467B6">
        <w:rPr>
          <w:lang w:val="en-US"/>
        </w:rPr>
        <w:t xml:space="preserve"> </w:t>
      </w:r>
    </w:p>
    <w:p w14:paraId="666DDA49" w14:textId="77777777" w:rsidR="007B6848" w:rsidRPr="008467B6" w:rsidRDefault="007B6848" w:rsidP="007B6848">
      <w:pPr>
        <w:pStyle w:val="Reftext"/>
        <w:numPr>
          <w:ilvl w:val="0"/>
          <w:numId w:val="7"/>
        </w:numPr>
        <w:rPr>
          <w:lang w:val="en-US"/>
        </w:rPr>
      </w:pPr>
      <w:bookmarkStart w:id="258" w:name="_Ref467237069"/>
      <w:r w:rsidRPr="008467B6">
        <w:rPr>
          <w:lang w:val="en-US"/>
        </w:rPr>
        <w:t>Society of Motion Picture and Television Engineers ST 2086 (2014), Mastering Display Color Volume Metadata for High Luminance and Wide Color Gamut Images.</w:t>
      </w:r>
      <w:bookmarkEnd w:id="258"/>
    </w:p>
    <w:p w14:paraId="1F5C09B3" w14:textId="77777777" w:rsidR="007B6848" w:rsidRPr="008467B6" w:rsidRDefault="007B6848" w:rsidP="007B6848">
      <w:pPr>
        <w:pStyle w:val="Reftext"/>
        <w:numPr>
          <w:ilvl w:val="0"/>
          <w:numId w:val="7"/>
        </w:numPr>
        <w:rPr>
          <w:lang w:val="en-US"/>
        </w:rPr>
      </w:pPr>
      <w:bookmarkStart w:id="259" w:name="_Ref467238030"/>
      <w:r w:rsidRPr="008467B6">
        <w:rPr>
          <w:lang w:val="en-US"/>
        </w:rPr>
        <w:t>Society of Motion Picture and Television Engineers ST 2084 (2014), Electro-Optical Transfer Function for High Dynamic Range Reference Display.</w:t>
      </w:r>
      <w:bookmarkEnd w:id="259"/>
    </w:p>
    <w:p w14:paraId="28ECD013" w14:textId="77777777" w:rsidR="007B6848" w:rsidRDefault="007B6848" w:rsidP="007B6848">
      <w:pPr>
        <w:pStyle w:val="Reftext"/>
        <w:numPr>
          <w:ilvl w:val="0"/>
          <w:numId w:val="7"/>
        </w:numPr>
        <w:rPr>
          <w:lang w:val="en-US"/>
        </w:rPr>
      </w:pPr>
      <w:bookmarkStart w:id="260" w:name="_Ref467237097"/>
      <w:r w:rsidRPr="008467B6">
        <w:rPr>
          <w:lang w:val="en-US"/>
        </w:rPr>
        <w:t xml:space="preserve">CEA-861.3 (2015), HDR Static Metadata Extensions, </w:t>
      </w:r>
      <w:hyperlink r:id="rId43" w:history="1">
        <w:r w:rsidRPr="008467B6">
          <w:rPr>
            <w:rStyle w:val="Hyperlink"/>
            <w:lang w:val="en-US"/>
          </w:rPr>
          <w:t>https://standards.cta.tech/kwspub/published_docs/CEA-861.3-Preview.pdf</w:t>
        </w:r>
      </w:hyperlink>
      <w:r w:rsidRPr="008467B6">
        <w:rPr>
          <w:lang w:val="en-US"/>
        </w:rPr>
        <w:t>.</w:t>
      </w:r>
      <w:bookmarkEnd w:id="260"/>
    </w:p>
    <w:p w14:paraId="1FF73DA6" w14:textId="77777777" w:rsidR="007B6848" w:rsidRDefault="007B6848" w:rsidP="007B6848">
      <w:pPr>
        <w:pStyle w:val="Reftext"/>
        <w:numPr>
          <w:ilvl w:val="0"/>
          <w:numId w:val="7"/>
        </w:numPr>
        <w:rPr>
          <w:lang w:val="en-US"/>
        </w:rPr>
      </w:pPr>
      <w:bookmarkStart w:id="261" w:name="_Ref467225640"/>
      <w:r w:rsidRPr="004B525F">
        <w:rPr>
          <w:rStyle w:val="Hyperlink"/>
          <w:color w:val="auto"/>
          <w:u w:val="none"/>
        </w:rPr>
        <w:t>R. Joshi, S. Liu, G. J. Sullivan, Y.-K. Wang, J. Xu, Y. Ye (editors)</w:t>
      </w:r>
      <w:r>
        <w:rPr>
          <w:rStyle w:val="Hyperlink"/>
          <w:color w:val="auto"/>
          <w:u w:val="none"/>
        </w:rPr>
        <w:t>, “</w:t>
      </w:r>
      <w:r w:rsidRPr="004B525F">
        <w:rPr>
          <w:rStyle w:val="Hyperlink"/>
          <w:color w:val="auto"/>
          <w:u w:val="none"/>
        </w:rPr>
        <w:t>HEVC Scr</w:t>
      </w:r>
      <w:r>
        <w:rPr>
          <w:rStyle w:val="Hyperlink"/>
          <w:color w:val="auto"/>
          <w:u w:val="none"/>
        </w:rPr>
        <w:t xml:space="preserve">een Content Coding Draft Text 6”, </w:t>
      </w:r>
      <w:r w:rsidRPr="008467B6">
        <w:t>2</w:t>
      </w:r>
      <w:r>
        <w:t>3</w:t>
      </w:r>
      <w:r w:rsidRPr="008467B6">
        <w:rPr>
          <w:vertAlign w:val="superscript"/>
        </w:rPr>
        <w:t>th</w:t>
      </w:r>
      <w:r w:rsidRPr="008467B6">
        <w:t xml:space="preserve"> JCTV</w:t>
      </w:r>
      <w:r>
        <w:t>C meeting, San Diego, USA, February 2016.</w:t>
      </w:r>
      <w:bookmarkEnd w:id="261"/>
    </w:p>
    <w:p w14:paraId="6B04CD7D" w14:textId="77777777" w:rsidR="007B6848" w:rsidRPr="008467B6" w:rsidRDefault="007B6848" w:rsidP="007B6848">
      <w:pPr>
        <w:pStyle w:val="Reftext"/>
        <w:numPr>
          <w:ilvl w:val="0"/>
          <w:numId w:val="7"/>
        </w:numPr>
        <w:rPr>
          <w:lang w:val="en-US"/>
        </w:rPr>
      </w:pPr>
      <w:bookmarkStart w:id="262" w:name="_Ref467237376"/>
      <w:r w:rsidRPr="008467B6">
        <w:rPr>
          <w:lang w:val="en-US"/>
        </w:rPr>
        <w:t>J. M. Boyce, Y. Ye, A. K. Ramasubramonian (2015), Overview of SHVC: Scalable Extensions of the High Efficiency Video Coding Standard, IEEE TCSVT, Vol. 26, Issue 1, pp 20-34, July 2015.</w:t>
      </w:r>
      <w:bookmarkEnd w:id="262"/>
    </w:p>
    <w:p w14:paraId="324C197D" w14:textId="77777777" w:rsidR="007B6848" w:rsidRPr="008467B6" w:rsidRDefault="007B6848" w:rsidP="007B6848">
      <w:pPr>
        <w:pStyle w:val="Reftext"/>
        <w:numPr>
          <w:ilvl w:val="0"/>
          <w:numId w:val="7"/>
        </w:numPr>
        <w:rPr>
          <w:lang w:val="en-US"/>
        </w:rPr>
      </w:pPr>
      <w:bookmarkStart w:id="263" w:name="_Ref324152636"/>
      <w:r w:rsidRPr="008467B6">
        <w:rPr>
          <w:lang w:val="en-US"/>
        </w:rPr>
        <w:t>P. Bordes, P. Andrivon, X. Li, Y. Ye (2016), Overview of Color Gamut Scalability, IEEE TCSVT, March 2016.</w:t>
      </w:r>
      <w:bookmarkEnd w:id="263"/>
    </w:p>
    <w:p w14:paraId="2C7AAB99" w14:textId="77777777" w:rsidR="007B6848" w:rsidRPr="008467B6" w:rsidRDefault="007B6848" w:rsidP="007B6848">
      <w:pPr>
        <w:pStyle w:val="Reftext"/>
        <w:numPr>
          <w:ilvl w:val="0"/>
          <w:numId w:val="7"/>
        </w:numPr>
        <w:rPr>
          <w:lang w:val="en-US"/>
        </w:rPr>
      </w:pPr>
      <w:r w:rsidRPr="008467B6">
        <w:rPr>
          <w:lang w:val="en-US"/>
        </w:rPr>
        <w:t>Y. Ye, V. Baroncini, Y.-K. Wang (2016), “Verification Test Report for Scalable HEVC (SHVC)”, JCTVC-W1004, 23</w:t>
      </w:r>
      <w:r w:rsidRPr="008467B6">
        <w:rPr>
          <w:vertAlign w:val="superscript"/>
          <w:lang w:val="en-US"/>
        </w:rPr>
        <w:t>rd</w:t>
      </w:r>
      <w:r w:rsidRPr="008467B6">
        <w:rPr>
          <w:lang w:val="en-US"/>
        </w:rPr>
        <w:t xml:space="preserve"> JCTVC meeting, San Diego, CA, USA, Feb 2016</w:t>
      </w:r>
      <w:r w:rsidRPr="008467B6">
        <w:rPr>
          <w:i/>
          <w:lang w:val="en-US"/>
        </w:rPr>
        <w:t>.</w:t>
      </w:r>
    </w:p>
    <w:p w14:paraId="7915E897" w14:textId="77777777" w:rsidR="007B6848" w:rsidRPr="008467B6" w:rsidRDefault="007B6848" w:rsidP="007B6848">
      <w:pPr>
        <w:pStyle w:val="Reftext"/>
        <w:numPr>
          <w:ilvl w:val="0"/>
          <w:numId w:val="7"/>
        </w:numPr>
        <w:rPr>
          <w:lang w:val="en-US"/>
        </w:rPr>
      </w:pPr>
      <w:r w:rsidRPr="008467B6">
        <w:rPr>
          <w:lang w:val="en-US"/>
        </w:rPr>
        <w:t>V. Baroncini, W. Husak, A. K. Ramasubramonian, J. Sole, G. J. Sullivan, Y.-K. Wang, Y. Ye (2016), “SHVC Supplemental Verification Test Report”, JCTVC-X1004, 24</w:t>
      </w:r>
      <w:r w:rsidRPr="008467B6">
        <w:rPr>
          <w:vertAlign w:val="superscript"/>
          <w:lang w:val="en-US"/>
        </w:rPr>
        <w:t>th</w:t>
      </w:r>
      <w:r w:rsidRPr="008467B6">
        <w:rPr>
          <w:lang w:val="en-US"/>
        </w:rPr>
        <w:t xml:space="preserve"> JCTVC meeting, Geneva, CH, May 2016</w:t>
      </w:r>
      <w:r w:rsidRPr="008467B6">
        <w:rPr>
          <w:i/>
          <w:iCs/>
          <w:lang w:val="en-US"/>
        </w:rPr>
        <w:t>.</w:t>
      </w:r>
    </w:p>
    <w:p w14:paraId="5888EB28" w14:textId="77777777" w:rsidR="007B6848" w:rsidRPr="008467B6" w:rsidRDefault="007B6848" w:rsidP="007B6848">
      <w:pPr>
        <w:pStyle w:val="Reftext"/>
        <w:numPr>
          <w:ilvl w:val="0"/>
          <w:numId w:val="7"/>
        </w:numPr>
        <w:rPr>
          <w:lang w:val="en-US"/>
        </w:rPr>
      </w:pPr>
      <w:bookmarkStart w:id="264" w:name="_Ref465328414"/>
      <w:r w:rsidRPr="008467B6">
        <w:rPr>
          <w:lang w:val="en-US"/>
        </w:rPr>
        <w:t>F. Pu, T. Lu, P. Yin, T. Chen, W. Husak (2016), “AHG13: IC</w:t>
      </w:r>
      <w:r w:rsidRPr="008467B6">
        <w:rPr>
          <w:vertAlign w:val="subscript"/>
          <w:lang w:val="en-US"/>
        </w:rPr>
        <w:t>T</w:t>
      </w:r>
      <w:r w:rsidRPr="008467B6">
        <w:rPr>
          <w:lang w:val="en-US"/>
        </w:rPr>
        <w:t>C</w:t>
      </w:r>
      <w:r w:rsidRPr="008467B6">
        <w:rPr>
          <w:vertAlign w:val="subscript"/>
          <w:lang w:val="en-US"/>
        </w:rPr>
        <w:t>P</w:t>
      </w:r>
      <w:r w:rsidRPr="008467B6">
        <w:rPr>
          <w:lang w:val="en-US"/>
        </w:rPr>
        <w:t xml:space="preserve"> Compression Using HEVC Main 10”, JCTVC-X0050, 24</w:t>
      </w:r>
      <w:r w:rsidRPr="008467B6">
        <w:rPr>
          <w:vertAlign w:val="superscript"/>
          <w:lang w:val="en-US"/>
        </w:rPr>
        <w:t>th</w:t>
      </w:r>
      <w:r w:rsidRPr="008467B6">
        <w:rPr>
          <w:lang w:val="en-US"/>
        </w:rPr>
        <w:t xml:space="preserve"> JCTVC meeting, Geneva, CH, May 2016.</w:t>
      </w:r>
      <w:bookmarkEnd w:id="264"/>
    </w:p>
    <w:p w14:paraId="17B23294" w14:textId="77777777" w:rsidR="007B6848" w:rsidRPr="008467B6" w:rsidRDefault="007B6848" w:rsidP="007B6848">
      <w:pPr>
        <w:pStyle w:val="Reftext"/>
        <w:numPr>
          <w:ilvl w:val="0"/>
          <w:numId w:val="7"/>
        </w:numPr>
      </w:pPr>
      <w:bookmarkStart w:id="265" w:name="_Ref465410560"/>
      <w:r w:rsidRPr="008467B6">
        <w:t xml:space="preserve">T. Borer, A. Cotton (2015), “A “Display Independent High Dynamic Range Television System,” BBC Research and Development white paper, WHP 309, Sept 2015, </w:t>
      </w:r>
      <w:hyperlink r:id="rId44" w:history="1">
        <w:r w:rsidRPr="008467B6">
          <w:rPr>
            <w:rStyle w:val="Hyperlink"/>
          </w:rPr>
          <w:t>http://downloads.bbc.co.uk/rd/pubs/whp/whp-pdf-files/WHP309.pdf</w:t>
        </w:r>
      </w:hyperlink>
      <w:r w:rsidRPr="008467B6">
        <w:t>.</w:t>
      </w:r>
      <w:bookmarkEnd w:id="265"/>
      <w:r w:rsidRPr="008467B6">
        <w:t xml:space="preserve"> </w:t>
      </w:r>
    </w:p>
    <w:p w14:paraId="2A4B1176" w14:textId="77777777" w:rsidR="007B6848" w:rsidRPr="00C27FC9" w:rsidRDefault="007B6848" w:rsidP="007B6848">
      <w:pPr>
        <w:pStyle w:val="ListParagraph"/>
        <w:numPr>
          <w:ilvl w:val="0"/>
          <w:numId w:val="7"/>
        </w:numPr>
        <w:rPr>
          <w:rStyle w:val="Hyperlink"/>
          <w:color w:val="auto"/>
          <w:u w:val="none"/>
        </w:rPr>
      </w:pPr>
      <w:bookmarkStart w:id="266" w:name="_Ref466382517"/>
      <w:r w:rsidRPr="008467B6">
        <w:t xml:space="preserve">M. Zink, M. D. Smith (2015), “Managing HDR content production and display device capabilities”, IBC 2015 Conference, Sept 2015, </w:t>
      </w:r>
      <w:r w:rsidRPr="008467B6">
        <w:br/>
      </w:r>
      <w:hyperlink r:id="rId45" w:history="1">
        <w:r w:rsidRPr="008467B6">
          <w:rPr>
            <w:rStyle w:val="Hyperlink"/>
          </w:rPr>
          <w:t>http://www.ibc.org/__media/PDF/michael_zink_managing_hdr_content_production_and_display_device_capabilities.pdf</w:t>
        </w:r>
      </w:hyperlink>
      <w:bookmarkEnd w:id="266"/>
      <w:r w:rsidRPr="008467B6">
        <w:rPr>
          <w:rStyle w:val="Hyperlink"/>
        </w:rPr>
        <w:t>.</w:t>
      </w:r>
    </w:p>
    <w:p w14:paraId="1CE9B077" w14:textId="77777777" w:rsidR="007B6848" w:rsidRPr="00C27FC9" w:rsidRDefault="007B6848" w:rsidP="007B6848">
      <w:pPr>
        <w:pStyle w:val="Reftext"/>
        <w:numPr>
          <w:ilvl w:val="0"/>
          <w:numId w:val="7"/>
        </w:numPr>
      </w:pPr>
      <w:bookmarkStart w:id="267" w:name="_Ref467237358"/>
      <w:r>
        <w:rPr>
          <w:rStyle w:val="Hyperlink"/>
          <w:color w:val="auto"/>
          <w:u w:val="none"/>
        </w:rPr>
        <w:t xml:space="preserve">P. Topiwala, W. Dai, M. Krishnan, “AHG14: Tone Mapping and Related SEIs for HDR Coding,” JCTVC-Y0042, </w:t>
      </w:r>
      <w:r>
        <w:t>25th JCTVC Meeting,</w:t>
      </w:r>
      <w:r w:rsidRPr="00B648F1">
        <w:t xml:space="preserve"> </w:t>
      </w:r>
      <w:r>
        <w:rPr>
          <w:lang w:val="en-CA"/>
        </w:rPr>
        <w:t>Chengdu</w:t>
      </w:r>
      <w:r w:rsidRPr="00657F7E">
        <w:rPr>
          <w:lang w:val="en-CA"/>
        </w:rPr>
        <w:t xml:space="preserve">, </w:t>
      </w:r>
      <w:r>
        <w:rPr>
          <w:lang w:val="en-CA"/>
        </w:rPr>
        <w:t>CN</w:t>
      </w:r>
      <w:r w:rsidRPr="00657F7E">
        <w:rPr>
          <w:lang w:val="en-CA"/>
        </w:rPr>
        <w:t xml:space="preserve">, </w:t>
      </w:r>
      <w:r>
        <w:rPr>
          <w:lang w:val="en-CA"/>
        </w:rPr>
        <w:t>October</w:t>
      </w:r>
      <w:r w:rsidRPr="00657F7E">
        <w:rPr>
          <w:lang w:val="en-CA"/>
        </w:rPr>
        <w:t xml:space="preserve"> 2016</w:t>
      </w:r>
      <w:r>
        <w:rPr>
          <w:lang w:val="en-CA"/>
        </w:rPr>
        <w:t>.</w:t>
      </w:r>
      <w:bookmarkEnd w:id="267"/>
    </w:p>
    <w:p w14:paraId="4C237B7A" w14:textId="77777777" w:rsidR="007B6848" w:rsidRDefault="007B6848" w:rsidP="007B6848">
      <w:pPr>
        <w:pStyle w:val="ListParagraph"/>
        <w:numPr>
          <w:ilvl w:val="0"/>
          <w:numId w:val="7"/>
        </w:numPr>
      </w:pPr>
      <w:bookmarkStart w:id="268" w:name="_Ref467061641"/>
      <w:r w:rsidRPr="00806B73">
        <w:lastRenderedPageBreak/>
        <w:t>F. Pu, T. Lu, P. Yin, T. Chen, W. Husak</w:t>
      </w:r>
      <w:r>
        <w:t xml:space="preserve"> (2016), “</w:t>
      </w:r>
      <w:r w:rsidRPr="00883F53">
        <w:t>AHG13: on Luma Adjustment</w:t>
      </w:r>
      <w:r>
        <w:t xml:space="preserve">”, JCTVC-X0043, </w:t>
      </w:r>
      <w:r w:rsidRPr="008467B6">
        <w:t>24</w:t>
      </w:r>
      <w:r w:rsidRPr="008467B6">
        <w:rPr>
          <w:vertAlign w:val="superscript"/>
        </w:rPr>
        <w:t>th</w:t>
      </w:r>
      <w:r w:rsidRPr="008467B6">
        <w:t xml:space="preserve"> JCTV</w:t>
      </w:r>
      <w:r>
        <w:t>C meeting, Geneva, CH, May 2016.</w:t>
      </w:r>
      <w:bookmarkEnd w:id="268"/>
    </w:p>
    <w:p w14:paraId="0844E4A5" w14:textId="77777777" w:rsidR="007B6848" w:rsidRPr="008467B6" w:rsidRDefault="007B6848" w:rsidP="007B6848">
      <w:pPr>
        <w:ind w:left="360"/>
      </w:pPr>
    </w:p>
    <w:sectPr w:rsidR="007B6848" w:rsidRPr="008467B6" w:rsidSect="00A464EA">
      <w:headerReference w:type="even" r:id="rId46"/>
      <w:headerReference w:type="default" r:id="rId47"/>
      <w:footerReference w:type="even" r:id="rId48"/>
      <w:footerReference w:type="default" r:id="rId49"/>
      <w:headerReference w:type="first" r:id="rId50"/>
      <w:footerReference w:type="first" r:id="rId51"/>
      <w:pgSz w:w="12240" w:h="15840" w:code="1"/>
      <w:pgMar w:top="1094" w:right="1094" w:bottom="1094" w:left="1094" w:header="475" w:footer="475"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1AD935" w14:textId="77777777" w:rsidR="007B060B" w:rsidRDefault="007B060B">
      <w:r>
        <w:separator/>
      </w:r>
    </w:p>
  </w:endnote>
  <w:endnote w:type="continuationSeparator" w:id="0">
    <w:p w14:paraId="289E55A1" w14:textId="77777777" w:rsidR="007B060B" w:rsidRDefault="007B06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Palatino">
    <w:charset w:val="00"/>
    <w:family w:val="auto"/>
    <w:pitch w:val="variable"/>
    <w:sig w:usb0="A00002FF" w:usb1="7800205A" w:usb2="14600000" w:usb3="00000000" w:csb0="00000193" w:csb1="00000000"/>
  </w:font>
  <w:font w:name="Batang">
    <w:altName w:val="Malgun Gothic"/>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Mincho"/>
    <w:panose1 w:val="02020400000000000000"/>
    <w:charset w:val="80"/>
    <w:family w:val="auto"/>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l?r ??’c">
    <w:altName w:val="Yu Gothic"/>
    <w:panose1 w:val="00000000000000000000"/>
    <w:charset w:val="80"/>
    <w:family w:val="roman"/>
    <w:notTrueType/>
    <w:pitch w:val="fixed"/>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760C41" w14:textId="77777777" w:rsidR="007B060B" w:rsidRDefault="007B06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9AFA2" w14:textId="511DA9DC" w:rsidR="007B060B" w:rsidRDefault="007B060B" w:rsidP="00D55942">
    <w:pPr>
      <w:pStyle w:val="Footer"/>
      <w:tabs>
        <w:tab w:val="clear" w:pos="8640"/>
        <w:tab w:val="right" w:pos="9360"/>
      </w:tabs>
      <w:rPr>
        <w:rFonts w:ascii="Courier New" w:hAnsi="Courier New"/>
      </w:rPr>
    </w:pPr>
    <w:r>
      <w:rPr>
        <w:rFonts w:ascii="Courier New" w:hAnsi="Courier New"/>
      </w:rPr>
      <w:t xml:space="preserve">Page: </w:t>
    </w:r>
    <w:r>
      <w:rPr>
        <w:rStyle w:val="PageNumber"/>
      </w:rPr>
      <w:fldChar w:fldCharType="begin"/>
    </w:r>
    <w:r>
      <w:rPr>
        <w:rStyle w:val="PageNumber"/>
      </w:rPr>
      <w:instrText xml:space="preserve"> PAGE </w:instrText>
    </w:r>
    <w:r>
      <w:rPr>
        <w:rStyle w:val="PageNumber"/>
      </w:rPr>
      <w:fldChar w:fldCharType="separate"/>
    </w:r>
    <w:r w:rsidR="002A7852">
      <w:rPr>
        <w:rStyle w:val="PageNumber"/>
        <w:noProof/>
      </w:rPr>
      <w:t>1</w:t>
    </w:r>
    <w:r>
      <w:rPr>
        <w:rStyle w:val="PageNumber"/>
      </w:rPr>
      <w:fldChar w:fldCharType="end"/>
    </w:r>
    <w:r>
      <w:rPr>
        <w:rStyle w:val="PageNumber"/>
      </w:rPr>
      <w:tab/>
    </w:r>
    <w:r w:rsidR="00586291">
      <w:rPr>
        <w:rStyle w:val="PageNumber"/>
      </w:rPr>
      <w:tab/>
    </w:r>
    <w:r w:rsidR="00586291">
      <w:rPr>
        <w:rStyle w:val="PageNumber"/>
      </w:rPr>
      <w:tab/>
    </w:r>
    <w:r w:rsidR="00586291">
      <w:rPr>
        <w:rStyle w:val="PageNumber"/>
      </w:rPr>
      <w:tab/>
    </w:r>
    <w:r w:rsidR="00586291">
      <w:rPr>
        <w:rStyle w:val="PageNumber"/>
      </w:rPr>
      <w:tab/>
    </w:r>
    <w:r w:rsidR="00586291">
      <w:rPr>
        <w:rStyle w:val="PageNumber"/>
      </w:rPr>
      <w:tab/>
    </w:r>
    <w:r>
      <w:rPr>
        <w:rStyle w:val="PageNumber"/>
      </w:rPr>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2A7852">
      <w:rPr>
        <w:rStyle w:val="PageNumber"/>
        <w:noProof/>
      </w:rPr>
      <w:t>2016-11-21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E7376" w14:textId="77777777" w:rsidR="007B060B" w:rsidRDefault="007B06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05FC6C" w14:textId="77777777" w:rsidR="007B060B" w:rsidRDefault="007B060B">
      <w:r>
        <w:separator/>
      </w:r>
    </w:p>
  </w:footnote>
  <w:footnote w:type="continuationSeparator" w:id="0">
    <w:p w14:paraId="2E2A8B34" w14:textId="77777777" w:rsidR="007B060B" w:rsidRDefault="007B06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B6D0C" w14:textId="77777777" w:rsidR="007B060B" w:rsidRDefault="007B06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475013" w14:textId="77777777" w:rsidR="007B060B" w:rsidRDefault="007B06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C22C38" w14:textId="77777777" w:rsidR="007B060B" w:rsidRDefault="007B06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25B89"/>
    <w:multiLevelType w:val="hybridMultilevel"/>
    <w:tmpl w:val="AABA4BA8"/>
    <w:lvl w:ilvl="0" w:tplc="1E6C9D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016A9A"/>
    <w:multiLevelType w:val="hybridMultilevel"/>
    <w:tmpl w:val="43F0AB38"/>
    <w:lvl w:ilvl="0" w:tplc="51A222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9C048F"/>
    <w:multiLevelType w:val="hybridMultilevel"/>
    <w:tmpl w:val="3878C540"/>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C97451"/>
    <w:multiLevelType w:val="hybridMultilevel"/>
    <w:tmpl w:val="0CB870BA"/>
    <w:lvl w:ilvl="0" w:tplc="04090001">
      <w:start w:val="1"/>
      <w:numFmt w:val="bullet"/>
      <w:lvlText w:val=""/>
      <w:lvlJc w:val="left"/>
      <w:pPr>
        <w:ind w:left="720" w:hanging="360"/>
      </w:pPr>
      <w:rPr>
        <w:rFonts w:ascii="Symbol" w:hAnsi="Symbol" w:hint="default"/>
      </w:rPr>
    </w:lvl>
    <w:lvl w:ilvl="1" w:tplc="CCE27728">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BE20F3"/>
    <w:multiLevelType w:val="hybridMultilevel"/>
    <w:tmpl w:val="487AC60E"/>
    <w:lvl w:ilvl="0" w:tplc="E9DC4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DA4D50"/>
    <w:multiLevelType w:val="hybridMultilevel"/>
    <w:tmpl w:val="7C58C2A6"/>
    <w:lvl w:ilvl="0" w:tplc="ADC266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DF44F0"/>
    <w:multiLevelType w:val="hybridMultilevel"/>
    <w:tmpl w:val="E15ADBDC"/>
    <w:lvl w:ilvl="0" w:tplc="ADC266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593D70"/>
    <w:multiLevelType w:val="hybridMultilevel"/>
    <w:tmpl w:val="43F0AB38"/>
    <w:lvl w:ilvl="0" w:tplc="51A222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B80C58"/>
    <w:multiLevelType w:val="multilevel"/>
    <w:tmpl w:val="E4A8AE18"/>
    <w:lvl w:ilvl="0">
      <w:start w:val="3"/>
      <w:numFmt w:val="decimal"/>
      <w:pStyle w:val="NormalH2"/>
      <w:lvlText w:val="%1"/>
      <w:lvlJc w:val="left"/>
      <w:pPr>
        <w:ind w:left="432" w:hanging="432"/>
      </w:pPr>
      <w:rPr>
        <w:rFonts w:hint="default"/>
      </w:rPr>
    </w:lvl>
    <w:lvl w:ilvl="1">
      <w:start w:val="1"/>
      <w:numFmt w:val="decimal"/>
      <w:pStyle w:val="NormalH2"/>
      <w:lvlText w:val="%1.%2"/>
      <w:lvlJc w:val="left"/>
      <w:pPr>
        <w:ind w:left="576" w:hanging="576"/>
      </w:pPr>
      <w:rPr>
        <w:rFonts w:hint="default"/>
        <w:b/>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267873FA"/>
    <w:multiLevelType w:val="hybridMultilevel"/>
    <w:tmpl w:val="F8DC90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39CB71B8"/>
    <w:multiLevelType w:val="hybridMultilevel"/>
    <w:tmpl w:val="487AC60E"/>
    <w:lvl w:ilvl="0" w:tplc="E9DC4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D540AB"/>
    <w:multiLevelType w:val="hybridMultilevel"/>
    <w:tmpl w:val="487AC60E"/>
    <w:lvl w:ilvl="0" w:tplc="E9DC4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3876421"/>
    <w:multiLevelType w:val="multilevel"/>
    <w:tmpl w:val="7A08F06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4E2B7F86"/>
    <w:multiLevelType w:val="hybridMultilevel"/>
    <w:tmpl w:val="CFFEB8A2"/>
    <w:lvl w:ilvl="0" w:tplc="0FB292A0">
      <w:start w:val="1"/>
      <w:numFmt w:val="decimal"/>
      <w:pStyle w:val="Title"/>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71EA82A4" w:tentative="1">
      <w:start w:val="1"/>
      <w:numFmt w:val="lowerLetter"/>
      <w:lvlText w:val="%2."/>
      <w:lvlJc w:val="left"/>
      <w:pPr>
        <w:tabs>
          <w:tab w:val="num" w:pos="1440"/>
        </w:tabs>
        <w:ind w:left="1440" w:hanging="360"/>
      </w:pPr>
    </w:lvl>
    <w:lvl w:ilvl="2" w:tplc="53F44FDA" w:tentative="1">
      <w:start w:val="1"/>
      <w:numFmt w:val="lowerRoman"/>
      <w:lvlText w:val="%3."/>
      <w:lvlJc w:val="right"/>
      <w:pPr>
        <w:tabs>
          <w:tab w:val="num" w:pos="2160"/>
        </w:tabs>
        <w:ind w:left="2160" w:hanging="180"/>
      </w:pPr>
    </w:lvl>
    <w:lvl w:ilvl="3" w:tplc="DB8E6990" w:tentative="1">
      <w:start w:val="1"/>
      <w:numFmt w:val="decimal"/>
      <w:lvlText w:val="%4."/>
      <w:lvlJc w:val="left"/>
      <w:pPr>
        <w:tabs>
          <w:tab w:val="num" w:pos="2880"/>
        </w:tabs>
        <w:ind w:left="2880" w:hanging="360"/>
      </w:pPr>
    </w:lvl>
    <w:lvl w:ilvl="4" w:tplc="1D140784" w:tentative="1">
      <w:start w:val="1"/>
      <w:numFmt w:val="lowerLetter"/>
      <w:lvlText w:val="%5."/>
      <w:lvlJc w:val="left"/>
      <w:pPr>
        <w:tabs>
          <w:tab w:val="num" w:pos="3600"/>
        </w:tabs>
        <w:ind w:left="3600" w:hanging="360"/>
      </w:pPr>
    </w:lvl>
    <w:lvl w:ilvl="5" w:tplc="D7A8EF52" w:tentative="1">
      <w:start w:val="1"/>
      <w:numFmt w:val="lowerRoman"/>
      <w:lvlText w:val="%6."/>
      <w:lvlJc w:val="right"/>
      <w:pPr>
        <w:tabs>
          <w:tab w:val="num" w:pos="4320"/>
        </w:tabs>
        <w:ind w:left="4320" w:hanging="180"/>
      </w:pPr>
    </w:lvl>
    <w:lvl w:ilvl="6" w:tplc="A590276C" w:tentative="1">
      <w:start w:val="1"/>
      <w:numFmt w:val="decimal"/>
      <w:lvlText w:val="%7."/>
      <w:lvlJc w:val="left"/>
      <w:pPr>
        <w:tabs>
          <w:tab w:val="num" w:pos="5040"/>
        </w:tabs>
        <w:ind w:left="5040" w:hanging="360"/>
      </w:pPr>
    </w:lvl>
    <w:lvl w:ilvl="7" w:tplc="C61CA45C" w:tentative="1">
      <w:start w:val="1"/>
      <w:numFmt w:val="lowerLetter"/>
      <w:lvlText w:val="%8."/>
      <w:lvlJc w:val="left"/>
      <w:pPr>
        <w:tabs>
          <w:tab w:val="num" w:pos="5760"/>
        </w:tabs>
        <w:ind w:left="5760" w:hanging="360"/>
      </w:pPr>
    </w:lvl>
    <w:lvl w:ilvl="8" w:tplc="DCD2DEB8" w:tentative="1">
      <w:start w:val="1"/>
      <w:numFmt w:val="lowerRoman"/>
      <w:lvlText w:val="%9."/>
      <w:lvlJc w:val="right"/>
      <w:pPr>
        <w:tabs>
          <w:tab w:val="num" w:pos="6480"/>
        </w:tabs>
        <w:ind w:left="6480" w:hanging="180"/>
      </w:pPr>
    </w:lvl>
  </w:abstractNum>
  <w:abstractNum w:abstractNumId="16" w15:restartNumberingAfterBreak="0">
    <w:nsid w:val="6E127B90"/>
    <w:multiLevelType w:val="hybridMultilevel"/>
    <w:tmpl w:val="A8147556"/>
    <w:lvl w:ilvl="0" w:tplc="647A197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7944576"/>
    <w:multiLevelType w:val="hybridMultilevel"/>
    <w:tmpl w:val="E0D4B4D2"/>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716702"/>
    <w:multiLevelType w:val="hybridMultilevel"/>
    <w:tmpl w:val="487AC60E"/>
    <w:lvl w:ilvl="0" w:tplc="E9DC4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15"/>
  </w:num>
  <w:num w:numId="4">
    <w:abstractNumId w:val="13"/>
  </w:num>
  <w:num w:numId="5">
    <w:abstractNumId w:val="9"/>
  </w:num>
  <w:num w:numId="6">
    <w:abstractNumId w:val="14"/>
  </w:num>
  <w:num w:numId="7">
    <w:abstractNumId w:val="0"/>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4"/>
    </w:lvlOverride>
    <w:lvlOverride w:ilvl="1">
      <w:startOverride w:val="2"/>
    </w:lvlOverride>
  </w:num>
  <w:num w:numId="10">
    <w:abstractNumId w:val="16"/>
  </w:num>
  <w:num w:numId="11">
    <w:abstractNumId w:val="2"/>
  </w:num>
  <w:num w:numId="12">
    <w:abstractNumId w:val="12"/>
  </w:num>
  <w:num w:numId="13">
    <w:abstractNumId w:val="4"/>
  </w:num>
  <w:num w:numId="14">
    <w:abstractNumId w:val="18"/>
  </w:num>
  <w:num w:numId="15">
    <w:abstractNumId w:val="7"/>
  </w:num>
  <w:num w:numId="16">
    <w:abstractNumId w:val="11"/>
  </w:num>
  <w:num w:numId="17">
    <w:abstractNumId w:val="1"/>
  </w:num>
  <w:num w:numId="18">
    <w:abstractNumId w:val="6"/>
  </w:num>
  <w:num w:numId="19">
    <w:abstractNumId w:val="5"/>
  </w:num>
  <w:num w:numId="20">
    <w:abstractNumId w:val="3"/>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hideGrammaticalErrors/>
  <w:activeWritingStyle w:appName="MSWord" w:lang="en-CA" w:vendorID="64" w:dllVersion="0" w:nlCheck="1" w:checkStyle="0"/>
  <w:activeWritingStyle w:appName="MSWord" w:lang="fr-FR" w:vendorID="64" w:dllVersion="0" w:nlCheck="1" w:checkStyle="0"/>
  <w:activeWritingStyle w:appName="MSWord" w:lang="en-US" w:vendorID="64" w:dllVersion="0" w:nlCheck="1" w:checkStyle="0"/>
  <w:activeWritingStyle w:appName="MSWord" w:lang="ja-JP" w:vendorID="64" w:dllVersion="0" w:nlCheck="1" w:checkStyle="1"/>
  <w:activeWritingStyle w:appName="MSWord" w:lang="en-GB" w:vendorID="64" w:dllVersion="0" w:nlCheck="1" w:checkStyle="0"/>
  <w:defaultTabStop w:val="403"/>
  <w:hyphenationZone w:val="425"/>
  <w:drawingGridHorizontalSpacing w:val="100"/>
  <w:drawingGridVerticalSpacing w:val="136"/>
  <w:displayHorizontalDrawingGridEvery w:val="2"/>
  <w:displayVerticalDrawingGridEvery w:val="0"/>
  <w:noPunctuationKerning/>
  <w:characterSpacingControl w:val="doNotCompress"/>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44"/>
    <w:rsid w:val="000026BB"/>
    <w:rsid w:val="00002B5D"/>
    <w:rsid w:val="00002F5C"/>
    <w:rsid w:val="00007A8C"/>
    <w:rsid w:val="00011C4D"/>
    <w:rsid w:val="000150D0"/>
    <w:rsid w:val="000154B6"/>
    <w:rsid w:val="00015B32"/>
    <w:rsid w:val="00016C3B"/>
    <w:rsid w:val="00016DE4"/>
    <w:rsid w:val="00020868"/>
    <w:rsid w:val="00022C58"/>
    <w:rsid w:val="00027247"/>
    <w:rsid w:val="000308A3"/>
    <w:rsid w:val="00030C59"/>
    <w:rsid w:val="000314DD"/>
    <w:rsid w:val="000317BC"/>
    <w:rsid w:val="00031A75"/>
    <w:rsid w:val="00032C5B"/>
    <w:rsid w:val="000335C3"/>
    <w:rsid w:val="00034FA1"/>
    <w:rsid w:val="00035D47"/>
    <w:rsid w:val="00036003"/>
    <w:rsid w:val="000364A6"/>
    <w:rsid w:val="00036742"/>
    <w:rsid w:val="00037E88"/>
    <w:rsid w:val="00037F0C"/>
    <w:rsid w:val="00041A9D"/>
    <w:rsid w:val="0004282C"/>
    <w:rsid w:val="00043C34"/>
    <w:rsid w:val="00044291"/>
    <w:rsid w:val="00044AE4"/>
    <w:rsid w:val="00044E6D"/>
    <w:rsid w:val="000458BC"/>
    <w:rsid w:val="00045C41"/>
    <w:rsid w:val="00046C03"/>
    <w:rsid w:val="00047DB1"/>
    <w:rsid w:val="00050079"/>
    <w:rsid w:val="00050C73"/>
    <w:rsid w:val="00052394"/>
    <w:rsid w:val="00054B1D"/>
    <w:rsid w:val="0005724A"/>
    <w:rsid w:val="0005788F"/>
    <w:rsid w:val="00060895"/>
    <w:rsid w:val="00062EC6"/>
    <w:rsid w:val="00062F8E"/>
    <w:rsid w:val="00062FF4"/>
    <w:rsid w:val="00065039"/>
    <w:rsid w:val="00067002"/>
    <w:rsid w:val="00067137"/>
    <w:rsid w:val="000677A4"/>
    <w:rsid w:val="000708C0"/>
    <w:rsid w:val="00070CFB"/>
    <w:rsid w:val="00072A4D"/>
    <w:rsid w:val="00075696"/>
    <w:rsid w:val="0007614F"/>
    <w:rsid w:val="00076BD5"/>
    <w:rsid w:val="00077619"/>
    <w:rsid w:val="000824D3"/>
    <w:rsid w:val="00082FEC"/>
    <w:rsid w:val="00084747"/>
    <w:rsid w:val="00084D4F"/>
    <w:rsid w:val="000908FE"/>
    <w:rsid w:val="000946F5"/>
    <w:rsid w:val="00094E77"/>
    <w:rsid w:val="00096C5F"/>
    <w:rsid w:val="000974DB"/>
    <w:rsid w:val="00097EB2"/>
    <w:rsid w:val="000A2DFA"/>
    <w:rsid w:val="000A342D"/>
    <w:rsid w:val="000A372D"/>
    <w:rsid w:val="000A3F7A"/>
    <w:rsid w:val="000A4582"/>
    <w:rsid w:val="000A523A"/>
    <w:rsid w:val="000A53B7"/>
    <w:rsid w:val="000A55CC"/>
    <w:rsid w:val="000A77F0"/>
    <w:rsid w:val="000A7A2B"/>
    <w:rsid w:val="000A7A8C"/>
    <w:rsid w:val="000A7C95"/>
    <w:rsid w:val="000A7E1F"/>
    <w:rsid w:val="000B0C0F"/>
    <w:rsid w:val="000B1451"/>
    <w:rsid w:val="000B1A05"/>
    <w:rsid w:val="000B1C6B"/>
    <w:rsid w:val="000B1EDD"/>
    <w:rsid w:val="000B224A"/>
    <w:rsid w:val="000B2DE8"/>
    <w:rsid w:val="000B3EDC"/>
    <w:rsid w:val="000B4447"/>
    <w:rsid w:val="000B44BA"/>
    <w:rsid w:val="000B49A0"/>
    <w:rsid w:val="000B4FF9"/>
    <w:rsid w:val="000B6F6A"/>
    <w:rsid w:val="000C09AC"/>
    <w:rsid w:val="000C1A9D"/>
    <w:rsid w:val="000C1B16"/>
    <w:rsid w:val="000C3422"/>
    <w:rsid w:val="000C3449"/>
    <w:rsid w:val="000C4DFB"/>
    <w:rsid w:val="000D0E6C"/>
    <w:rsid w:val="000D1394"/>
    <w:rsid w:val="000D2BBA"/>
    <w:rsid w:val="000D422F"/>
    <w:rsid w:val="000D4761"/>
    <w:rsid w:val="000D4C74"/>
    <w:rsid w:val="000D649E"/>
    <w:rsid w:val="000D7B23"/>
    <w:rsid w:val="000E00F3"/>
    <w:rsid w:val="000E02C9"/>
    <w:rsid w:val="000E0EA7"/>
    <w:rsid w:val="000E3AD6"/>
    <w:rsid w:val="000E425B"/>
    <w:rsid w:val="000E44B5"/>
    <w:rsid w:val="000E48B1"/>
    <w:rsid w:val="000E5119"/>
    <w:rsid w:val="000E591F"/>
    <w:rsid w:val="000E72CE"/>
    <w:rsid w:val="000E7AC0"/>
    <w:rsid w:val="000E7DA1"/>
    <w:rsid w:val="000F011F"/>
    <w:rsid w:val="000F158C"/>
    <w:rsid w:val="000F5F8B"/>
    <w:rsid w:val="000F6AFA"/>
    <w:rsid w:val="000F74D0"/>
    <w:rsid w:val="00100197"/>
    <w:rsid w:val="0010254F"/>
    <w:rsid w:val="00102F3D"/>
    <w:rsid w:val="0010395A"/>
    <w:rsid w:val="00103B7D"/>
    <w:rsid w:val="00104089"/>
    <w:rsid w:val="00104700"/>
    <w:rsid w:val="00105720"/>
    <w:rsid w:val="001073C1"/>
    <w:rsid w:val="00107DD1"/>
    <w:rsid w:val="00112007"/>
    <w:rsid w:val="0011291A"/>
    <w:rsid w:val="00113632"/>
    <w:rsid w:val="0011518F"/>
    <w:rsid w:val="00115647"/>
    <w:rsid w:val="0011698F"/>
    <w:rsid w:val="00117BAA"/>
    <w:rsid w:val="00120ADE"/>
    <w:rsid w:val="00120DA4"/>
    <w:rsid w:val="00121B11"/>
    <w:rsid w:val="0012205C"/>
    <w:rsid w:val="0012387D"/>
    <w:rsid w:val="00123B31"/>
    <w:rsid w:val="00123D62"/>
    <w:rsid w:val="001245D6"/>
    <w:rsid w:val="00124E38"/>
    <w:rsid w:val="00124FB6"/>
    <w:rsid w:val="0012580B"/>
    <w:rsid w:val="00125FC9"/>
    <w:rsid w:val="001268C6"/>
    <w:rsid w:val="00126FA8"/>
    <w:rsid w:val="0012739A"/>
    <w:rsid w:val="00127BBE"/>
    <w:rsid w:val="00131F90"/>
    <w:rsid w:val="00132BA5"/>
    <w:rsid w:val="00134796"/>
    <w:rsid w:val="0013518A"/>
    <w:rsid w:val="0013526E"/>
    <w:rsid w:val="00143641"/>
    <w:rsid w:val="00143CAB"/>
    <w:rsid w:val="0014480A"/>
    <w:rsid w:val="00144A41"/>
    <w:rsid w:val="001455FB"/>
    <w:rsid w:val="00145F3B"/>
    <w:rsid w:val="00146152"/>
    <w:rsid w:val="00146790"/>
    <w:rsid w:val="001473B9"/>
    <w:rsid w:val="00147559"/>
    <w:rsid w:val="00147AD7"/>
    <w:rsid w:val="00151404"/>
    <w:rsid w:val="001532DC"/>
    <w:rsid w:val="00153363"/>
    <w:rsid w:val="00153DFE"/>
    <w:rsid w:val="0015440F"/>
    <w:rsid w:val="00154E00"/>
    <w:rsid w:val="0015762D"/>
    <w:rsid w:val="0016092A"/>
    <w:rsid w:val="00163C10"/>
    <w:rsid w:val="001669CF"/>
    <w:rsid w:val="00166CFE"/>
    <w:rsid w:val="00166E51"/>
    <w:rsid w:val="00171371"/>
    <w:rsid w:val="00172942"/>
    <w:rsid w:val="00172C99"/>
    <w:rsid w:val="00175A24"/>
    <w:rsid w:val="00177DD9"/>
    <w:rsid w:val="00180F99"/>
    <w:rsid w:val="0018269D"/>
    <w:rsid w:val="00182855"/>
    <w:rsid w:val="00182A67"/>
    <w:rsid w:val="00182C35"/>
    <w:rsid w:val="00182E29"/>
    <w:rsid w:val="001836ED"/>
    <w:rsid w:val="00183D04"/>
    <w:rsid w:val="00184C97"/>
    <w:rsid w:val="00187525"/>
    <w:rsid w:val="00187E58"/>
    <w:rsid w:val="00190D8F"/>
    <w:rsid w:val="00191163"/>
    <w:rsid w:val="0019140B"/>
    <w:rsid w:val="00193018"/>
    <w:rsid w:val="0019315C"/>
    <w:rsid w:val="00193D95"/>
    <w:rsid w:val="00194E5C"/>
    <w:rsid w:val="00196AB3"/>
    <w:rsid w:val="001976DA"/>
    <w:rsid w:val="001A09C6"/>
    <w:rsid w:val="001A297E"/>
    <w:rsid w:val="001A368E"/>
    <w:rsid w:val="001A567E"/>
    <w:rsid w:val="001A5B18"/>
    <w:rsid w:val="001A7329"/>
    <w:rsid w:val="001A792F"/>
    <w:rsid w:val="001B1DB2"/>
    <w:rsid w:val="001B21BD"/>
    <w:rsid w:val="001B2494"/>
    <w:rsid w:val="001B2723"/>
    <w:rsid w:val="001B3EA4"/>
    <w:rsid w:val="001B494D"/>
    <w:rsid w:val="001B4E28"/>
    <w:rsid w:val="001B5855"/>
    <w:rsid w:val="001B7873"/>
    <w:rsid w:val="001C284D"/>
    <w:rsid w:val="001C3078"/>
    <w:rsid w:val="001C3525"/>
    <w:rsid w:val="001C3AFB"/>
    <w:rsid w:val="001C51FF"/>
    <w:rsid w:val="001C5375"/>
    <w:rsid w:val="001C7231"/>
    <w:rsid w:val="001D0BE7"/>
    <w:rsid w:val="001D1A82"/>
    <w:rsid w:val="001D1BD2"/>
    <w:rsid w:val="001D1CC0"/>
    <w:rsid w:val="001D1F08"/>
    <w:rsid w:val="001D25DE"/>
    <w:rsid w:val="001D43ED"/>
    <w:rsid w:val="001E02BE"/>
    <w:rsid w:val="001E13BA"/>
    <w:rsid w:val="001E13F2"/>
    <w:rsid w:val="001E198D"/>
    <w:rsid w:val="001E3835"/>
    <w:rsid w:val="001E3B37"/>
    <w:rsid w:val="001E5877"/>
    <w:rsid w:val="001E5CF3"/>
    <w:rsid w:val="001E5D97"/>
    <w:rsid w:val="001E6B6C"/>
    <w:rsid w:val="001E760A"/>
    <w:rsid w:val="001F2594"/>
    <w:rsid w:val="001F2EF7"/>
    <w:rsid w:val="001F3612"/>
    <w:rsid w:val="001F3CC1"/>
    <w:rsid w:val="001F4A26"/>
    <w:rsid w:val="001F5474"/>
    <w:rsid w:val="001F7C2C"/>
    <w:rsid w:val="0020379E"/>
    <w:rsid w:val="002044B5"/>
    <w:rsid w:val="00204D0A"/>
    <w:rsid w:val="002055A6"/>
    <w:rsid w:val="00205C2F"/>
    <w:rsid w:val="00206460"/>
    <w:rsid w:val="002069B4"/>
    <w:rsid w:val="0020788D"/>
    <w:rsid w:val="00207F19"/>
    <w:rsid w:val="00210562"/>
    <w:rsid w:val="002109A0"/>
    <w:rsid w:val="00213716"/>
    <w:rsid w:val="00215B37"/>
    <w:rsid w:val="00215DFC"/>
    <w:rsid w:val="0021641D"/>
    <w:rsid w:val="0022102E"/>
    <w:rsid w:val="00221077"/>
    <w:rsid w:val="002212DF"/>
    <w:rsid w:val="00222CD4"/>
    <w:rsid w:val="00222EB7"/>
    <w:rsid w:val="00223C47"/>
    <w:rsid w:val="002249FF"/>
    <w:rsid w:val="00225016"/>
    <w:rsid w:val="002264A6"/>
    <w:rsid w:val="00227BA7"/>
    <w:rsid w:val="002300DB"/>
    <w:rsid w:val="0023011C"/>
    <w:rsid w:val="002303AB"/>
    <w:rsid w:val="00234141"/>
    <w:rsid w:val="0023491F"/>
    <w:rsid w:val="002364E6"/>
    <w:rsid w:val="002375C1"/>
    <w:rsid w:val="0024023C"/>
    <w:rsid w:val="0024089B"/>
    <w:rsid w:val="002409EF"/>
    <w:rsid w:val="0024158E"/>
    <w:rsid w:val="00241922"/>
    <w:rsid w:val="0024339B"/>
    <w:rsid w:val="00245374"/>
    <w:rsid w:val="00245515"/>
    <w:rsid w:val="00250513"/>
    <w:rsid w:val="00250BC9"/>
    <w:rsid w:val="00250D23"/>
    <w:rsid w:val="002548AB"/>
    <w:rsid w:val="00257350"/>
    <w:rsid w:val="00257A6E"/>
    <w:rsid w:val="002605FA"/>
    <w:rsid w:val="00262AA5"/>
    <w:rsid w:val="00263398"/>
    <w:rsid w:val="00264A0F"/>
    <w:rsid w:val="00264BD4"/>
    <w:rsid w:val="00265B78"/>
    <w:rsid w:val="00265D3F"/>
    <w:rsid w:val="00266F06"/>
    <w:rsid w:val="00267C54"/>
    <w:rsid w:val="00272972"/>
    <w:rsid w:val="00275BCF"/>
    <w:rsid w:val="00276034"/>
    <w:rsid w:val="00277102"/>
    <w:rsid w:val="00280B37"/>
    <w:rsid w:val="002819CE"/>
    <w:rsid w:val="00282323"/>
    <w:rsid w:val="00282369"/>
    <w:rsid w:val="00282A70"/>
    <w:rsid w:val="0028399C"/>
    <w:rsid w:val="00283B9D"/>
    <w:rsid w:val="00284D4B"/>
    <w:rsid w:val="00285002"/>
    <w:rsid w:val="00285B22"/>
    <w:rsid w:val="00287E54"/>
    <w:rsid w:val="00291E36"/>
    <w:rsid w:val="00292257"/>
    <w:rsid w:val="0029352B"/>
    <w:rsid w:val="00295C84"/>
    <w:rsid w:val="00295E1D"/>
    <w:rsid w:val="002968B3"/>
    <w:rsid w:val="00296DF2"/>
    <w:rsid w:val="00297BDA"/>
    <w:rsid w:val="002A15D6"/>
    <w:rsid w:val="002A1F12"/>
    <w:rsid w:val="002A2897"/>
    <w:rsid w:val="002A2F2A"/>
    <w:rsid w:val="002A54E0"/>
    <w:rsid w:val="002A68E7"/>
    <w:rsid w:val="002A6CD0"/>
    <w:rsid w:val="002A73C9"/>
    <w:rsid w:val="002A7852"/>
    <w:rsid w:val="002B0346"/>
    <w:rsid w:val="002B1595"/>
    <w:rsid w:val="002B191D"/>
    <w:rsid w:val="002B1BE7"/>
    <w:rsid w:val="002B23CC"/>
    <w:rsid w:val="002B2A4C"/>
    <w:rsid w:val="002B2BA3"/>
    <w:rsid w:val="002B580F"/>
    <w:rsid w:val="002B5917"/>
    <w:rsid w:val="002B6D90"/>
    <w:rsid w:val="002C40DA"/>
    <w:rsid w:val="002C5CA2"/>
    <w:rsid w:val="002D0AF6"/>
    <w:rsid w:val="002D1FB9"/>
    <w:rsid w:val="002D3CBD"/>
    <w:rsid w:val="002D483C"/>
    <w:rsid w:val="002D7DE0"/>
    <w:rsid w:val="002E53D6"/>
    <w:rsid w:val="002E5785"/>
    <w:rsid w:val="002F164D"/>
    <w:rsid w:val="002F29A5"/>
    <w:rsid w:val="002F3BEF"/>
    <w:rsid w:val="002F3C71"/>
    <w:rsid w:val="002F46F8"/>
    <w:rsid w:val="003005C1"/>
    <w:rsid w:val="00300CCD"/>
    <w:rsid w:val="00301504"/>
    <w:rsid w:val="0030321C"/>
    <w:rsid w:val="00303990"/>
    <w:rsid w:val="00303CCE"/>
    <w:rsid w:val="00305A21"/>
    <w:rsid w:val="00306206"/>
    <w:rsid w:val="00306A6B"/>
    <w:rsid w:val="0030701E"/>
    <w:rsid w:val="00307780"/>
    <w:rsid w:val="00307B95"/>
    <w:rsid w:val="00310773"/>
    <w:rsid w:val="00311CBB"/>
    <w:rsid w:val="00311EEA"/>
    <w:rsid w:val="00313883"/>
    <w:rsid w:val="00314A32"/>
    <w:rsid w:val="00317B07"/>
    <w:rsid w:val="00317D85"/>
    <w:rsid w:val="00317F24"/>
    <w:rsid w:val="00321C25"/>
    <w:rsid w:val="0032211D"/>
    <w:rsid w:val="00326445"/>
    <w:rsid w:val="003274A7"/>
    <w:rsid w:val="00327C56"/>
    <w:rsid w:val="0033120B"/>
    <w:rsid w:val="003313CF"/>
    <w:rsid w:val="003315A1"/>
    <w:rsid w:val="003320B1"/>
    <w:rsid w:val="00335C1A"/>
    <w:rsid w:val="003373EC"/>
    <w:rsid w:val="00342FF4"/>
    <w:rsid w:val="0034468B"/>
    <w:rsid w:val="00346148"/>
    <w:rsid w:val="00347288"/>
    <w:rsid w:val="003500FC"/>
    <w:rsid w:val="003528BE"/>
    <w:rsid w:val="003625A3"/>
    <w:rsid w:val="003625D7"/>
    <w:rsid w:val="003648AC"/>
    <w:rsid w:val="00364B21"/>
    <w:rsid w:val="00366465"/>
    <w:rsid w:val="003669EA"/>
    <w:rsid w:val="00367376"/>
    <w:rsid w:val="00367C4F"/>
    <w:rsid w:val="003706CC"/>
    <w:rsid w:val="00370CDD"/>
    <w:rsid w:val="0037189D"/>
    <w:rsid w:val="00376D0A"/>
    <w:rsid w:val="00377710"/>
    <w:rsid w:val="0037771F"/>
    <w:rsid w:val="00377C0A"/>
    <w:rsid w:val="003800D7"/>
    <w:rsid w:val="00380CB4"/>
    <w:rsid w:val="00381551"/>
    <w:rsid w:val="0038289C"/>
    <w:rsid w:val="00382FF0"/>
    <w:rsid w:val="00384AE2"/>
    <w:rsid w:val="00384B61"/>
    <w:rsid w:val="00386F45"/>
    <w:rsid w:val="00390557"/>
    <w:rsid w:val="00390650"/>
    <w:rsid w:val="00390A59"/>
    <w:rsid w:val="003913C1"/>
    <w:rsid w:val="003951B6"/>
    <w:rsid w:val="00395907"/>
    <w:rsid w:val="00396C01"/>
    <w:rsid w:val="003A0BAD"/>
    <w:rsid w:val="003A1253"/>
    <w:rsid w:val="003A22E3"/>
    <w:rsid w:val="003A28FC"/>
    <w:rsid w:val="003A2D8E"/>
    <w:rsid w:val="003A3896"/>
    <w:rsid w:val="003A408A"/>
    <w:rsid w:val="003A51EF"/>
    <w:rsid w:val="003A6139"/>
    <w:rsid w:val="003A6E7B"/>
    <w:rsid w:val="003A7CE6"/>
    <w:rsid w:val="003B1A4B"/>
    <w:rsid w:val="003B27EB"/>
    <w:rsid w:val="003B4751"/>
    <w:rsid w:val="003B4B9C"/>
    <w:rsid w:val="003B570D"/>
    <w:rsid w:val="003B6636"/>
    <w:rsid w:val="003B6A36"/>
    <w:rsid w:val="003B70D3"/>
    <w:rsid w:val="003B7D62"/>
    <w:rsid w:val="003C1615"/>
    <w:rsid w:val="003C20E4"/>
    <w:rsid w:val="003C2C67"/>
    <w:rsid w:val="003C3452"/>
    <w:rsid w:val="003C3C23"/>
    <w:rsid w:val="003C618E"/>
    <w:rsid w:val="003C6B39"/>
    <w:rsid w:val="003C71DD"/>
    <w:rsid w:val="003D08AA"/>
    <w:rsid w:val="003D181B"/>
    <w:rsid w:val="003D299A"/>
    <w:rsid w:val="003D2D7E"/>
    <w:rsid w:val="003D4034"/>
    <w:rsid w:val="003D4906"/>
    <w:rsid w:val="003D6342"/>
    <w:rsid w:val="003D6D56"/>
    <w:rsid w:val="003D701E"/>
    <w:rsid w:val="003D7681"/>
    <w:rsid w:val="003D7744"/>
    <w:rsid w:val="003E28FE"/>
    <w:rsid w:val="003E2CAD"/>
    <w:rsid w:val="003E59B7"/>
    <w:rsid w:val="003E5D35"/>
    <w:rsid w:val="003E6F90"/>
    <w:rsid w:val="003E78E0"/>
    <w:rsid w:val="003F0996"/>
    <w:rsid w:val="003F49F1"/>
    <w:rsid w:val="003F4F32"/>
    <w:rsid w:val="003F5BD3"/>
    <w:rsid w:val="003F5D0F"/>
    <w:rsid w:val="0040189B"/>
    <w:rsid w:val="00403E4C"/>
    <w:rsid w:val="004048F4"/>
    <w:rsid w:val="00406052"/>
    <w:rsid w:val="0040666A"/>
    <w:rsid w:val="00406BE5"/>
    <w:rsid w:val="00410C66"/>
    <w:rsid w:val="00411632"/>
    <w:rsid w:val="00412BE8"/>
    <w:rsid w:val="00414101"/>
    <w:rsid w:val="004156E3"/>
    <w:rsid w:val="00415B13"/>
    <w:rsid w:val="00421E17"/>
    <w:rsid w:val="004234F0"/>
    <w:rsid w:val="00425E80"/>
    <w:rsid w:val="004279AF"/>
    <w:rsid w:val="00431102"/>
    <w:rsid w:val="004324F5"/>
    <w:rsid w:val="00432F3E"/>
    <w:rsid w:val="0043383B"/>
    <w:rsid w:val="00433B35"/>
    <w:rsid w:val="00433DC9"/>
    <w:rsid w:val="00433DDB"/>
    <w:rsid w:val="004360E4"/>
    <w:rsid w:val="00436230"/>
    <w:rsid w:val="00437619"/>
    <w:rsid w:val="004433B6"/>
    <w:rsid w:val="00443855"/>
    <w:rsid w:val="00443DD0"/>
    <w:rsid w:val="00447263"/>
    <w:rsid w:val="004479B3"/>
    <w:rsid w:val="00450D93"/>
    <w:rsid w:val="00452005"/>
    <w:rsid w:val="00452AA0"/>
    <w:rsid w:val="00453960"/>
    <w:rsid w:val="00454778"/>
    <w:rsid w:val="004557D4"/>
    <w:rsid w:val="00456924"/>
    <w:rsid w:val="0045796D"/>
    <w:rsid w:val="004627EA"/>
    <w:rsid w:val="00463629"/>
    <w:rsid w:val="00463C11"/>
    <w:rsid w:val="0046510D"/>
    <w:rsid w:val="00465A1E"/>
    <w:rsid w:val="004701C8"/>
    <w:rsid w:val="0047022D"/>
    <w:rsid w:val="00473343"/>
    <w:rsid w:val="0047364D"/>
    <w:rsid w:val="0047770E"/>
    <w:rsid w:val="00482B9A"/>
    <w:rsid w:val="004833E8"/>
    <w:rsid w:val="00484AF0"/>
    <w:rsid w:val="004857FD"/>
    <w:rsid w:val="00486F92"/>
    <w:rsid w:val="00490C8C"/>
    <w:rsid w:val="00492963"/>
    <w:rsid w:val="00493BBE"/>
    <w:rsid w:val="004952C1"/>
    <w:rsid w:val="00495B9F"/>
    <w:rsid w:val="004A27BC"/>
    <w:rsid w:val="004A2A63"/>
    <w:rsid w:val="004B0091"/>
    <w:rsid w:val="004B08BD"/>
    <w:rsid w:val="004B210C"/>
    <w:rsid w:val="004B28BD"/>
    <w:rsid w:val="004B4C45"/>
    <w:rsid w:val="004B5A2B"/>
    <w:rsid w:val="004B5D87"/>
    <w:rsid w:val="004B74DA"/>
    <w:rsid w:val="004C0EC5"/>
    <w:rsid w:val="004C16B0"/>
    <w:rsid w:val="004C2AC8"/>
    <w:rsid w:val="004C41AB"/>
    <w:rsid w:val="004C513B"/>
    <w:rsid w:val="004C60EE"/>
    <w:rsid w:val="004C6F5C"/>
    <w:rsid w:val="004D3566"/>
    <w:rsid w:val="004D405F"/>
    <w:rsid w:val="004D44CF"/>
    <w:rsid w:val="004D523C"/>
    <w:rsid w:val="004E0658"/>
    <w:rsid w:val="004E223F"/>
    <w:rsid w:val="004E2DA8"/>
    <w:rsid w:val="004E3730"/>
    <w:rsid w:val="004E48C5"/>
    <w:rsid w:val="004E4F4F"/>
    <w:rsid w:val="004E6789"/>
    <w:rsid w:val="004F3FC7"/>
    <w:rsid w:val="004F4765"/>
    <w:rsid w:val="004F55F4"/>
    <w:rsid w:val="004F61E3"/>
    <w:rsid w:val="004F691A"/>
    <w:rsid w:val="004F6EE9"/>
    <w:rsid w:val="005007CC"/>
    <w:rsid w:val="00502E10"/>
    <w:rsid w:val="0050332B"/>
    <w:rsid w:val="005043CB"/>
    <w:rsid w:val="00505B62"/>
    <w:rsid w:val="00506298"/>
    <w:rsid w:val="00506373"/>
    <w:rsid w:val="00506C99"/>
    <w:rsid w:val="0051015C"/>
    <w:rsid w:val="00511482"/>
    <w:rsid w:val="00511BD8"/>
    <w:rsid w:val="00511E09"/>
    <w:rsid w:val="005132E0"/>
    <w:rsid w:val="00515357"/>
    <w:rsid w:val="00515D01"/>
    <w:rsid w:val="00516589"/>
    <w:rsid w:val="00516987"/>
    <w:rsid w:val="00516A7B"/>
    <w:rsid w:val="00516CF1"/>
    <w:rsid w:val="005173B2"/>
    <w:rsid w:val="005208C7"/>
    <w:rsid w:val="005216B5"/>
    <w:rsid w:val="00524208"/>
    <w:rsid w:val="00524C66"/>
    <w:rsid w:val="005257D1"/>
    <w:rsid w:val="00527076"/>
    <w:rsid w:val="0053018B"/>
    <w:rsid w:val="0053067C"/>
    <w:rsid w:val="00530C46"/>
    <w:rsid w:val="00531AE9"/>
    <w:rsid w:val="00531D9A"/>
    <w:rsid w:val="00534627"/>
    <w:rsid w:val="0053489F"/>
    <w:rsid w:val="00534F9B"/>
    <w:rsid w:val="00537822"/>
    <w:rsid w:val="0054189F"/>
    <w:rsid w:val="00542AC1"/>
    <w:rsid w:val="0054423D"/>
    <w:rsid w:val="0054448E"/>
    <w:rsid w:val="00546858"/>
    <w:rsid w:val="00550A66"/>
    <w:rsid w:val="005519C7"/>
    <w:rsid w:val="00551CDA"/>
    <w:rsid w:val="00552197"/>
    <w:rsid w:val="005521EC"/>
    <w:rsid w:val="00552F76"/>
    <w:rsid w:val="00555ADF"/>
    <w:rsid w:val="0055623A"/>
    <w:rsid w:val="00556AF8"/>
    <w:rsid w:val="005635EE"/>
    <w:rsid w:val="0056402A"/>
    <w:rsid w:val="005667A4"/>
    <w:rsid w:val="00566D02"/>
    <w:rsid w:val="00567EC7"/>
    <w:rsid w:val="00570013"/>
    <w:rsid w:val="00576901"/>
    <w:rsid w:val="005801A2"/>
    <w:rsid w:val="00581F07"/>
    <w:rsid w:val="005857D5"/>
    <w:rsid w:val="00586291"/>
    <w:rsid w:val="00586815"/>
    <w:rsid w:val="005908F3"/>
    <w:rsid w:val="005938C2"/>
    <w:rsid w:val="005952A5"/>
    <w:rsid w:val="005A1508"/>
    <w:rsid w:val="005A33A1"/>
    <w:rsid w:val="005A33FB"/>
    <w:rsid w:val="005A4221"/>
    <w:rsid w:val="005A4433"/>
    <w:rsid w:val="005A45DA"/>
    <w:rsid w:val="005A584E"/>
    <w:rsid w:val="005B0CF4"/>
    <w:rsid w:val="005B0F7D"/>
    <w:rsid w:val="005B12F6"/>
    <w:rsid w:val="005B217D"/>
    <w:rsid w:val="005B2A0F"/>
    <w:rsid w:val="005B3E8C"/>
    <w:rsid w:val="005B476A"/>
    <w:rsid w:val="005B6E55"/>
    <w:rsid w:val="005B75B0"/>
    <w:rsid w:val="005C0381"/>
    <w:rsid w:val="005C0418"/>
    <w:rsid w:val="005C1536"/>
    <w:rsid w:val="005C1D50"/>
    <w:rsid w:val="005C385F"/>
    <w:rsid w:val="005C567D"/>
    <w:rsid w:val="005C6ABB"/>
    <w:rsid w:val="005C6BB9"/>
    <w:rsid w:val="005C6CA0"/>
    <w:rsid w:val="005C7C46"/>
    <w:rsid w:val="005D1AD3"/>
    <w:rsid w:val="005D1C01"/>
    <w:rsid w:val="005D4885"/>
    <w:rsid w:val="005D67A5"/>
    <w:rsid w:val="005D6D84"/>
    <w:rsid w:val="005D76DA"/>
    <w:rsid w:val="005D7A05"/>
    <w:rsid w:val="005E075A"/>
    <w:rsid w:val="005E1AC6"/>
    <w:rsid w:val="005F05E6"/>
    <w:rsid w:val="005F06EC"/>
    <w:rsid w:val="005F0C20"/>
    <w:rsid w:val="005F1296"/>
    <w:rsid w:val="005F35F3"/>
    <w:rsid w:val="005F6977"/>
    <w:rsid w:val="005F6C08"/>
    <w:rsid w:val="005F6F1B"/>
    <w:rsid w:val="006004AB"/>
    <w:rsid w:val="00601FEE"/>
    <w:rsid w:val="00602B2B"/>
    <w:rsid w:val="00602B8B"/>
    <w:rsid w:val="0060332C"/>
    <w:rsid w:val="006036B2"/>
    <w:rsid w:val="006042D0"/>
    <w:rsid w:val="0060495F"/>
    <w:rsid w:val="00604A15"/>
    <w:rsid w:val="00605432"/>
    <w:rsid w:val="00605E67"/>
    <w:rsid w:val="00606335"/>
    <w:rsid w:val="00606988"/>
    <w:rsid w:val="00606A50"/>
    <w:rsid w:val="0061048D"/>
    <w:rsid w:val="00610C2B"/>
    <w:rsid w:val="006110C8"/>
    <w:rsid w:val="0061197B"/>
    <w:rsid w:val="00612DF9"/>
    <w:rsid w:val="00615DD1"/>
    <w:rsid w:val="00616459"/>
    <w:rsid w:val="00616531"/>
    <w:rsid w:val="00617FC0"/>
    <w:rsid w:val="006216D1"/>
    <w:rsid w:val="00622BCE"/>
    <w:rsid w:val="00623FEB"/>
    <w:rsid w:val="00624B33"/>
    <w:rsid w:val="00624F80"/>
    <w:rsid w:val="00626B8A"/>
    <w:rsid w:val="00626C6D"/>
    <w:rsid w:val="00630358"/>
    <w:rsid w:val="0063041A"/>
    <w:rsid w:val="00630AA2"/>
    <w:rsid w:val="00630E38"/>
    <w:rsid w:val="00633A03"/>
    <w:rsid w:val="006341E0"/>
    <w:rsid w:val="00637662"/>
    <w:rsid w:val="00640251"/>
    <w:rsid w:val="00641272"/>
    <w:rsid w:val="00641935"/>
    <w:rsid w:val="00642474"/>
    <w:rsid w:val="00642E53"/>
    <w:rsid w:val="00644587"/>
    <w:rsid w:val="00644D08"/>
    <w:rsid w:val="006462A0"/>
    <w:rsid w:val="00646707"/>
    <w:rsid w:val="00647AE1"/>
    <w:rsid w:val="006517B2"/>
    <w:rsid w:val="00653E29"/>
    <w:rsid w:val="00654186"/>
    <w:rsid w:val="00654D03"/>
    <w:rsid w:val="0065554C"/>
    <w:rsid w:val="00655615"/>
    <w:rsid w:val="0065644C"/>
    <w:rsid w:val="0065650A"/>
    <w:rsid w:val="00657F7E"/>
    <w:rsid w:val="0066046E"/>
    <w:rsid w:val="00660AE6"/>
    <w:rsid w:val="00662750"/>
    <w:rsid w:val="00662D5B"/>
    <w:rsid w:val="00662E58"/>
    <w:rsid w:val="006630A5"/>
    <w:rsid w:val="0066326F"/>
    <w:rsid w:val="00664DCF"/>
    <w:rsid w:val="00665FC1"/>
    <w:rsid w:val="00671FE2"/>
    <w:rsid w:val="0067272A"/>
    <w:rsid w:val="0067296F"/>
    <w:rsid w:val="006735EB"/>
    <w:rsid w:val="00674513"/>
    <w:rsid w:val="006767E1"/>
    <w:rsid w:val="006817F6"/>
    <w:rsid w:val="00683031"/>
    <w:rsid w:val="00683A2F"/>
    <w:rsid w:val="00684A06"/>
    <w:rsid w:val="00686E26"/>
    <w:rsid w:val="00687914"/>
    <w:rsid w:val="00692768"/>
    <w:rsid w:val="00692987"/>
    <w:rsid w:val="0069374F"/>
    <w:rsid w:val="00695DB4"/>
    <w:rsid w:val="00697813"/>
    <w:rsid w:val="006A086A"/>
    <w:rsid w:val="006A2064"/>
    <w:rsid w:val="006A249A"/>
    <w:rsid w:val="006A3796"/>
    <w:rsid w:val="006A605D"/>
    <w:rsid w:val="006A689A"/>
    <w:rsid w:val="006B038D"/>
    <w:rsid w:val="006B0B28"/>
    <w:rsid w:val="006B2919"/>
    <w:rsid w:val="006B5AAC"/>
    <w:rsid w:val="006C077E"/>
    <w:rsid w:val="006C08DE"/>
    <w:rsid w:val="006C2E3D"/>
    <w:rsid w:val="006C5D39"/>
    <w:rsid w:val="006C715B"/>
    <w:rsid w:val="006C7936"/>
    <w:rsid w:val="006D2656"/>
    <w:rsid w:val="006D4A69"/>
    <w:rsid w:val="006D4DA9"/>
    <w:rsid w:val="006D51CB"/>
    <w:rsid w:val="006D58E9"/>
    <w:rsid w:val="006D6B0B"/>
    <w:rsid w:val="006D6D9B"/>
    <w:rsid w:val="006D700C"/>
    <w:rsid w:val="006D7B36"/>
    <w:rsid w:val="006E1655"/>
    <w:rsid w:val="006E1F2A"/>
    <w:rsid w:val="006E2810"/>
    <w:rsid w:val="006E39B0"/>
    <w:rsid w:val="006E3EA9"/>
    <w:rsid w:val="006E4AFF"/>
    <w:rsid w:val="006E5417"/>
    <w:rsid w:val="006E56CD"/>
    <w:rsid w:val="006E5D2A"/>
    <w:rsid w:val="006E6F8C"/>
    <w:rsid w:val="006F0437"/>
    <w:rsid w:val="006F0ED6"/>
    <w:rsid w:val="006F2322"/>
    <w:rsid w:val="006F5AEB"/>
    <w:rsid w:val="006F6874"/>
    <w:rsid w:val="0070067D"/>
    <w:rsid w:val="007023DE"/>
    <w:rsid w:val="007027E0"/>
    <w:rsid w:val="0070457F"/>
    <w:rsid w:val="007045FC"/>
    <w:rsid w:val="00712951"/>
    <w:rsid w:val="00712F60"/>
    <w:rsid w:val="007141A6"/>
    <w:rsid w:val="00714BAE"/>
    <w:rsid w:val="00714C53"/>
    <w:rsid w:val="007156EE"/>
    <w:rsid w:val="00717A3C"/>
    <w:rsid w:val="00717CC2"/>
    <w:rsid w:val="00720E3B"/>
    <w:rsid w:val="007229E0"/>
    <w:rsid w:val="0072334C"/>
    <w:rsid w:val="007250AF"/>
    <w:rsid w:val="0072548B"/>
    <w:rsid w:val="00725F53"/>
    <w:rsid w:val="00727B30"/>
    <w:rsid w:val="007301A1"/>
    <w:rsid w:val="0073037C"/>
    <w:rsid w:val="007327D9"/>
    <w:rsid w:val="00733B16"/>
    <w:rsid w:val="00735FE3"/>
    <w:rsid w:val="00737750"/>
    <w:rsid w:val="00740063"/>
    <w:rsid w:val="007418B8"/>
    <w:rsid w:val="00742C8F"/>
    <w:rsid w:val="0074305C"/>
    <w:rsid w:val="0074393F"/>
    <w:rsid w:val="00745F6B"/>
    <w:rsid w:val="00746383"/>
    <w:rsid w:val="007463E0"/>
    <w:rsid w:val="007539B1"/>
    <w:rsid w:val="00754854"/>
    <w:rsid w:val="00754DAF"/>
    <w:rsid w:val="00754E49"/>
    <w:rsid w:val="0075585E"/>
    <w:rsid w:val="00755E85"/>
    <w:rsid w:val="00756A94"/>
    <w:rsid w:val="007604BF"/>
    <w:rsid w:val="007611BE"/>
    <w:rsid w:val="00761399"/>
    <w:rsid w:val="00763D3D"/>
    <w:rsid w:val="00765BFB"/>
    <w:rsid w:val="00767A9C"/>
    <w:rsid w:val="00770076"/>
    <w:rsid w:val="00770571"/>
    <w:rsid w:val="0077082B"/>
    <w:rsid w:val="007715BB"/>
    <w:rsid w:val="00772313"/>
    <w:rsid w:val="00774173"/>
    <w:rsid w:val="007768FF"/>
    <w:rsid w:val="00776DFE"/>
    <w:rsid w:val="00777B4C"/>
    <w:rsid w:val="00780442"/>
    <w:rsid w:val="00780628"/>
    <w:rsid w:val="007824D3"/>
    <w:rsid w:val="00782F6A"/>
    <w:rsid w:val="00784CF0"/>
    <w:rsid w:val="00784D19"/>
    <w:rsid w:val="00785CC5"/>
    <w:rsid w:val="00786B0A"/>
    <w:rsid w:val="00787A02"/>
    <w:rsid w:val="00787D81"/>
    <w:rsid w:val="007903E2"/>
    <w:rsid w:val="007905EF"/>
    <w:rsid w:val="00792322"/>
    <w:rsid w:val="007923E5"/>
    <w:rsid w:val="00793DF4"/>
    <w:rsid w:val="007961C7"/>
    <w:rsid w:val="00796EE3"/>
    <w:rsid w:val="00797224"/>
    <w:rsid w:val="007A3AE0"/>
    <w:rsid w:val="007A4DD0"/>
    <w:rsid w:val="007A628F"/>
    <w:rsid w:val="007A7D29"/>
    <w:rsid w:val="007B0125"/>
    <w:rsid w:val="007B060B"/>
    <w:rsid w:val="007B2292"/>
    <w:rsid w:val="007B4AB8"/>
    <w:rsid w:val="007B6848"/>
    <w:rsid w:val="007B768E"/>
    <w:rsid w:val="007B769E"/>
    <w:rsid w:val="007C0B2E"/>
    <w:rsid w:val="007C1240"/>
    <w:rsid w:val="007C145B"/>
    <w:rsid w:val="007C15BF"/>
    <w:rsid w:val="007C3217"/>
    <w:rsid w:val="007C37A2"/>
    <w:rsid w:val="007C71CC"/>
    <w:rsid w:val="007D1181"/>
    <w:rsid w:val="007D19A9"/>
    <w:rsid w:val="007D2B95"/>
    <w:rsid w:val="007D35B2"/>
    <w:rsid w:val="007D5073"/>
    <w:rsid w:val="007D6015"/>
    <w:rsid w:val="007D6AC9"/>
    <w:rsid w:val="007E01A3"/>
    <w:rsid w:val="007E11C4"/>
    <w:rsid w:val="007E120E"/>
    <w:rsid w:val="007E1C9D"/>
    <w:rsid w:val="007E333E"/>
    <w:rsid w:val="007E45DE"/>
    <w:rsid w:val="007E62E5"/>
    <w:rsid w:val="007F06C1"/>
    <w:rsid w:val="007F12F8"/>
    <w:rsid w:val="007F1724"/>
    <w:rsid w:val="007F1F8B"/>
    <w:rsid w:val="007F36A0"/>
    <w:rsid w:val="007F3D1D"/>
    <w:rsid w:val="007F67A1"/>
    <w:rsid w:val="007F7083"/>
    <w:rsid w:val="00800690"/>
    <w:rsid w:val="008008B4"/>
    <w:rsid w:val="00800971"/>
    <w:rsid w:val="00803381"/>
    <w:rsid w:val="008033F0"/>
    <w:rsid w:val="00806133"/>
    <w:rsid w:val="00810371"/>
    <w:rsid w:val="00811C05"/>
    <w:rsid w:val="00811E38"/>
    <w:rsid w:val="00812016"/>
    <w:rsid w:val="008123BD"/>
    <w:rsid w:val="00813938"/>
    <w:rsid w:val="008139F0"/>
    <w:rsid w:val="00813D95"/>
    <w:rsid w:val="00814031"/>
    <w:rsid w:val="00815D2D"/>
    <w:rsid w:val="008206C8"/>
    <w:rsid w:val="00820ABB"/>
    <w:rsid w:val="008226D3"/>
    <w:rsid w:val="00823B30"/>
    <w:rsid w:val="00824E8E"/>
    <w:rsid w:val="008257A8"/>
    <w:rsid w:val="008261B6"/>
    <w:rsid w:val="00826BDA"/>
    <w:rsid w:val="00830674"/>
    <w:rsid w:val="00832C44"/>
    <w:rsid w:val="008363F4"/>
    <w:rsid w:val="00842A9A"/>
    <w:rsid w:val="00843363"/>
    <w:rsid w:val="00843550"/>
    <w:rsid w:val="00844B10"/>
    <w:rsid w:val="0084604F"/>
    <w:rsid w:val="008470C1"/>
    <w:rsid w:val="00847440"/>
    <w:rsid w:val="00847986"/>
    <w:rsid w:val="008536EA"/>
    <w:rsid w:val="00855156"/>
    <w:rsid w:val="008554FD"/>
    <w:rsid w:val="00857343"/>
    <w:rsid w:val="00857847"/>
    <w:rsid w:val="008601BD"/>
    <w:rsid w:val="008609F6"/>
    <w:rsid w:val="00862084"/>
    <w:rsid w:val="008624DC"/>
    <w:rsid w:val="0086254D"/>
    <w:rsid w:val="0086387C"/>
    <w:rsid w:val="00864480"/>
    <w:rsid w:val="0086797E"/>
    <w:rsid w:val="00870801"/>
    <w:rsid w:val="00872016"/>
    <w:rsid w:val="00873C61"/>
    <w:rsid w:val="00874A6C"/>
    <w:rsid w:val="008762C3"/>
    <w:rsid w:val="00876B79"/>
    <w:rsid w:val="00876C65"/>
    <w:rsid w:val="00877D47"/>
    <w:rsid w:val="00881382"/>
    <w:rsid w:val="00882AAE"/>
    <w:rsid w:val="0088305B"/>
    <w:rsid w:val="00883D45"/>
    <w:rsid w:val="00884EE9"/>
    <w:rsid w:val="00886CD7"/>
    <w:rsid w:val="0089098B"/>
    <w:rsid w:val="0089282E"/>
    <w:rsid w:val="008A0A4B"/>
    <w:rsid w:val="008A48E8"/>
    <w:rsid w:val="008A4B4C"/>
    <w:rsid w:val="008A550D"/>
    <w:rsid w:val="008A570D"/>
    <w:rsid w:val="008A62B2"/>
    <w:rsid w:val="008B03BE"/>
    <w:rsid w:val="008B4B3C"/>
    <w:rsid w:val="008B4CB9"/>
    <w:rsid w:val="008B5C56"/>
    <w:rsid w:val="008B6EB4"/>
    <w:rsid w:val="008B78AD"/>
    <w:rsid w:val="008C0684"/>
    <w:rsid w:val="008C0E70"/>
    <w:rsid w:val="008C125F"/>
    <w:rsid w:val="008C1762"/>
    <w:rsid w:val="008C239F"/>
    <w:rsid w:val="008C4C14"/>
    <w:rsid w:val="008C5388"/>
    <w:rsid w:val="008C5554"/>
    <w:rsid w:val="008C5653"/>
    <w:rsid w:val="008D00CA"/>
    <w:rsid w:val="008D1496"/>
    <w:rsid w:val="008D2D11"/>
    <w:rsid w:val="008D31E1"/>
    <w:rsid w:val="008D4437"/>
    <w:rsid w:val="008D474D"/>
    <w:rsid w:val="008D4906"/>
    <w:rsid w:val="008D4E82"/>
    <w:rsid w:val="008D4EE9"/>
    <w:rsid w:val="008D52BC"/>
    <w:rsid w:val="008E4514"/>
    <w:rsid w:val="008E480C"/>
    <w:rsid w:val="008E71F5"/>
    <w:rsid w:val="008E7236"/>
    <w:rsid w:val="008F03FD"/>
    <w:rsid w:val="008F1838"/>
    <w:rsid w:val="008F575E"/>
    <w:rsid w:val="008F6416"/>
    <w:rsid w:val="008F648C"/>
    <w:rsid w:val="008F71EB"/>
    <w:rsid w:val="008F766B"/>
    <w:rsid w:val="00900EDD"/>
    <w:rsid w:val="009017B9"/>
    <w:rsid w:val="00901A08"/>
    <w:rsid w:val="0090544E"/>
    <w:rsid w:val="00907757"/>
    <w:rsid w:val="00911300"/>
    <w:rsid w:val="00911EA9"/>
    <w:rsid w:val="009126AA"/>
    <w:rsid w:val="009167E3"/>
    <w:rsid w:val="00917BBA"/>
    <w:rsid w:val="009212B0"/>
    <w:rsid w:val="00921FA1"/>
    <w:rsid w:val="00922354"/>
    <w:rsid w:val="009234A5"/>
    <w:rsid w:val="0092582D"/>
    <w:rsid w:val="009267BE"/>
    <w:rsid w:val="00927046"/>
    <w:rsid w:val="0093036E"/>
    <w:rsid w:val="0093180D"/>
    <w:rsid w:val="00933453"/>
    <w:rsid w:val="009336F7"/>
    <w:rsid w:val="0093636C"/>
    <w:rsid w:val="009374A7"/>
    <w:rsid w:val="0093767E"/>
    <w:rsid w:val="0094003B"/>
    <w:rsid w:val="00940D75"/>
    <w:rsid w:val="00940DB1"/>
    <w:rsid w:val="00944327"/>
    <w:rsid w:val="00945C25"/>
    <w:rsid w:val="0094788F"/>
    <w:rsid w:val="009503EC"/>
    <w:rsid w:val="00952DB3"/>
    <w:rsid w:val="00955F6D"/>
    <w:rsid w:val="009568F8"/>
    <w:rsid w:val="00961887"/>
    <w:rsid w:val="00962A6E"/>
    <w:rsid w:val="00963647"/>
    <w:rsid w:val="00963A47"/>
    <w:rsid w:val="00965AE8"/>
    <w:rsid w:val="00967594"/>
    <w:rsid w:val="00970566"/>
    <w:rsid w:val="0097313C"/>
    <w:rsid w:val="00974984"/>
    <w:rsid w:val="00974D72"/>
    <w:rsid w:val="0097561E"/>
    <w:rsid w:val="00975B68"/>
    <w:rsid w:val="00975E37"/>
    <w:rsid w:val="00983561"/>
    <w:rsid w:val="00984A21"/>
    <w:rsid w:val="0098551D"/>
    <w:rsid w:val="00985A63"/>
    <w:rsid w:val="00986D1C"/>
    <w:rsid w:val="00987DEB"/>
    <w:rsid w:val="009908D6"/>
    <w:rsid w:val="0099196D"/>
    <w:rsid w:val="009929D8"/>
    <w:rsid w:val="00993171"/>
    <w:rsid w:val="00993E9C"/>
    <w:rsid w:val="0099518F"/>
    <w:rsid w:val="00995F85"/>
    <w:rsid w:val="009A260C"/>
    <w:rsid w:val="009A3A3E"/>
    <w:rsid w:val="009A3F2F"/>
    <w:rsid w:val="009A523D"/>
    <w:rsid w:val="009A5454"/>
    <w:rsid w:val="009A76B0"/>
    <w:rsid w:val="009A7E66"/>
    <w:rsid w:val="009B02A1"/>
    <w:rsid w:val="009B0E7F"/>
    <w:rsid w:val="009B4FC0"/>
    <w:rsid w:val="009B5AEC"/>
    <w:rsid w:val="009B75F8"/>
    <w:rsid w:val="009C1564"/>
    <w:rsid w:val="009C308E"/>
    <w:rsid w:val="009C438F"/>
    <w:rsid w:val="009C43F5"/>
    <w:rsid w:val="009D0F22"/>
    <w:rsid w:val="009D27A2"/>
    <w:rsid w:val="009D2D57"/>
    <w:rsid w:val="009D3057"/>
    <w:rsid w:val="009D3AF4"/>
    <w:rsid w:val="009D5CF9"/>
    <w:rsid w:val="009E0814"/>
    <w:rsid w:val="009E2E3B"/>
    <w:rsid w:val="009E3028"/>
    <w:rsid w:val="009E4B34"/>
    <w:rsid w:val="009E5074"/>
    <w:rsid w:val="009E57D6"/>
    <w:rsid w:val="009F0C81"/>
    <w:rsid w:val="009F1A20"/>
    <w:rsid w:val="009F2ED2"/>
    <w:rsid w:val="009F3816"/>
    <w:rsid w:val="009F3DE9"/>
    <w:rsid w:val="009F3E9A"/>
    <w:rsid w:val="009F44BB"/>
    <w:rsid w:val="009F496B"/>
    <w:rsid w:val="009F52F5"/>
    <w:rsid w:val="00A00F05"/>
    <w:rsid w:val="00A01439"/>
    <w:rsid w:val="00A02E61"/>
    <w:rsid w:val="00A030C5"/>
    <w:rsid w:val="00A03809"/>
    <w:rsid w:val="00A038B5"/>
    <w:rsid w:val="00A03F5F"/>
    <w:rsid w:val="00A048C2"/>
    <w:rsid w:val="00A05A75"/>
    <w:rsid w:val="00A05CFF"/>
    <w:rsid w:val="00A05F7C"/>
    <w:rsid w:val="00A071F2"/>
    <w:rsid w:val="00A0723B"/>
    <w:rsid w:val="00A115A0"/>
    <w:rsid w:val="00A13048"/>
    <w:rsid w:val="00A14B5E"/>
    <w:rsid w:val="00A152D8"/>
    <w:rsid w:val="00A202AC"/>
    <w:rsid w:val="00A21086"/>
    <w:rsid w:val="00A21991"/>
    <w:rsid w:val="00A2366E"/>
    <w:rsid w:val="00A27014"/>
    <w:rsid w:val="00A314FB"/>
    <w:rsid w:val="00A34054"/>
    <w:rsid w:val="00A35EF0"/>
    <w:rsid w:val="00A3674A"/>
    <w:rsid w:val="00A37300"/>
    <w:rsid w:val="00A4191A"/>
    <w:rsid w:val="00A42045"/>
    <w:rsid w:val="00A42795"/>
    <w:rsid w:val="00A43107"/>
    <w:rsid w:val="00A431F3"/>
    <w:rsid w:val="00A44312"/>
    <w:rsid w:val="00A45A46"/>
    <w:rsid w:val="00A464EA"/>
    <w:rsid w:val="00A46843"/>
    <w:rsid w:val="00A46CF6"/>
    <w:rsid w:val="00A55FE4"/>
    <w:rsid w:val="00A564CF"/>
    <w:rsid w:val="00A56B97"/>
    <w:rsid w:val="00A56EAE"/>
    <w:rsid w:val="00A6093C"/>
    <w:rsid w:val="00A6093D"/>
    <w:rsid w:val="00A610AC"/>
    <w:rsid w:val="00A645FD"/>
    <w:rsid w:val="00A64D2A"/>
    <w:rsid w:val="00A65041"/>
    <w:rsid w:val="00A65833"/>
    <w:rsid w:val="00A66C06"/>
    <w:rsid w:val="00A70C0A"/>
    <w:rsid w:val="00A70E32"/>
    <w:rsid w:val="00A7116F"/>
    <w:rsid w:val="00A7265D"/>
    <w:rsid w:val="00A740D5"/>
    <w:rsid w:val="00A767DC"/>
    <w:rsid w:val="00A76A6D"/>
    <w:rsid w:val="00A80CFA"/>
    <w:rsid w:val="00A83253"/>
    <w:rsid w:val="00A837FF"/>
    <w:rsid w:val="00A90A1D"/>
    <w:rsid w:val="00A91053"/>
    <w:rsid w:val="00A91B2B"/>
    <w:rsid w:val="00A92792"/>
    <w:rsid w:val="00A92CE3"/>
    <w:rsid w:val="00A92DA6"/>
    <w:rsid w:val="00A93596"/>
    <w:rsid w:val="00A93E43"/>
    <w:rsid w:val="00A957CA"/>
    <w:rsid w:val="00AA0E4E"/>
    <w:rsid w:val="00AA191A"/>
    <w:rsid w:val="00AA27B8"/>
    <w:rsid w:val="00AA5684"/>
    <w:rsid w:val="00AA6E84"/>
    <w:rsid w:val="00AB32C6"/>
    <w:rsid w:val="00AB5BC2"/>
    <w:rsid w:val="00AB5C19"/>
    <w:rsid w:val="00AB7ACB"/>
    <w:rsid w:val="00AC4BDC"/>
    <w:rsid w:val="00AC54BF"/>
    <w:rsid w:val="00AC785D"/>
    <w:rsid w:val="00AD05A8"/>
    <w:rsid w:val="00AD05F7"/>
    <w:rsid w:val="00AD38D6"/>
    <w:rsid w:val="00AD3905"/>
    <w:rsid w:val="00AD39B0"/>
    <w:rsid w:val="00AD3FB7"/>
    <w:rsid w:val="00AD48A0"/>
    <w:rsid w:val="00AD71F4"/>
    <w:rsid w:val="00AD75BC"/>
    <w:rsid w:val="00AE047B"/>
    <w:rsid w:val="00AE2901"/>
    <w:rsid w:val="00AE2A7F"/>
    <w:rsid w:val="00AE341B"/>
    <w:rsid w:val="00AE3F80"/>
    <w:rsid w:val="00AE5D61"/>
    <w:rsid w:val="00AE7A03"/>
    <w:rsid w:val="00AE7EC3"/>
    <w:rsid w:val="00AF0EEB"/>
    <w:rsid w:val="00AF111C"/>
    <w:rsid w:val="00AF19AA"/>
    <w:rsid w:val="00AF321A"/>
    <w:rsid w:val="00AF4B59"/>
    <w:rsid w:val="00AF5F32"/>
    <w:rsid w:val="00AF75E5"/>
    <w:rsid w:val="00B00DCB"/>
    <w:rsid w:val="00B01D9D"/>
    <w:rsid w:val="00B03454"/>
    <w:rsid w:val="00B04495"/>
    <w:rsid w:val="00B045C8"/>
    <w:rsid w:val="00B049B6"/>
    <w:rsid w:val="00B04D6D"/>
    <w:rsid w:val="00B060E3"/>
    <w:rsid w:val="00B0657D"/>
    <w:rsid w:val="00B07CA7"/>
    <w:rsid w:val="00B1279A"/>
    <w:rsid w:val="00B13A6D"/>
    <w:rsid w:val="00B145C4"/>
    <w:rsid w:val="00B14976"/>
    <w:rsid w:val="00B15167"/>
    <w:rsid w:val="00B200FA"/>
    <w:rsid w:val="00B20C81"/>
    <w:rsid w:val="00B22B0A"/>
    <w:rsid w:val="00B24366"/>
    <w:rsid w:val="00B314F8"/>
    <w:rsid w:val="00B325C2"/>
    <w:rsid w:val="00B32F94"/>
    <w:rsid w:val="00B34A6E"/>
    <w:rsid w:val="00B4194A"/>
    <w:rsid w:val="00B41E53"/>
    <w:rsid w:val="00B4247C"/>
    <w:rsid w:val="00B437C8"/>
    <w:rsid w:val="00B43E98"/>
    <w:rsid w:val="00B4756B"/>
    <w:rsid w:val="00B51060"/>
    <w:rsid w:val="00B51C91"/>
    <w:rsid w:val="00B5209F"/>
    <w:rsid w:val="00B5222E"/>
    <w:rsid w:val="00B522F3"/>
    <w:rsid w:val="00B52542"/>
    <w:rsid w:val="00B530B0"/>
    <w:rsid w:val="00B53179"/>
    <w:rsid w:val="00B53EE8"/>
    <w:rsid w:val="00B54797"/>
    <w:rsid w:val="00B56065"/>
    <w:rsid w:val="00B571D9"/>
    <w:rsid w:val="00B57F4F"/>
    <w:rsid w:val="00B600CD"/>
    <w:rsid w:val="00B61C96"/>
    <w:rsid w:val="00B62042"/>
    <w:rsid w:val="00B658C3"/>
    <w:rsid w:val="00B65CF3"/>
    <w:rsid w:val="00B67C46"/>
    <w:rsid w:val="00B73A2A"/>
    <w:rsid w:val="00B74A51"/>
    <w:rsid w:val="00B754A6"/>
    <w:rsid w:val="00B77422"/>
    <w:rsid w:val="00B80412"/>
    <w:rsid w:val="00B80BE8"/>
    <w:rsid w:val="00B8191A"/>
    <w:rsid w:val="00B820CE"/>
    <w:rsid w:val="00B8300F"/>
    <w:rsid w:val="00B86D5E"/>
    <w:rsid w:val="00B92F75"/>
    <w:rsid w:val="00B93C00"/>
    <w:rsid w:val="00B944F7"/>
    <w:rsid w:val="00B94B06"/>
    <w:rsid w:val="00B94C28"/>
    <w:rsid w:val="00B9579C"/>
    <w:rsid w:val="00B95980"/>
    <w:rsid w:val="00BA06BE"/>
    <w:rsid w:val="00BA4A55"/>
    <w:rsid w:val="00BA6C9D"/>
    <w:rsid w:val="00BA6E28"/>
    <w:rsid w:val="00BB08A9"/>
    <w:rsid w:val="00BB18B6"/>
    <w:rsid w:val="00BB21FC"/>
    <w:rsid w:val="00BB2833"/>
    <w:rsid w:val="00BB3022"/>
    <w:rsid w:val="00BB5CC8"/>
    <w:rsid w:val="00BB7E09"/>
    <w:rsid w:val="00BC0597"/>
    <w:rsid w:val="00BC06E8"/>
    <w:rsid w:val="00BC10BA"/>
    <w:rsid w:val="00BC4381"/>
    <w:rsid w:val="00BC4F0C"/>
    <w:rsid w:val="00BC5AFD"/>
    <w:rsid w:val="00BC60BB"/>
    <w:rsid w:val="00BC6E06"/>
    <w:rsid w:val="00BC7253"/>
    <w:rsid w:val="00BC738D"/>
    <w:rsid w:val="00BC7787"/>
    <w:rsid w:val="00BD0D96"/>
    <w:rsid w:val="00BD2199"/>
    <w:rsid w:val="00BD2D49"/>
    <w:rsid w:val="00BD3B70"/>
    <w:rsid w:val="00BD48E7"/>
    <w:rsid w:val="00BD6553"/>
    <w:rsid w:val="00BD78BB"/>
    <w:rsid w:val="00BF1C1F"/>
    <w:rsid w:val="00BF3A20"/>
    <w:rsid w:val="00BF421D"/>
    <w:rsid w:val="00BF5159"/>
    <w:rsid w:val="00BF7BBC"/>
    <w:rsid w:val="00C00A31"/>
    <w:rsid w:val="00C00E5C"/>
    <w:rsid w:val="00C01714"/>
    <w:rsid w:val="00C02400"/>
    <w:rsid w:val="00C0468F"/>
    <w:rsid w:val="00C04F43"/>
    <w:rsid w:val="00C0609D"/>
    <w:rsid w:val="00C06E87"/>
    <w:rsid w:val="00C115AB"/>
    <w:rsid w:val="00C12200"/>
    <w:rsid w:val="00C1448F"/>
    <w:rsid w:val="00C15FC0"/>
    <w:rsid w:val="00C168CC"/>
    <w:rsid w:val="00C176D2"/>
    <w:rsid w:val="00C17F11"/>
    <w:rsid w:val="00C20F32"/>
    <w:rsid w:val="00C23B37"/>
    <w:rsid w:val="00C249D9"/>
    <w:rsid w:val="00C263EE"/>
    <w:rsid w:val="00C26816"/>
    <w:rsid w:val="00C26CCB"/>
    <w:rsid w:val="00C26D8C"/>
    <w:rsid w:val="00C30249"/>
    <w:rsid w:val="00C30E90"/>
    <w:rsid w:val="00C31612"/>
    <w:rsid w:val="00C32B6E"/>
    <w:rsid w:val="00C331AD"/>
    <w:rsid w:val="00C33387"/>
    <w:rsid w:val="00C36D46"/>
    <w:rsid w:val="00C3723B"/>
    <w:rsid w:val="00C3785B"/>
    <w:rsid w:val="00C4128F"/>
    <w:rsid w:val="00C42466"/>
    <w:rsid w:val="00C430AF"/>
    <w:rsid w:val="00C46FF6"/>
    <w:rsid w:val="00C476C7"/>
    <w:rsid w:val="00C50948"/>
    <w:rsid w:val="00C5130C"/>
    <w:rsid w:val="00C56DA2"/>
    <w:rsid w:val="00C60053"/>
    <w:rsid w:val="00C606C9"/>
    <w:rsid w:val="00C60868"/>
    <w:rsid w:val="00C60A8A"/>
    <w:rsid w:val="00C610D7"/>
    <w:rsid w:val="00C626FF"/>
    <w:rsid w:val="00C62873"/>
    <w:rsid w:val="00C64628"/>
    <w:rsid w:val="00C7047B"/>
    <w:rsid w:val="00C70F84"/>
    <w:rsid w:val="00C71224"/>
    <w:rsid w:val="00C714B5"/>
    <w:rsid w:val="00C729E1"/>
    <w:rsid w:val="00C74682"/>
    <w:rsid w:val="00C75C95"/>
    <w:rsid w:val="00C77A5D"/>
    <w:rsid w:val="00C77B04"/>
    <w:rsid w:val="00C80288"/>
    <w:rsid w:val="00C81164"/>
    <w:rsid w:val="00C813A1"/>
    <w:rsid w:val="00C827E4"/>
    <w:rsid w:val="00C82873"/>
    <w:rsid w:val="00C84003"/>
    <w:rsid w:val="00C90650"/>
    <w:rsid w:val="00C9191F"/>
    <w:rsid w:val="00C941A4"/>
    <w:rsid w:val="00C955CE"/>
    <w:rsid w:val="00C955F6"/>
    <w:rsid w:val="00C96291"/>
    <w:rsid w:val="00C96390"/>
    <w:rsid w:val="00C9766F"/>
    <w:rsid w:val="00C97D78"/>
    <w:rsid w:val="00CA056A"/>
    <w:rsid w:val="00CA0EEA"/>
    <w:rsid w:val="00CA1FEA"/>
    <w:rsid w:val="00CA292A"/>
    <w:rsid w:val="00CA41C9"/>
    <w:rsid w:val="00CA79A4"/>
    <w:rsid w:val="00CB1084"/>
    <w:rsid w:val="00CB1566"/>
    <w:rsid w:val="00CB2382"/>
    <w:rsid w:val="00CB36D2"/>
    <w:rsid w:val="00CB40ED"/>
    <w:rsid w:val="00CB5639"/>
    <w:rsid w:val="00CC05A5"/>
    <w:rsid w:val="00CC0CD4"/>
    <w:rsid w:val="00CC10E1"/>
    <w:rsid w:val="00CC18E9"/>
    <w:rsid w:val="00CC218C"/>
    <w:rsid w:val="00CC2AAE"/>
    <w:rsid w:val="00CC3B4B"/>
    <w:rsid w:val="00CC46ED"/>
    <w:rsid w:val="00CC5A42"/>
    <w:rsid w:val="00CD012B"/>
    <w:rsid w:val="00CD013E"/>
    <w:rsid w:val="00CD0EAB"/>
    <w:rsid w:val="00CD20D2"/>
    <w:rsid w:val="00CD2EDF"/>
    <w:rsid w:val="00CD2F93"/>
    <w:rsid w:val="00CD3E94"/>
    <w:rsid w:val="00CD3F5A"/>
    <w:rsid w:val="00CD42CE"/>
    <w:rsid w:val="00CD59FD"/>
    <w:rsid w:val="00CD681E"/>
    <w:rsid w:val="00CD7218"/>
    <w:rsid w:val="00CD7A1A"/>
    <w:rsid w:val="00CE2AD6"/>
    <w:rsid w:val="00CE5241"/>
    <w:rsid w:val="00CE5A36"/>
    <w:rsid w:val="00CE5E02"/>
    <w:rsid w:val="00CE642D"/>
    <w:rsid w:val="00CE7B6B"/>
    <w:rsid w:val="00CF0257"/>
    <w:rsid w:val="00CF06F7"/>
    <w:rsid w:val="00CF2F05"/>
    <w:rsid w:val="00CF34DB"/>
    <w:rsid w:val="00CF558F"/>
    <w:rsid w:val="00CF6646"/>
    <w:rsid w:val="00CF68E1"/>
    <w:rsid w:val="00CF6B04"/>
    <w:rsid w:val="00D010C0"/>
    <w:rsid w:val="00D02FA6"/>
    <w:rsid w:val="00D0360F"/>
    <w:rsid w:val="00D03FD5"/>
    <w:rsid w:val="00D073E2"/>
    <w:rsid w:val="00D131A7"/>
    <w:rsid w:val="00D13800"/>
    <w:rsid w:val="00D14CCD"/>
    <w:rsid w:val="00D16661"/>
    <w:rsid w:val="00D20CFA"/>
    <w:rsid w:val="00D21378"/>
    <w:rsid w:val="00D21F21"/>
    <w:rsid w:val="00D232DE"/>
    <w:rsid w:val="00D238FF"/>
    <w:rsid w:val="00D23946"/>
    <w:rsid w:val="00D30244"/>
    <w:rsid w:val="00D30A86"/>
    <w:rsid w:val="00D30C37"/>
    <w:rsid w:val="00D311C2"/>
    <w:rsid w:val="00D32E36"/>
    <w:rsid w:val="00D34C53"/>
    <w:rsid w:val="00D34FB0"/>
    <w:rsid w:val="00D3631E"/>
    <w:rsid w:val="00D36E3D"/>
    <w:rsid w:val="00D406C6"/>
    <w:rsid w:val="00D446EC"/>
    <w:rsid w:val="00D44C7E"/>
    <w:rsid w:val="00D45A45"/>
    <w:rsid w:val="00D468E5"/>
    <w:rsid w:val="00D46C60"/>
    <w:rsid w:val="00D50919"/>
    <w:rsid w:val="00D5149D"/>
    <w:rsid w:val="00D516E3"/>
    <w:rsid w:val="00D51750"/>
    <w:rsid w:val="00D51BF0"/>
    <w:rsid w:val="00D525EB"/>
    <w:rsid w:val="00D52806"/>
    <w:rsid w:val="00D53677"/>
    <w:rsid w:val="00D53BE6"/>
    <w:rsid w:val="00D54221"/>
    <w:rsid w:val="00D542C7"/>
    <w:rsid w:val="00D54A3E"/>
    <w:rsid w:val="00D55942"/>
    <w:rsid w:val="00D5604C"/>
    <w:rsid w:val="00D56297"/>
    <w:rsid w:val="00D60B08"/>
    <w:rsid w:val="00D63BD5"/>
    <w:rsid w:val="00D64E01"/>
    <w:rsid w:val="00D65B64"/>
    <w:rsid w:val="00D67353"/>
    <w:rsid w:val="00D736CD"/>
    <w:rsid w:val="00D74653"/>
    <w:rsid w:val="00D767AA"/>
    <w:rsid w:val="00D767E9"/>
    <w:rsid w:val="00D77F41"/>
    <w:rsid w:val="00D8063C"/>
    <w:rsid w:val="00D807BF"/>
    <w:rsid w:val="00D82FCC"/>
    <w:rsid w:val="00D82FDD"/>
    <w:rsid w:val="00D85277"/>
    <w:rsid w:val="00D86FC7"/>
    <w:rsid w:val="00D87120"/>
    <w:rsid w:val="00D873C1"/>
    <w:rsid w:val="00D9074C"/>
    <w:rsid w:val="00D92947"/>
    <w:rsid w:val="00D94566"/>
    <w:rsid w:val="00D94A3E"/>
    <w:rsid w:val="00D95F40"/>
    <w:rsid w:val="00D96C87"/>
    <w:rsid w:val="00D9760C"/>
    <w:rsid w:val="00DA17FC"/>
    <w:rsid w:val="00DA1A9C"/>
    <w:rsid w:val="00DA23FE"/>
    <w:rsid w:val="00DA3261"/>
    <w:rsid w:val="00DA5089"/>
    <w:rsid w:val="00DA5773"/>
    <w:rsid w:val="00DA6683"/>
    <w:rsid w:val="00DA6AC5"/>
    <w:rsid w:val="00DA7887"/>
    <w:rsid w:val="00DA7E75"/>
    <w:rsid w:val="00DB0DA5"/>
    <w:rsid w:val="00DB17BB"/>
    <w:rsid w:val="00DB24C9"/>
    <w:rsid w:val="00DB2C26"/>
    <w:rsid w:val="00DB3339"/>
    <w:rsid w:val="00DB3D21"/>
    <w:rsid w:val="00DB497D"/>
    <w:rsid w:val="00DB5AE0"/>
    <w:rsid w:val="00DB713F"/>
    <w:rsid w:val="00DB7FBE"/>
    <w:rsid w:val="00DC007D"/>
    <w:rsid w:val="00DC25FC"/>
    <w:rsid w:val="00DC26DC"/>
    <w:rsid w:val="00DC31D2"/>
    <w:rsid w:val="00DC3BE2"/>
    <w:rsid w:val="00DC45C0"/>
    <w:rsid w:val="00DC49F0"/>
    <w:rsid w:val="00DD02F4"/>
    <w:rsid w:val="00DD1E56"/>
    <w:rsid w:val="00DD2EDB"/>
    <w:rsid w:val="00DD68A9"/>
    <w:rsid w:val="00DE228F"/>
    <w:rsid w:val="00DE4EA4"/>
    <w:rsid w:val="00DE694C"/>
    <w:rsid w:val="00DE6B43"/>
    <w:rsid w:val="00DE6CD0"/>
    <w:rsid w:val="00DE7A7E"/>
    <w:rsid w:val="00DF1F5B"/>
    <w:rsid w:val="00DF26E5"/>
    <w:rsid w:val="00DF2AEE"/>
    <w:rsid w:val="00DF423B"/>
    <w:rsid w:val="00DF4E3F"/>
    <w:rsid w:val="00DF4F59"/>
    <w:rsid w:val="00DF5E7E"/>
    <w:rsid w:val="00DF6259"/>
    <w:rsid w:val="00DF65DD"/>
    <w:rsid w:val="00DF6836"/>
    <w:rsid w:val="00E00BAB"/>
    <w:rsid w:val="00E01D4B"/>
    <w:rsid w:val="00E04BF7"/>
    <w:rsid w:val="00E05463"/>
    <w:rsid w:val="00E10608"/>
    <w:rsid w:val="00E10C83"/>
    <w:rsid w:val="00E11539"/>
    <w:rsid w:val="00E11923"/>
    <w:rsid w:val="00E205B2"/>
    <w:rsid w:val="00E20A09"/>
    <w:rsid w:val="00E20CC2"/>
    <w:rsid w:val="00E2300F"/>
    <w:rsid w:val="00E262D4"/>
    <w:rsid w:val="00E26FFD"/>
    <w:rsid w:val="00E3083E"/>
    <w:rsid w:val="00E30E23"/>
    <w:rsid w:val="00E32FE6"/>
    <w:rsid w:val="00E33233"/>
    <w:rsid w:val="00E34FB9"/>
    <w:rsid w:val="00E357F3"/>
    <w:rsid w:val="00E358F5"/>
    <w:rsid w:val="00E35912"/>
    <w:rsid w:val="00E36250"/>
    <w:rsid w:val="00E372AA"/>
    <w:rsid w:val="00E4028C"/>
    <w:rsid w:val="00E4072B"/>
    <w:rsid w:val="00E40E99"/>
    <w:rsid w:val="00E437EB"/>
    <w:rsid w:val="00E4454D"/>
    <w:rsid w:val="00E44F62"/>
    <w:rsid w:val="00E4654B"/>
    <w:rsid w:val="00E5008D"/>
    <w:rsid w:val="00E50AB0"/>
    <w:rsid w:val="00E5129C"/>
    <w:rsid w:val="00E52E99"/>
    <w:rsid w:val="00E54511"/>
    <w:rsid w:val="00E55170"/>
    <w:rsid w:val="00E559FB"/>
    <w:rsid w:val="00E56323"/>
    <w:rsid w:val="00E57407"/>
    <w:rsid w:val="00E578B9"/>
    <w:rsid w:val="00E60218"/>
    <w:rsid w:val="00E60D00"/>
    <w:rsid w:val="00E61D07"/>
    <w:rsid w:val="00E61DAC"/>
    <w:rsid w:val="00E6256E"/>
    <w:rsid w:val="00E6371F"/>
    <w:rsid w:val="00E6775C"/>
    <w:rsid w:val="00E67DEC"/>
    <w:rsid w:val="00E71A77"/>
    <w:rsid w:val="00E72B80"/>
    <w:rsid w:val="00E72B9F"/>
    <w:rsid w:val="00E72C9C"/>
    <w:rsid w:val="00E72F51"/>
    <w:rsid w:val="00E75FE3"/>
    <w:rsid w:val="00E80059"/>
    <w:rsid w:val="00E810AA"/>
    <w:rsid w:val="00E8235D"/>
    <w:rsid w:val="00E86C4C"/>
    <w:rsid w:val="00E907A3"/>
    <w:rsid w:val="00E92D7A"/>
    <w:rsid w:val="00E9323C"/>
    <w:rsid w:val="00E9368F"/>
    <w:rsid w:val="00E93717"/>
    <w:rsid w:val="00E948C3"/>
    <w:rsid w:val="00E963A2"/>
    <w:rsid w:val="00E97625"/>
    <w:rsid w:val="00EA1E30"/>
    <w:rsid w:val="00EA33DE"/>
    <w:rsid w:val="00EA4B86"/>
    <w:rsid w:val="00EA5546"/>
    <w:rsid w:val="00EA5782"/>
    <w:rsid w:val="00EA5AE0"/>
    <w:rsid w:val="00EA6099"/>
    <w:rsid w:val="00EB01EF"/>
    <w:rsid w:val="00EB08A7"/>
    <w:rsid w:val="00EB3EEE"/>
    <w:rsid w:val="00EB5209"/>
    <w:rsid w:val="00EB7AB1"/>
    <w:rsid w:val="00EC3CFA"/>
    <w:rsid w:val="00EC4A67"/>
    <w:rsid w:val="00EC4B2E"/>
    <w:rsid w:val="00EC68EF"/>
    <w:rsid w:val="00EC7205"/>
    <w:rsid w:val="00ED093E"/>
    <w:rsid w:val="00ED2462"/>
    <w:rsid w:val="00ED38A9"/>
    <w:rsid w:val="00ED5F07"/>
    <w:rsid w:val="00ED60BA"/>
    <w:rsid w:val="00EE0D22"/>
    <w:rsid w:val="00EE1211"/>
    <w:rsid w:val="00EE1C4A"/>
    <w:rsid w:val="00EE1D6B"/>
    <w:rsid w:val="00EE2FFF"/>
    <w:rsid w:val="00EE3B14"/>
    <w:rsid w:val="00EE4935"/>
    <w:rsid w:val="00EE6CAB"/>
    <w:rsid w:val="00EE7CD8"/>
    <w:rsid w:val="00EF16B3"/>
    <w:rsid w:val="00EF3E81"/>
    <w:rsid w:val="00EF4057"/>
    <w:rsid w:val="00EF46F0"/>
    <w:rsid w:val="00EF48CC"/>
    <w:rsid w:val="00EF530F"/>
    <w:rsid w:val="00F00801"/>
    <w:rsid w:val="00F02411"/>
    <w:rsid w:val="00F029AA"/>
    <w:rsid w:val="00F037DC"/>
    <w:rsid w:val="00F03A48"/>
    <w:rsid w:val="00F0513F"/>
    <w:rsid w:val="00F0615F"/>
    <w:rsid w:val="00F0772F"/>
    <w:rsid w:val="00F11B05"/>
    <w:rsid w:val="00F12F38"/>
    <w:rsid w:val="00F13525"/>
    <w:rsid w:val="00F14BFC"/>
    <w:rsid w:val="00F179D6"/>
    <w:rsid w:val="00F2035B"/>
    <w:rsid w:val="00F20F66"/>
    <w:rsid w:val="00F2319D"/>
    <w:rsid w:val="00F260C4"/>
    <w:rsid w:val="00F27C58"/>
    <w:rsid w:val="00F3090F"/>
    <w:rsid w:val="00F320B4"/>
    <w:rsid w:val="00F33D58"/>
    <w:rsid w:val="00F4452E"/>
    <w:rsid w:val="00F468DC"/>
    <w:rsid w:val="00F46B12"/>
    <w:rsid w:val="00F475B9"/>
    <w:rsid w:val="00F51897"/>
    <w:rsid w:val="00F51967"/>
    <w:rsid w:val="00F51F44"/>
    <w:rsid w:val="00F52001"/>
    <w:rsid w:val="00F52A2D"/>
    <w:rsid w:val="00F53617"/>
    <w:rsid w:val="00F6036D"/>
    <w:rsid w:val="00F6130F"/>
    <w:rsid w:val="00F63552"/>
    <w:rsid w:val="00F64E20"/>
    <w:rsid w:val="00F6639E"/>
    <w:rsid w:val="00F66FB3"/>
    <w:rsid w:val="00F672E2"/>
    <w:rsid w:val="00F67970"/>
    <w:rsid w:val="00F7236E"/>
    <w:rsid w:val="00F727A0"/>
    <w:rsid w:val="00F73032"/>
    <w:rsid w:val="00F73CCF"/>
    <w:rsid w:val="00F73D18"/>
    <w:rsid w:val="00F743DF"/>
    <w:rsid w:val="00F75573"/>
    <w:rsid w:val="00F75DA5"/>
    <w:rsid w:val="00F7769A"/>
    <w:rsid w:val="00F80788"/>
    <w:rsid w:val="00F80A53"/>
    <w:rsid w:val="00F81A85"/>
    <w:rsid w:val="00F83B75"/>
    <w:rsid w:val="00F8415D"/>
    <w:rsid w:val="00F848FC"/>
    <w:rsid w:val="00F855FD"/>
    <w:rsid w:val="00F87249"/>
    <w:rsid w:val="00F9282A"/>
    <w:rsid w:val="00F95A68"/>
    <w:rsid w:val="00F968C4"/>
    <w:rsid w:val="00F96BAD"/>
    <w:rsid w:val="00F9780F"/>
    <w:rsid w:val="00FA139D"/>
    <w:rsid w:val="00FA52B6"/>
    <w:rsid w:val="00FA6045"/>
    <w:rsid w:val="00FA64C8"/>
    <w:rsid w:val="00FA7515"/>
    <w:rsid w:val="00FB0C98"/>
    <w:rsid w:val="00FB0E84"/>
    <w:rsid w:val="00FB3244"/>
    <w:rsid w:val="00FB34C2"/>
    <w:rsid w:val="00FB630C"/>
    <w:rsid w:val="00FC3697"/>
    <w:rsid w:val="00FC4054"/>
    <w:rsid w:val="00FC43BD"/>
    <w:rsid w:val="00FD01C2"/>
    <w:rsid w:val="00FD12D8"/>
    <w:rsid w:val="00FD306C"/>
    <w:rsid w:val="00FD5228"/>
    <w:rsid w:val="00FE01CC"/>
    <w:rsid w:val="00FE0BD0"/>
    <w:rsid w:val="00FE15B8"/>
    <w:rsid w:val="00FE1691"/>
    <w:rsid w:val="00FE2F13"/>
    <w:rsid w:val="00FE4EE1"/>
    <w:rsid w:val="00FE595C"/>
    <w:rsid w:val="00FE713A"/>
    <w:rsid w:val="00FF0CE3"/>
    <w:rsid w:val="00FF129E"/>
    <w:rsid w:val="00FF1C36"/>
    <w:rsid w:val="00FF21BE"/>
    <w:rsid w:val="00FF229E"/>
    <w:rsid w:val="00FF37E3"/>
    <w:rsid w:val="00FF63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7F4F0BBA"/>
  <w15:docId w15:val="{4F886F2F-42D1-41BE-AC0B-1EDA2FB36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uiPriority="9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D23946"/>
    <w:pPr>
      <w:tabs>
        <w:tab w:val="left" w:pos="792"/>
        <w:tab w:val="left" w:pos="1195"/>
        <w:tab w:val="left" w:pos="1584"/>
        <w:tab w:val="left" w:pos="1987"/>
        <w:tab w:val="left" w:pos="4853"/>
        <w:tab w:val="right" w:pos="9691"/>
      </w:tabs>
      <w:spacing w:before="136"/>
      <w:jc w:val="both"/>
    </w:pPr>
    <w:rPr>
      <w:rFonts w:eastAsia="MS Mincho"/>
      <w:sz w:val="20"/>
      <w:lang w:val="en-CA" w:eastAsia="ja-JP"/>
    </w:rPr>
  </w:style>
  <w:style w:type="paragraph" w:styleId="Heading1">
    <w:name w:val="heading 1"/>
    <w:basedOn w:val="Normal"/>
    <w:next w:val="Normal"/>
    <w:link w:val="Heading1Char"/>
    <w:qFormat/>
    <w:rsid w:val="003A22E3"/>
    <w:pPr>
      <w:keepNext/>
      <w:numPr>
        <w:numId w:val="6"/>
      </w:numPr>
      <w:spacing w:before="240" w:after="60"/>
      <w:outlineLvl w:val="0"/>
    </w:pPr>
    <w:rPr>
      <w:rFonts w:cs="Arial"/>
      <w:b/>
      <w:bCs/>
      <w:kern w:val="32"/>
      <w:sz w:val="24"/>
      <w:szCs w:val="32"/>
    </w:rPr>
  </w:style>
  <w:style w:type="paragraph" w:styleId="Heading2">
    <w:name w:val="heading 2"/>
    <w:basedOn w:val="Normal"/>
    <w:next w:val="Normal"/>
    <w:link w:val="Heading2Char"/>
    <w:uiPriority w:val="99"/>
    <w:qFormat/>
    <w:rsid w:val="003A22E3"/>
    <w:pPr>
      <w:keepNext/>
      <w:keepLines/>
      <w:numPr>
        <w:ilvl w:val="1"/>
        <w:numId w:val="6"/>
      </w:numPr>
      <w:spacing w:before="313"/>
      <w:ind w:left="0" w:firstLine="0"/>
      <w:outlineLvl w:val="1"/>
    </w:pPr>
    <w:rPr>
      <w:b/>
      <w:bCs/>
      <w:iCs/>
      <w:sz w:val="22"/>
      <w:szCs w:val="28"/>
    </w:rPr>
  </w:style>
  <w:style w:type="paragraph" w:styleId="Heading3">
    <w:name w:val="heading 3"/>
    <w:aliases w:val="H3,H31,h3"/>
    <w:basedOn w:val="Normal"/>
    <w:next w:val="Normal"/>
    <w:link w:val="Heading3Char"/>
    <w:uiPriority w:val="99"/>
    <w:qFormat/>
    <w:rsid w:val="003A22E3"/>
    <w:pPr>
      <w:keepNext/>
      <w:keepLines/>
      <w:numPr>
        <w:ilvl w:val="2"/>
        <w:numId w:val="6"/>
      </w:numPr>
      <w:tabs>
        <w:tab w:val="left" w:pos="720"/>
      </w:tabs>
      <w:spacing w:before="181"/>
      <w:outlineLvl w:val="2"/>
    </w:pPr>
    <w:rPr>
      <w:b/>
      <w:bCs/>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3A22E3"/>
    <w:pPr>
      <w:keepNext/>
      <w:numPr>
        <w:ilvl w:val="3"/>
        <w:numId w:val="6"/>
      </w:numPr>
      <w:spacing w:before="240" w:after="60"/>
      <w:ind w:right="1008"/>
      <w:outlineLvl w:val="3"/>
    </w:pPr>
    <w:rPr>
      <w:rFonts w:ascii="Times New Roman Bold" w:hAnsi="Times New Roman Bold"/>
      <w:b/>
      <w:bCs/>
      <w:szCs w:val="28"/>
    </w:rPr>
  </w:style>
  <w:style w:type="paragraph" w:styleId="Heading5">
    <w:name w:val="heading 5"/>
    <w:aliases w:val="H5,H51,h5"/>
    <w:basedOn w:val="Normal"/>
    <w:next w:val="Normal"/>
    <w:link w:val="Heading5Char"/>
    <w:uiPriority w:val="99"/>
    <w:qFormat/>
    <w:rsid w:val="003A22E3"/>
    <w:pPr>
      <w:keepNext/>
      <w:numPr>
        <w:ilvl w:val="4"/>
        <w:numId w:val="6"/>
      </w:numPr>
      <w:spacing w:before="240" w:after="60"/>
      <w:outlineLvl w:val="4"/>
    </w:pPr>
    <w:rPr>
      <w:b/>
      <w:bCs/>
      <w:iCs/>
      <w:szCs w:val="26"/>
    </w:rPr>
  </w:style>
  <w:style w:type="paragraph" w:styleId="Heading6">
    <w:name w:val="heading 6"/>
    <w:aliases w:val="H6,H61,h6"/>
    <w:basedOn w:val="Normal"/>
    <w:next w:val="Normal"/>
    <w:link w:val="Heading6Char"/>
    <w:uiPriority w:val="99"/>
    <w:qFormat/>
    <w:rsid w:val="003A22E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3A22E3"/>
    <w:pPr>
      <w:keepNext/>
      <w:numPr>
        <w:ilvl w:val="6"/>
        <w:numId w:val="6"/>
      </w:numPr>
      <w:spacing w:before="240" w:after="60"/>
      <w:outlineLvl w:val="6"/>
    </w:pPr>
  </w:style>
  <w:style w:type="paragraph" w:styleId="Heading8">
    <w:name w:val="heading 8"/>
    <w:basedOn w:val="Normal"/>
    <w:next w:val="Normal"/>
    <w:link w:val="Heading8Char"/>
    <w:qFormat/>
    <w:rsid w:val="003A22E3"/>
    <w:pPr>
      <w:keepNext/>
      <w:numPr>
        <w:ilvl w:val="7"/>
        <w:numId w:val="6"/>
      </w:numPr>
      <w:tabs>
        <w:tab w:val="left" w:pos="1800"/>
      </w:tabs>
      <w:spacing w:before="240" w:after="60"/>
      <w:outlineLvl w:val="7"/>
    </w:pPr>
    <w:rPr>
      <w:i/>
      <w:iCs/>
    </w:rPr>
  </w:style>
  <w:style w:type="paragraph" w:styleId="Heading9">
    <w:name w:val="heading 9"/>
    <w:basedOn w:val="Normal"/>
    <w:next w:val="Normal"/>
    <w:link w:val="Heading9Char"/>
    <w:qFormat/>
    <w:rsid w:val="003A22E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Heading2Char">
    <w:name w:val="Heading 2 Char"/>
    <w:link w:val="Heading2"/>
    <w:uiPriority w:val="99"/>
    <w:rsid w:val="003A22E3"/>
    <w:rPr>
      <w:rFonts w:eastAsia="MS Mincho"/>
      <w:b/>
      <w:bCs/>
      <w:iCs/>
      <w:sz w:val="22"/>
      <w:szCs w:val="28"/>
      <w:lang w:val="en-CA" w:eastAsia="ja-JP"/>
    </w:rPr>
  </w:style>
  <w:style w:type="character" w:customStyle="1" w:styleId="Heading3Char">
    <w:name w:val="Heading 3 Char"/>
    <w:aliases w:val="H3 Char,H31 Char,h3 Char"/>
    <w:link w:val="Heading3"/>
    <w:uiPriority w:val="99"/>
    <w:rsid w:val="003A22E3"/>
    <w:rPr>
      <w:rFonts w:eastAsia="MS Mincho"/>
      <w:b/>
      <w:bCs/>
      <w:sz w:val="20"/>
      <w:szCs w:val="26"/>
      <w:lang w:val="en-CA" w:eastAsia="ja-JP"/>
    </w:rPr>
  </w:style>
  <w:style w:type="character" w:customStyle="1" w:styleId="Heading4Char">
    <w:name w:val="Heading 4 Char"/>
    <w:aliases w:val="Heading 4 Char1 Char,Heading 4 Char Char Char,H4 Char,H41 Char,h4 Char,0.1.1.1 Titre 4 + Left:  0&quot; Char,First line:  0&quot; Char,0.1.1... Char,0.1.1.1 Titre 4 Char"/>
    <w:link w:val="Heading4"/>
    <w:uiPriority w:val="99"/>
    <w:rsid w:val="007E62E5"/>
    <w:rPr>
      <w:rFonts w:ascii="Times New Roman Bold" w:eastAsia="MS Mincho" w:hAnsi="Times New Roman Bold"/>
      <w:b/>
      <w:bCs/>
      <w:sz w:val="20"/>
      <w:szCs w:val="28"/>
      <w:lang w:val="en-CA" w:eastAsia="ja-JP"/>
    </w:rPr>
  </w:style>
  <w:style w:type="character" w:customStyle="1" w:styleId="Heading5Char">
    <w:name w:val="Heading 5 Char"/>
    <w:aliases w:val="H5 Char,H51 Char,h5 Char"/>
    <w:link w:val="Heading5"/>
    <w:uiPriority w:val="99"/>
    <w:rsid w:val="007E62E5"/>
    <w:rPr>
      <w:rFonts w:eastAsia="MS Mincho"/>
      <w:b/>
      <w:bCs/>
      <w:iCs/>
      <w:sz w:val="20"/>
      <w:szCs w:val="26"/>
      <w:lang w:val="en-CA" w:eastAsia="ja-JP"/>
    </w:rPr>
  </w:style>
  <w:style w:type="character" w:customStyle="1" w:styleId="Heading6Char">
    <w:name w:val="Heading 6 Char"/>
    <w:aliases w:val="H6 Char,H61 Char,h6 Char"/>
    <w:link w:val="Heading6"/>
    <w:uiPriority w:val="99"/>
    <w:rsid w:val="000E00F3"/>
    <w:rPr>
      <w:rFonts w:eastAsia="MS Mincho"/>
      <w:b/>
      <w:bCs/>
      <w:sz w:val="20"/>
      <w:szCs w:val="22"/>
      <w:lang w:val="en-CA" w:eastAsia="ja-JP"/>
    </w:rPr>
  </w:style>
  <w:style w:type="character" w:customStyle="1" w:styleId="Heading7Char">
    <w:name w:val="Heading 7 Char"/>
    <w:link w:val="Heading7"/>
    <w:rsid w:val="004234F0"/>
    <w:rPr>
      <w:rFonts w:eastAsia="MS Mincho"/>
      <w:sz w:val="20"/>
      <w:lang w:val="en-CA" w:eastAsia="ja-JP"/>
    </w:rPr>
  </w:style>
  <w:style w:type="character" w:customStyle="1" w:styleId="Heading8Char">
    <w:name w:val="Heading 8 Char"/>
    <w:link w:val="Heading8"/>
    <w:rsid w:val="004234F0"/>
    <w:rPr>
      <w:rFonts w:eastAsia="MS Mincho"/>
      <w:i/>
      <w:iCs/>
      <w:sz w:val="20"/>
      <w:lang w:val="en-CA" w:eastAsia="ja-JP"/>
    </w:rPr>
  </w:style>
  <w:style w:type="character" w:customStyle="1" w:styleId="Heading9Char">
    <w:name w:val="Heading 9 Char"/>
    <w:link w:val="Heading9"/>
    <w:rsid w:val="000E00F3"/>
    <w:rPr>
      <w:rFonts w:eastAsia="MS Mincho"/>
      <w:b/>
      <w:sz w:val="20"/>
      <w:szCs w:val="22"/>
      <w:lang w:val="en-CA" w:eastAsia="ja-JP"/>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rsid w:val="0028399C"/>
    <w:pPr>
      <w:spacing w:before="120"/>
      <w:ind w:left="360"/>
    </w:pPr>
    <w:rPr>
      <w:rFonts w:eastAsia="SimSun"/>
      <w:lang w:val="en-GB"/>
    </w:rPr>
  </w:style>
  <w:style w:type="character" w:customStyle="1" w:styleId="BodyTextIndentChar">
    <w:name w:val="Body Text Indent Char"/>
    <w:link w:val="BodyTextIndent"/>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uiPriority w:val="39"/>
    <w:qFormat/>
    <w:rsid w:val="00B74A51"/>
    <w:pPr>
      <w:tabs>
        <w:tab w:val="clear" w:pos="792"/>
        <w:tab w:val="clear" w:pos="1195"/>
        <w:tab w:val="clear" w:pos="1584"/>
        <w:tab w:val="clear" w:pos="1987"/>
        <w:tab w:val="clear" w:pos="4853"/>
        <w:tab w:val="right" w:leader="dot" w:pos="9691"/>
      </w:tabs>
      <w:spacing w:before="120"/>
      <w:jc w:val="left"/>
    </w:pPr>
    <w:rPr>
      <w:rFonts w:asciiTheme="minorHAnsi" w:hAnsiTheme="minorHAnsi"/>
      <w:b/>
      <w:caps/>
      <w:sz w:val="22"/>
      <w:szCs w:val="22"/>
    </w:rPr>
  </w:style>
  <w:style w:type="paragraph" w:styleId="TOC2">
    <w:name w:val="toc 2"/>
    <w:basedOn w:val="TOC1"/>
    <w:uiPriority w:val="39"/>
    <w:rsid w:val="0028399C"/>
    <w:pPr>
      <w:spacing w:before="0"/>
      <w:ind w:left="200"/>
    </w:pPr>
    <w:rPr>
      <w:b w:val="0"/>
      <w:caps w:val="0"/>
      <w:smallCaps/>
    </w:rPr>
  </w:style>
  <w:style w:type="paragraph" w:styleId="TOC3">
    <w:name w:val="toc 3"/>
    <w:basedOn w:val="TOC2"/>
    <w:uiPriority w:val="39"/>
    <w:rsid w:val="0028399C"/>
    <w:pPr>
      <w:ind w:left="400"/>
    </w:pPr>
    <w:rPr>
      <w:i/>
      <w:smallCaps w:val="0"/>
    </w:rPr>
  </w:style>
  <w:style w:type="paragraph" w:styleId="CommentText">
    <w:name w:val="annotation text"/>
    <w:basedOn w:val="Normal"/>
    <w:link w:val="CommentTextChar"/>
    <w:uiPriority w:val="99"/>
    <w:rsid w:val="0028399C"/>
    <w:pPr>
      <w:spacing w:before="120"/>
    </w:pPr>
    <w:rPr>
      <w:lang w:val="en-GB"/>
    </w:rPr>
  </w:style>
  <w:style w:type="character" w:customStyle="1" w:styleId="CommentTextChar">
    <w:name w:val="Comment Text Char"/>
    <w:link w:val="CommentText"/>
    <w:uiPriority w:val="99"/>
    <w:rsid w:val="0028399C"/>
    <w:rPr>
      <w:szCs w:val="24"/>
      <w:lang w:val="en-GB"/>
    </w:rPr>
  </w:style>
  <w:style w:type="character" w:styleId="CommentReference">
    <w:name w:val="annotation reference"/>
    <w:uiPriority w:val="99"/>
    <w:rsid w:val="0028399C"/>
    <w:rPr>
      <w:sz w:val="16"/>
    </w:rPr>
  </w:style>
  <w:style w:type="paragraph" w:customStyle="1" w:styleId="Rectitle">
    <w:name w:val="Rec_titl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360"/>
      <w:jc w:val="center"/>
    </w:pPr>
    <w:rPr>
      <w:rFonts w:eastAsia="SimSun"/>
      <w:b/>
      <w:sz w:val="28"/>
      <w:lang w:val="en-GB"/>
    </w:rPr>
  </w:style>
  <w:style w:type="paragraph" w:customStyle="1" w:styleId="RecNo">
    <w:name w:val="Rec_No"/>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0"/>
    </w:pPr>
    <w:rPr>
      <w:rFonts w:eastAsia="SimSun"/>
      <w:b/>
      <w:sz w:val="28"/>
      <w:lang w:val="en-GB"/>
    </w:rPr>
  </w:style>
  <w:style w:type="paragraph" w:styleId="TOC4">
    <w:name w:val="toc 4"/>
    <w:basedOn w:val="Normal"/>
    <w:next w:val="Normal"/>
    <w:autoRedefine/>
    <w:rsid w:val="0028399C"/>
    <w:pPr>
      <w:tabs>
        <w:tab w:val="clear" w:pos="792"/>
        <w:tab w:val="clear" w:pos="1195"/>
        <w:tab w:val="clear" w:pos="1584"/>
        <w:tab w:val="clear" w:pos="1987"/>
        <w:tab w:val="clear" w:pos="4853"/>
        <w:tab w:val="clear" w:pos="9691"/>
      </w:tabs>
      <w:spacing w:before="0"/>
      <w:ind w:left="600"/>
      <w:jc w:val="left"/>
    </w:pPr>
    <w:rPr>
      <w:rFonts w:asciiTheme="minorHAnsi" w:hAnsiTheme="minorHAnsi"/>
      <w:sz w:val="18"/>
      <w:szCs w:val="18"/>
    </w:rPr>
  </w:style>
  <w:style w:type="paragraph" w:styleId="TOC5">
    <w:name w:val="toc 5"/>
    <w:basedOn w:val="Normal"/>
    <w:next w:val="Normal"/>
    <w:autoRedefine/>
    <w:rsid w:val="0028399C"/>
    <w:pPr>
      <w:tabs>
        <w:tab w:val="clear" w:pos="792"/>
        <w:tab w:val="clear" w:pos="1195"/>
        <w:tab w:val="clear" w:pos="1584"/>
        <w:tab w:val="clear" w:pos="1987"/>
        <w:tab w:val="clear" w:pos="4853"/>
        <w:tab w:val="clear" w:pos="9691"/>
      </w:tabs>
      <w:spacing w:before="0"/>
      <w:ind w:left="800"/>
      <w:jc w:val="left"/>
    </w:pPr>
    <w:rPr>
      <w:rFonts w:asciiTheme="minorHAnsi" w:hAnsiTheme="minorHAnsi"/>
      <w:sz w:val="18"/>
      <w:szCs w:val="18"/>
    </w:rPr>
  </w:style>
  <w:style w:type="paragraph" w:styleId="TOC6">
    <w:name w:val="toc 6"/>
    <w:basedOn w:val="Normal"/>
    <w:next w:val="Normal"/>
    <w:autoRedefine/>
    <w:rsid w:val="0028399C"/>
    <w:pPr>
      <w:tabs>
        <w:tab w:val="clear" w:pos="792"/>
        <w:tab w:val="clear" w:pos="1195"/>
        <w:tab w:val="clear" w:pos="1584"/>
        <w:tab w:val="clear" w:pos="1987"/>
        <w:tab w:val="clear" w:pos="4853"/>
        <w:tab w:val="clear" w:pos="9691"/>
      </w:tabs>
      <w:spacing w:before="0"/>
      <w:ind w:left="1000"/>
      <w:jc w:val="left"/>
    </w:pPr>
    <w:rPr>
      <w:rFonts w:asciiTheme="minorHAnsi" w:hAnsiTheme="minorHAnsi"/>
      <w:sz w:val="18"/>
      <w:szCs w:val="18"/>
    </w:rPr>
  </w:style>
  <w:style w:type="paragraph" w:styleId="TOC7">
    <w:name w:val="toc 7"/>
    <w:basedOn w:val="Normal"/>
    <w:next w:val="Normal"/>
    <w:autoRedefine/>
    <w:rsid w:val="0028399C"/>
    <w:pPr>
      <w:tabs>
        <w:tab w:val="clear" w:pos="792"/>
        <w:tab w:val="clear" w:pos="1195"/>
        <w:tab w:val="clear" w:pos="1584"/>
        <w:tab w:val="clear" w:pos="1987"/>
        <w:tab w:val="clear" w:pos="4853"/>
        <w:tab w:val="clear" w:pos="9691"/>
      </w:tabs>
      <w:spacing w:before="0"/>
      <w:ind w:left="1200"/>
      <w:jc w:val="left"/>
    </w:pPr>
    <w:rPr>
      <w:rFonts w:asciiTheme="minorHAnsi" w:hAnsiTheme="minorHAnsi"/>
      <w:sz w:val="18"/>
      <w:szCs w:val="18"/>
    </w:rPr>
  </w:style>
  <w:style w:type="paragraph" w:styleId="TOC8">
    <w:name w:val="toc 8"/>
    <w:basedOn w:val="Normal"/>
    <w:next w:val="Normal"/>
    <w:autoRedefine/>
    <w:rsid w:val="0028399C"/>
    <w:pPr>
      <w:tabs>
        <w:tab w:val="clear" w:pos="792"/>
        <w:tab w:val="clear" w:pos="1195"/>
        <w:tab w:val="clear" w:pos="1584"/>
        <w:tab w:val="clear" w:pos="1987"/>
        <w:tab w:val="clear" w:pos="4853"/>
        <w:tab w:val="clear" w:pos="9691"/>
      </w:tabs>
      <w:spacing w:before="0"/>
      <w:ind w:left="1400"/>
      <w:jc w:val="left"/>
    </w:pPr>
    <w:rPr>
      <w:rFonts w:asciiTheme="minorHAnsi" w:hAnsiTheme="minorHAnsi"/>
      <w:sz w:val="18"/>
      <w:szCs w:val="18"/>
    </w:rPr>
  </w:style>
  <w:style w:type="paragraph" w:styleId="TOC9">
    <w:name w:val="toc 9"/>
    <w:basedOn w:val="Normal"/>
    <w:next w:val="Normal"/>
    <w:autoRedefine/>
    <w:rsid w:val="0028399C"/>
    <w:pPr>
      <w:tabs>
        <w:tab w:val="clear" w:pos="792"/>
        <w:tab w:val="clear" w:pos="1195"/>
        <w:tab w:val="clear" w:pos="1584"/>
        <w:tab w:val="clear" w:pos="1987"/>
        <w:tab w:val="clear" w:pos="4853"/>
        <w:tab w:val="clear" w:pos="9691"/>
      </w:tabs>
      <w:spacing w:before="0"/>
      <w:ind w:left="1600"/>
      <w:jc w:val="left"/>
    </w:pPr>
    <w:rPr>
      <w:rFonts w:asciiTheme="minorHAnsi" w:hAnsiTheme="minorHAnsi"/>
      <w:sz w:val="18"/>
      <w:szCs w:val="18"/>
    </w:rPr>
  </w:style>
  <w:style w:type="paragraph" w:customStyle="1" w:styleId="FigureNotitle">
    <w:name w:val="Figure_No &amp; title"/>
    <w:basedOn w:val="Normal"/>
    <w:next w:val="Normal"/>
    <w:link w:val="FigureNotitleCar"/>
    <w:qFormat/>
    <w:rsid w:val="0028399C"/>
    <w:pPr>
      <w:keepLines/>
      <w:tabs>
        <w:tab w:val="clear" w:pos="792"/>
        <w:tab w:val="clear" w:pos="1195"/>
        <w:tab w:val="clear" w:pos="1584"/>
        <w:tab w:val="clear" w:pos="1987"/>
        <w:tab w:val="left" w:pos="794"/>
        <w:tab w:val="left" w:pos="1191"/>
        <w:tab w:val="left" w:pos="1588"/>
        <w:tab w:val="left" w:pos="1985"/>
      </w:tabs>
      <w:spacing w:before="240" w:after="120"/>
      <w:jc w:val="center"/>
    </w:pPr>
    <w:rPr>
      <w:rFonts w:eastAsia="SimSun"/>
      <w:b/>
      <w:lang w:val="en-GB"/>
    </w:rPr>
  </w:style>
  <w:style w:type="paragraph" w:styleId="CommentSubject">
    <w:name w:val="annotation subject"/>
    <w:basedOn w:val="CommentText"/>
    <w:next w:val="CommentText"/>
    <w:link w:val="CommentSubjectChar"/>
    <w:rsid w:val="0028399C"/>
    <w:rPr>
      <w:b/>
      <w:bCs/>
      <w:lang w:eastAsia="zh-CN"/>
    </w:rPr>
  </w:style>
  <w:style w:type="character" w:customStyle="1" w:styleId="CommentSubjectChar">
    <w:name w:val="Comment Subject Char"/>
    <w:link w:val="CommentSubject"/>
    <w:rsid w:val="0028399C"/>
    <w:rPr>
      <w:rFonts w:eastAsia="MS Mincho"/>
      <w:b/>
      <w:bCs/>
      <w:szCs w:val="24"/>
      <w:lang w:val="en-GB" w:eastAsia="zh-CN"/>
    </w:rPr>
  </w:style>
  <w:style w:type="paragraph" w:customStyle="1" w:styleId="TableNotitle">
    <w:name w:val="Table_No &amp; title"/>
    <w:basedOn w:val="Normal"/>
    <w:next w:val="Normal"/>
    <w:link w:val="TableNotitleCar"/>
    <w:qFormat/>
    <w:rsid w:val="0028399C"/>
    <w:pPr>
      <w:keepNext/>
      <w:keepLines/>
      <w:tabs>
        <w:tab w:val="clear" w:pos="792"/>
        <w:tab w:val="clear" w:pos="1195"/>
        <w:tab w:val="clear" w:pos="1584"/>
        <w:tab w:val="clear" w:pos="1987"/>
        <w:tab w:val="left" w:pos="794"/>
        <w:tab w:val="left" w:pos="1191"/>
        <w:tab w:val="left" w:pos="1588"/>
        <w:tab w:val="left" w:pos="1985"/>
      </w:tabs>
      <w:spacing w:before="360" w:after="120"/>
      <w:jc w:val="center"/>
    </w:pPr>
    <w:rPr>
      <w:rFonts w:eastAsia="SimSun"/>
      <w:b/>
      <w:lang w:val="en-GB"/>
    </w:rPr>
  </w:style>
  <w:style w:type="paragraph" w:customStyle="1" w:styleId="Headingb">
    <w:name w:val="Heading_b"/>
    <w:basedOn w:val="Normal"/>
    <w:next w:val="Normal"/>
    <w:qFormat/>
    <w:rsid w:val="0028399C"/>
    <w:pPr>
      <w:keepNext/>
      <w:tabs>
        <w:tab w:val="clear" w:pos="792"/>
        <w:tab w:val="clear" w:pos="1195"/>
        <w:tab w:val="clear" w:pos="1584"/>
        <w:tab w:val="clear" w:pos="1987"/>
        <w:tab w:val="left" w:pos="794"/>
        <w:tab w:val="left" w:pos="1191"/>
        <w:tab w:val="left" w:pos="1588"/>
        <w:tab w:val="left" w:pos="1985"/>
      </w:tabs>
      <w:spacing w:before="160"/>
    </w:pPr>
    <w:rPr>
      <w:rFonts w:eastAsia="SimSun"/>
      <w:b/>
      <w:lang w:val="en-GB"/>
    </w:rPr>
  </w:style>
  <w:style w:type="paragraph" w:customStyle="1" w:styleId="AppendixNotitle">
    <w:name w:val="Appendix_No &amp; title"/>
    <w:basedOn w:val="Normal"/>
    <w:next w:val="Normal"/>
    <w:link w:val="AppendixNotitleChar"/>
    <w:rsid w:val="0028399C"/>
    <w:pPr>
      <w:keepNext/>
      <w:keepLines/>
      <w:tabs>
        <w:tab w:val="clear" w:pos="792"/>
        <w:tab w:val="clear" w:pos="1195"/>
        <w:tab w:val="clear" w:pos="1584"/>
        <w:tab w:val="clear" w:pos="1987"/>
        <w:tab w:val="left" w:pos="794"/>
        <w:tab w:val="left" w:pos="1191"/>
        <w:tab w:val="left" w:pos="1588"/>
        <w:tab w:val="left" w:pos="1985"/>
      </w:tabs>
      <w:spacing w:before="480"/>
      <w:jc w:val="center"/>
    </w:pPr>
    <w:rPr>
      <w:b/>
      <w:sz w:val="28"/>
      <w:lang w:val="en-GB"/>
    </w:rPr>
  </w:style>
  <w:style w:type="paragraph" w:styleId="Caption">
    <w:name w:val="caption"/>
    <w:basedOn w:val="Normal"/>
    <w:next w:val="Normal"/>
    <w:link w:val="CaptionChar"/>
    <w:qFormat/>
    <w:rsid w:val="0028399C"/>
    <w:pPr>
      <w:spacing w:before="120" w:after="120"/>
      <w:jc w:val="center"/>
    </w:pPr>
    <w:rPr>
      <w:rFonts w:eastAsia="SimSun"/>
      <w:b/>
      <w:bCs/>
      <w:lang w:val="fr-FR"/>
    </w:rPr>
  </w:style>
  <w:style w:type="character" w:customStyle="1" w:styleId="Heading1Char">
    <w:name w:val="Heading 1 Char"/>
    <w:link w:val="Heading1"/>
    <w:rsid w:val="00285002"/>
    <w:rPr>
      <w:rFonts w:eastAsia="MS Mincho" w:cs="Arial"/>
      <w:b/>
      <w:bCs/>
      <w:kern w:val="32"/>
      <w:szCs w:val="32"/>
      <w:lang w:val="en-CA" w:eastAsia="ja-JP"/>
    </w:rPr>
  </w:style>
  <w:style w:type="paragraph" w:styleId="List2">
    <w:name w:val="List 2"/>
    <w:basedOn w:val="Normal"/>
    <w:rsid w:val="0028399C"/>
    <w:pPr>
      <w:tabs>
        <w:tab w:val="clear" w:pos="792"/>
        <w:tab w:val="clear" w:pos="1195"/>
        <w:tab w:val="clear" w:pos="1584"/>
        <w:tab w:val="clear" w:pos="1987"/>
        <w:tab w:val="left" w:pos="794"/>
        <w:tab w:val="left" w:pos="1191"/>
        <w:tab w:val="left" w:pos="1588"/>
        <w:tab w:val="left" w:pos="1985"/>
      </w:tabs>
      <w:spacing w:before="120"/>
      <w:ind w:left="566" w:hanging="283"/>
    </w:pPr>
    <w:rPr>
      <w:lang w:val="en-GB"/>
    </w:rPr>
  </w:style>
  <w:style w:type="paragraph" w:styleId="List3">
    <w:name w:val="List 3"/>
    <w:basedOn w:val="Normal"/>
    <w:rsid w:val="0028399C"/>
    <w:pPr>
      <w:tabs>
        <w:tab w:val="clear" w:pos="792"/>
        <w:tab w:val="clear" w:pos="1195"/>
        <w:tab w:val="clear" w:pos="1584"/>
        <w:tab w:val="clear" w:pos="1987"/>
        <w:tab w:val="left" w:pos="794"/>
        <w:tab w:val="left" w:pos="1191"/>
        <w:tab w:val="left" w:pos="1588"/>
        <w:tab w:val="left" w:pos="1985"/>
      </w:tabs>
      <w:spacing w:before="120"/>
      <w:ind w:left="849" w:hanging="283"/>
    </w:pPr>
    <w:rPr>
      <w:lang w:val="en-GB"/>
    </w:rPr>
  </w:style>
  <w:style w:type="paragraph" w:styleId="List4">
    <w:name w:val="List 4"/>
    <w:basedOn w:val="Normal"/>
    <w:rsid w:val="0028399C"/>
    <w:pPr>
      <w:tabs>
        <w:tab w:val="clear" w:pos="792"/>
        <w:tab w:val="clear" w:pos="1195"/>
        <w:tab w:val="clear" w:pos="1584"/>
        <w:tab w:val="clear" w:pos="1987"/>
        <w:tab w:val="left" w:pos="794"/>
        <w:tab w:val="left" w:pos="1191"/>
        <w:tab w:val="left" w:pos="1588"/>
        <w:tab w:val="left" w:pos="1985"/>
      </w:tabs>
      <w:spacing w:before="120"/>
      <w:ind w:left="1132" w:hanging="283"/>
    </w:pPr>
    <w:rPr>
      <w:lang w:val="en-GB"/>
    </w:rPr>
  </w:style>
  <w:style w:type="paragraph" w:styleId="List5">
    <w:name w:val="List 5"/>
    <w:basedOn w:val="Normal"/>
    <w:rsid w:val="0028399C"/>
    <w:pPr>
      <w:tabs>
        <w:tab w:val="clear" w:pos="792"/>
        <w:tab w:val="clear" w:pos="1195"/>
        <w:tab w:val="clear" w:pos="1584"/>
        <w:tab w:val="clear" w:pos="1987"/>
        <w:tab w:val="left" w:pos="794"/>
        <w:tab w:val="left" w:pos="1191"/>
        <w:tab w:val="left" w:pos="1588"/>
        <w:tab w:val="left" w:pos="1985"/>
      </w:tabs>
      <w:spacing w:before="120"/>
      <w:ind w:left="1415" w:hanging="283"/>
    </w:pPr>
    <w:rPr>
      <w:lang w:val="en-GB"/>
    </w:rPr>
  </w:style>
  <w:style w:type="paragraph" w:customStyle="1" w:styleId="Tablehead">
    <w:name w:val="Table_head"/>
    <w:basedOn w:val="Normal"/>
    <w:next w:val="Normal"/>
    <w:rsid w:val="0028399C"/>
    <w:pPr>
      <w:keepNext/>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ind w:left="-57" w:right="-57"/>
      <w:jc w:val="center"/>
    </w:pPr>
    <w:rPr>
      <w:b/>
      <w:lang w:val="en-GB"/>
    </w:rPr>
  </w:style>
  <w:style w:type="paragraph" w:customStyle="1" w:styleId="Tabletext">
    <w:name w:val="Table_text"/>
    <w:basedOn w:val="Normal"/>
    <w:uiPriority w:val="99"/>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en-GB"/>
    </w:rPr>
  </w:style>
  <w:style w:type="paragraph" w:styleId="BodyTextIndent2">
    <w:name w:val="Body Text Indent 2"/>
    <w:basedOn w:val="Normal"/>
    <w:link w:val="BodyTextIndent2Char"/>
    <w:rsid w:val="0028399C"/>
    <w:pPr>
      <w:widowControl w:val="0"/>
      <w:tabs>
        <w:tab w:val="clear" w:pos="1584"/>
        <w:tab w:val="left" w:pos="1560"/>
        <w:tab w:val="left" w:pos="6379"/>
      </w:tabs>
      <w:spacing w:before="0" w:line="240" w:lineRule="atLeast"/>
      <w:ind w:left="6379" w:hanging="4820"/>
    </w:pPr>
    <w:rPr>
      <w:rFonts w:ascii="Arial" w:hAnsi="Arial"/>
      <w:bCs/>
      <w:color w:val="000000"/>
      <w:sz w:val="18"/>
      <w:lang w:val="en-GB"/>
    </w:rPr>
  </w:style>
  <w:style w:type="character" w:customStyle="1" w:styleId="BodyTextIndent2Char">
    <w:name w:val="Body Text Indent 2 Char"/>
    <w:link w:val="BodyTextIndent2"/>
    <w:rsid w:val="0028399C"/>
    <w:rPr>
      <w:rFonts w:ascii="Arial" w:hAnsi="Arial"/>
      <w:bCs/>
      <w:color w:val="000000"/>
      <w:sz w:val="18"/>
      <w:szCs w:val="24"/>
      <w:lang w:val="en-GB"/>
    </w:rPr>
  </w:style>
  <w:style w:type="paragraph" w:styleId="BodyTextIndent3">
    <w:name w:val="Body Text Indent 3"/>
    <w:basedOn w:val="Normal"/>
    <w:link w:val="BodyTextIndent3Char"/>
    <w:rsid w:val="0028399C"/>
    <w:pPr>
      <w:widowControl w:val="0"/>
      <w:tabs>
        <w:tab w:val="clear" w:pos="1584"/>
        <w:tab w:val="left" w:pos="1560"/>
        <w:tab w:val="left" w:pos="6379"/>
      </w:tabs>
      <w:spacing w:before="0" w:line="240" w:lineRule="atLeast"/>
      <w:ind w:left="6379" w:hanging="4820"/>
    </w:pPr>
    <w:rPr>
      <w:rFonts w:ascii="Arial" w:hAnsi="Arial"/>
      <w:bCs/>
      <w:color w:val="FF0000"/>
      <w:sz w:val="18"/>
      <w:lang w:val="en-GB"/>
    </w:rPr>
  </w:style>
  <w:style w:type="character" w:customStyle="1" w:styleId="BodyTextIndent3Char">
    <w:name w:val="Body Text Indent 3 Char"/>
    <w:link w:val="BodyTextIndent3"/>
    <w:rsid w:val="0028399C"/>
    <w:rPr>
      <w:rFonts w:ascii="Arial" w:hAnsi="Arial"/>
      <w:bCs/>
      <w:color w:val="FF0000"/>
      <w:sz w:val="18"/>
      <w:szCs w:val="24"/>
      <w:lang w:val="en-GB"/>
    </w:rPr>
  </w:style>
  <w:style w:type="paragraph" w:styleId="NormalIndent">
    <w:name w:val="Normal Indent"/>
    <w:basedOn w:val="Normal"/>
    <w:rsid w:val="0028399C"/>
    <w:pPr>
      <w:tabs>
        <w:tab w:val="clear" w:pos="792"/>
        <w:tab w:val="clear" w:pos="1195"/>
        <w:tab w:val="clear" w:pos="1584"/>
        <w:tab w:val="clear" w:pos="1987"/>
        <w:tab w:val="left" w:pos="794"/>
        <w:tab w:val="left" w:pos="1191"/>
        <w:tab w:val="left" w:pos="1588"/>
        <w:tab w:val="left" w:pos="1985"/>
      </w:tabs>
      <w:spacing w:before="120"/>
      <w:ind w:left="708"/>
    </w:pPr>
    <w:rPr>
      <w:lang w:val="en-GB"/>
    </w:rPr>
  </w:style>
  <w:style w:type="paragraph" w:customStyle="1" w:styleId="Figure">
    <w:name w:val="Figure"/>
    <w:basedOn w:val="Normal"/>
    <w:next w:val="Normal"/>
    <w:rsid w:val="0028399C"/>
    <w:pPr>
      <w:keepNext/>
      <w:keepLines/>
      <w:tabs>
        <w:tab w:val="clear" w:pos="792"/>
        <w:tab w:val="clear" w:pos="1195"/>
        <w:tab w:val="clear" w:pos="1584"/>
        <w:tab w:val="clear" w:pos="1987"/>
        <w:tab w:val="left" w:pos="794"/>
        <w:tab w:val="left" w:pos="1191"/>
        <w:tab w:val="left" w:pos="1588"/>
        <w:tab w:val="left" w:pos="1985"/>
      </w:tabs>
      <w:spacing w:before="240" w:after="120"/>
      <w:jc w:val="center"/>
    </w:pPr>
    <w:rPr>
      <w:lang w:val="en-GB"/>
    </w:rPr>
  </w:style>
  <w:style w:type="character" w:customStyle="1" w:styleId="TableNotitleCar">
    <w:name w:val="Table_No &amp; title Car"/>
    <w:link w:val="TableNotitle"/>
    <w:rsid w:val="0028399C"/>
    <w:rPr>
      <w:rFonts w:eastAsia="SimSun"/>
      <w:b/>
      <w:lang w:val="en-GB" w:eastAsia="ja-JP"/>
    </w:rPr>
  </w:style>
  <w:style w:type="character" w:styleId="EndnoteReference">
    <w:name w:val="endnote reference"/>
    <w:rsid w:val="0028399C"/>
    <w:rPr>
      <w:vertAlign w:val="superscript"/>
    </w:rPr>
  </w:style>
  <w:style w:type="paragraph" w:customStyle="1" w:styleId="Note">
    <w:name w:val="Note"/>
    <w:basedOn w:val="Normal"/>
    <w:link w:val="NoteChar"/>
    <w:rsid w:val="0028399C"/>
    <w:pPr>
      <w:tabs>
        <w:tab w:val="clear" w:pos="792"/>
        <w:tab w:val="clear" w:pos="1195"/>
        <w:tab w:val="clear" w:pos="1584"/>
        <w:tab w:val="clear" w:pos="1987"/>
        <w:tab w:val="left" w:pos="794"/>
        <w:tab w:val="left" w:pos="1191"/>
        <w:tab w:val="left" w:pos="1588"/>
        <w:tab w:val="left" w:pos="1985"/>
      </w:tabs>
      <w:spacing w:before="80"/>
    </w:pPr>
    <w:rPr>
      <w:rFonts w:eastAsia="SimSun"/>
      <w:szCs w:val="18"/>
      <w:lang w:val="en-GB"/>
    </w:rPr>
  </w:style>
  <w:style w:type="paragraph" w:styleId="FootnoteText">
    <w:name w:val="footnote text"/>
    <w:aliases w:val="TesePUC - Texto da Nota"/>
    <w:basedOn w:val="Note"/>
    <w:link w:val="FootnoteTextChar"/>
    <w:rsid w:val="0028399C"/>
    <w:pPr>
      <w:keepLines/>
      <w:tabs>
        <w:tab w:val="left" w:pos="255"/>
      </w:tabs>
      <w:ind w:left="255" w:hanging="255"/>
    </w:pPr>
  </w:style>
  <w:style w:type="character" w:customStyle="1" w:styleId="FootnoteTextChar">
    <w:name w:val="Footnote Text Char"/>
    <w:aliases w:val="TesePUC - Texto da Nota Char"/>
    <w:link w:val="FootnoteText"/>
    <w:rsid w:val="0028399C"/>
    <w:rPr>
      <w:rFonts w:eastAsia="SimSun"/>
      <w:sz w:val="22"/>
      <w:szCs w:val="18"/>
      <w:lang w:val="en-GB"/>
    </w:rPr>
  </w:style>
  <w:style w:type="paragraph" w:styleId="Index1">
    <w:name w:val="index 1"/>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pPr>
    <w:rPr>
      <w:rFonts w:eastAsia="SimSun"/>
      <w:lang w:val="en-GB"/>
    </w:rPr>
  </w:style>
  <w:style w:type="paragraph" w:styleId="Index2">
    <w:name w:val="index 2"/>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283"/>
    </w:pPr>
    <w:rPr>
      <w:rFonts w:eastAsia="SimSun"/>
      <w:lang w:val="en-GB"/>
    </w:rPr>
  </w:style>
  <w:style w:type="paragraph" w:styleId="Index3">
    <w:name w:val="index 3"/>
    <w:basedOn w:val="Normal"/>
    <w:next w:val="Normal"/>
    <w:rsid w:val="0028399C"/>
    <w:pPr>
      <w:tabs>
        <w:tab w:val="clear" w:pos="792"/>
        <w:tab w:val="clear" w:pos="1195"/>
        <w:tab w:val="clear" w:pos="1584"/>
        <w:tab w:val="clear" w:pos="1987"/>
        <w:tab w:val="left" w:pos="794"/>
        <w:tab w:val="left" w:pos="1191"/>
        <w:tab w:val="left" w:pos="1588"/>
        <w:tab w:val="left" w:pos="1985"/>
      </w:tabs>
      <w:spacing w:before="120"/>
      <w:ind w:left="566"/>
    </w:pPr>
    <w:rPr>
      <w:rFonts w:eastAsia="SimSun"/>
      <w:lang w:val="en-GB"/>
    </w:rPr>
  </w:style>
  <w:style w:type="paragraph" w:customStyle="1" w:styleId="Reftext">
    <w:name w:val="Ref_text"/>
    <w:basedOn w:val="Normal"/>
    <w:rsid w:val="0028399C"/>
    <w:pPr>
      <w:spacing w:before="120"/>
      <w:ind w:left="2268" w:hanging="2268"/>
    </w:pPr>
    <w:rPr>
      <w:lang w:val="en-GB"/>
    </w:rPr>
  </w:style>
  <w:style w:type="character" w:customStyle="1" w:styleId="FigureNotitleCar">
    <w:name w:val="Figure_No &amp; title Car"/>
    <w:link w:val="FigureNotitle"/>
    <w:rsid w:val="0028399C"/>
    <w:rPr>
      <w:rFonts w:eastAsia="SimSun"/>
      <w:b/>
      <w:lang w:val="en-GB" w:eastAsia="ja-JP"/>
    </w:rPr>
  </w:style>
  <w:style w:type="paragraph" w:customStyle="1" w:styleId="toc0">
    <w:name w:val="toc 0"/>
    <w:basedOn w:val="Normal"/>
    <w:next w:val="TOC1"/>
    <w:rsid w:val="0028399C"/>
    <w:pPr>
      <w:tabs>
        <w:tab w:val="right" w:pos="9639"/>
      </w:tabs>
      <w:spacing w:before="120"/>
      <w:jc w:val="right"/>
    </w:pPr>
    <w:rPr>
      <w:rFonts w:eastAsia="SimSun"/>
      <w:b/>
      <w:lang w:val="en-GB"/>
    </w:rPr>
  </w:style>
  <w:style w:type="paragraph" w:styleId="PlainText">
    <w:name w:val="Plain Text"/>
    <w:basedOn w:val="Normal"/>
    <w:link w:val="PlainTextChar"/>
    <w:rsid w:val="0028399C"/>
    <w:pPr>
      <w:spacing w:before="0"/>
    </w:pPr>
    <w:rPr>
      <w:rFonts w:ascii="Courier New" w:eastAsia="SimSun" w:hAnsi="Courier New" w:cs="Courier New"/>
      <w:lang w:val="fr-FR"/>
    </w:rPr>
  </w:style>
  <w:style w:type="character" w:customStyle="1" w:styleId="PlainTextChar">
    <w:name w:val="Plain Text Char"/>
    <w:link w:val="PlainText"/>
    <w:rsid w:val="0028399C"/>
    <w:rPr>
      <w:rFonts w:ascii="Courier New" w:eastAsia="SimSun" w:hAnsi="Courier New" w:cs="Courier New"/>
      <w:szCs w:val="24"/>
      <w:lang w:val="fr-FR"/>
    </w:rPr>
  </w:style>
  <w:style w:type="paragraph" w:styleId="BodyText3">
    <w:name w:val="Body Text 3"/>
    <w:basedOn w:val="Normal"/>
    <w:link w:val="BodyText3Char"/>
    <w:rsid w:val="0028399C"/>
    <w:pPr>
      <w:spacing w:before="0" w:after="120"/>
    </w:pPr>
    <w:rPr>
      <w:rFonts w:eastAsia="SimSun"/>
      <w:sz w:val="16"/>
      <w:szCs w:val="16"/>
      <w:lang w:val="fr-FR"/>
    </w:rPr>
  </w:style>
  <w:style w:type="character" w:customStyle="1" w:styleId="BodyText3Char">
    <w:name w:val="Body Text 3 Char"/>
    <w:link w:val="BodyText3"/>
    <w:rsid w:val="0028399C"/>
    <w:rPr>
      <w:rFonts w:eastAsia="SimSun"/>
      <w:sz w:val="16"/>
      <w:szCs w:val="16"/>
      <w:lang w:val="fr-FR" w:eastAsia="ja-JP"/>
    </w:rPr>
  </w:style>
  <w:style w:type="paragraph" w:styleId="TableofFigures">
    <w:name w:val="table of figures"/>
    <w:basedOn w:val="Normal"/>
    <w:next w:val="Normal"/>
    <w:uiPriority w:val="99"/>
    <w:rsid w:val="0028399C"/>
    <w:pPr>
      <w:tabs>
        <w:tab w:val="right" w:leader="dot" w:pos="9639"/>
      </w:tabs>
      <w:spacing w:before="120"/>
    </w:pPr>
    <w:rPr>
      <w:lang w:val="en-GB"/>
    </w:rPr>
  </w:style>
  <w:style w:type="character" w:styleId="Strong">
    <w:name w:val="Strong"/>
    <w:qFormat/>
    <w:rsid w:val="0028399C"/>
    <w:rPr>
      <w:b/>
      <w:bCs/>
    </w:rPr>
  </w:style>
  <w:style w:type="numbering" w:styleId="ArticleSection">
    <w:name w:val="Outline List 3"/>
    <w:basedOn w:val="NoList"/>
    <w:rsid w:val="0028399C"/>
    <w:pPr>
      <w:numPr>
        <w:numId w:val="2"/>
      </w:numPr>
    </w:pPr>
  </w:style>
  <w:style w:type="character" w:customStyle="1" w:styleId="HeaderChar">
    <w:name w:val="Header Char"/>
    <w:link w:val="Header"/>
    <w:uiPriority w:val="99"/>
    <w:rsid w:val="0028399C"/>
    <w:rPr>
      <w:sz w:val="22"/>
    </w:rPr>
  </w:style>
  <w:style w:type="character" w:customStyle="1" w:styleId="FooterChar">
    <w:name w:val="Footer Char"/>
    <w:link w:val="Footer"/>
    <w:rsid w:val="0028399C"/>
    <w:rPr>
      <w:sz w:val="22"/>
    </w:rPr>
  </w:style>
  <w:style w:type="paragraph" w:styleId="TOCHeading">
    <w:name w:val="TOC Heading"/>
    <w:basedOn w:val="Heading1"/>
    <w:next w:val="Normal"/>
    <w:uiPriority w:val="39"/>
    <w:unhideWhenUsed/>
    <w:qFormat/>
    <w:rsid w:val="0028399C"/>
    <w:pPr>
      <w:keepLines/>
      <w:numPr>
        <w:numId w:val="0"/>
      </w:numPr>
      <w:spacing w:before="480" w:after="0" w:line="276" w:lineRule="auto"/>
      <w:outlineLvl w:val="9"/>
    </w:pPr>
    <w:rPr>
      <w:rFonts w:ascii="Cambria" w:hAnsi="Cambria" w:cs="Times New Roman"/>
      <w:color w:val="365F91"/>
      <w:kern w:val="0"/>
      <w:sz w:val="28"/>
      <w:szCs w:val="28"/>
    </w:rPr>
  </w:style>
  <w:style w:type="paragraph" w:customStyle="1" w:styleId="Tablelegend">
    <w:name w:val="Table_legend"/>
    <w:basedOn w:val="Normal"/>
    <w:rsid w:val="0028399C"/>
    <w:pPr>
      <w:tabs>
        <w:tab w:val="clear" w:pos="1987"/>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pPr>
    <w:rPr>
      <w:lang w:val="en-GB"/>
    </w:rPr>
  </w:style>
  <w:style w:type="paragraph" w:styleId="Date">
    <w:name w:val="Date"/>
    <w:basedOn w:val="Normal"/>
    <w:next w:val="Normal"/>
    <w:link w:val="DateChar"/>
    <w:rsid w:val="0028399C"/>
    <w:pPr>
      <w:spacing w:before="60"/>
    </w:pPr>
    <w:rPr>
      <w:rFonts w:ascii="Palatino" w:eastAsia="Batang" w:hAnsi="Palatino"/>
      <w:lang w:val="en-GB"/>
    </w:rPr>
  </w:style>
  <w:style w:type="character" w:customStyle="1" w:styleId="DateChar">
    <w:name w:val="Date Char"/>
    <w:link w:val="Date"/>
    <w:rsid w:val="0028399C"/>
    <w:rPr>
      <w:rFonts w:ascii="Palatino" w:eastAsia="Batang" w:hAnsi="Palatino"/>
      <w:szCs w:val="24"/>
      <w:lang w:val="en-GB"/>
    </w:rPr>
  </w:style>
  <w:style w:type="paragraph" w:styleId="Title">
    <w:name w:val="Title"/>
    <w:basedOn w:val="Normal"/>
    <w:link w:val="TitleChar"/>
    <w:qFormat/>
    <w:rsid w:val="0028399C"/>
    <w:pPr>
      <w:numPr>
        <w:numId w:val="3"/>
      </w:numPr>
      <w:tabs>
        <w:tab w:val="clear" w:pos="936"/>
      </w:tabs>
      <w:spacing w:before="60" w:after="120"/>
      <w:ind w:left="0" w:firstLine="0"/>
      <w:jc w:val="center"/>
    </w:pPr>
    <w:rPr>
      <w:rFonts w:ascii="Book Antiqua" w:eastAsia="Batang" w:hAnsi="Book Antiqua"/>
      <w:b/>
      <w:sz w:val="40"/>
      <w:lang w:val="en-GB"/>
    </w:rPr>
  </w:style>
  <w:style w:type="character" w:customStyle="1" w:styleId="TitleChar">
    <w:name w:val="Title Char"/>
    <w:link w:val="Title"/>
    <w:rsid w:val="0028399C"/>
    <w:rPr>
      <w:rFonts w:ascii="Book Antiqua" w:eastAsia="Batang" w:hAnsi="Book Antiqua"/>
      <w:b/>
      <w:sz w:val="40"/>
      <w:lang w:val="en-GB" w:eastAsia="ja-JP"/>
    </w:rPr>
  </w:style>
  <w:style w:type="paragraph" w:styleId="EndnoteText">
    <w:name w:val="endnote text"/>
    <w:basedOn w:val="Normal"/>
    <w:link w:val="EndnoteTextChar"/>
    <w:rsid w:val="0028399C"/>
    <w:pPr>
      <w:tabs>
        <w:tab w:val="clear" w:pos="792"/>
        <w:tab w:val="clear" w:pos="1195"/>
        <w:tab w:val="clear" w:pos="1584"/>
        <w:tab w:val="clear" w:pos="1987"/>
        <w:tab w:val="left" w:pos="794"/>
        <w:tab w:val="left" w:pos="1191"/>
        <w:tab w:val="left" w:pos="1588"/>
        <w:tab w:val="left" w:pos="1985"/>
      </w:tabs>
      <w:spacing w:before="120"/>
    </w:pPr>
    <w:rPr>
      <w:rFonts w:eastAsia="SimSun"/>
      <w:lang w:val="en-GB"/>
    </w:rPr>
  </w:style>
  <w:style w:type="character" w:customStyle="1" w:styleId="EndnoteTextChar">
    <w:name w:val="Endnote Text Char"/>
    <w:link w:val="EndnoteText"/>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SimSun"/>
      <w:sz w:val="22"/>
      <w:szCs w:val="18"/>
      <w:lang w:val="en-GB"/>
    </w:rPr>
  </w:style>
  <w:style w:type="paragraph" w:styleId="Subtitle">
    <w:name w:val="Subtitle"/>
    <w:basedOn w:val="Normal"/>
    <w:next w:val="Normal"/>
    <w:link w:val="SubtitleChar"/>
    <w:qFormat/>
    <w:rsid w:val="0028399C"/>
    <w:pPr>
      <w:numPr>
        <w:ilvl w:val="1"/>
      </w:numPr>
      <w:spacing w:before="120" w:after="160"/>
    </w:pPr>
    <w:rPr>
      <w:rFonts w:ascii="Calibri" w:eastAsia="SimSun" w:hAnsi="Calibri" w:cs="Arial"/>
      <w:color w:val="5A5A5A"/>
      <w:spacing w:val="15"/>
      <w:szCs w:val="22"/>
      <w:lang w:val="en-GB"/>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Grid-Accent11">
    <w:name w:val="Colorful Grid - Accent 11"/>
    <w:basedOn w:val="Normal"/>
    <w:next w:val="Normal"/>
    <w:link w:val="ColorfulGrid-Accent1Char"/>
    <w:uiPriority w:val="29"/>
    <w:rsid w:val="0028399C"/>
    <w:pPr>
      <w:spacing w:before="200" w:after="160"/>
      <w:ind w:left="864" w:right="864"/>
      <w:jc w:val="center"/>
    </w:pPr>
    <w:rPr>
      <w:rFonts w:eastAsia="SimSun"/>
      <w:i/>
      <w:iCs/>
      <w:color w:val="404040"/>
      <w:lang w:val="en-GB"/>
    </w:rPr>
  </w:style>
  <w:style w:type="character" w:customStyle="1" w:styleId="ColorfulGrid-Accent1Char">
    <w:name w:val="Colorful Grid - Accent 1 Char"/>
    <w:link w:val="ColorfulGrid-Accent11"/>
    <w:uiPriority w:val="29"/>
    <w:rsid w:val="0028399C"/>
    <w:rPr>
      <w:rFonts w:eastAsia="SimSun"/>
      <w:i/>
      <w:iCs/>
      <w:color w:val="404040"/>
      <w:szCs w:val="24"/>
      <w:lang w:val="en-GB" w:eastAsia="ja-JP"/>
    </w:rPr>
  </w:style>
  <w:style w:type="paragraph" w:customStyle="1" w:styleId="ColorfulList-Accent11">
    <w:name w:val="Colorful List - Accent 11"/>
    <w:basedOn w:val="Normal"/>
    <w:uiPriority w:val="34"/>
    <w:qFormat/>
    <w:rsid w:val="008C0E70"/>
    <w:pPr>
      <w:spacing w:before="120"/>
      <w:ind w:leftChars="400" w:left="840"/>
    </w:pPr>
    <w:rPr>
      <w:rFonts w:eastAsia="SimSun"/>
      <w:lang w:val="en-GB"/>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link w:val="BalloonText"/>
    <w:semiHidden/>
    <w:rsid w:val="0028399C"/>
    <w:rPr>
      <w:rFonts w:ascii="Tahoma" w:hAnsi="Tahoma" w:cs="Tahoma"/>
      <w:sz w:val="16"/>
      <w:szCs w:val="16"/>
    </w:rPr>
  </w:style>
  <w:style w:type="paragraph" w:customStyle="1" w:styleId="AVCBulletlevel1CharChar">
    <w:name w:val="AVC Bullet level 1 Char Char"/>
    <w:basedOn w:val="Normal"/>
    <w:link w:val="AVCBulletlevel1CharCharChar"/>
    <w:uiPriority w:val="99"/>
    <w:rsid w:val="0028399C"/>
    <w:pPr>
      <w:numPr>
        <w:numId w:val="4"/>
      </w:numPr>
      <w:tabs>
        <w:tab w:val="clear" w:pos="1584"/>
        <w:tab w:val="clear" w:pos="1987"/>
        <w:tab w:val="left" w:pos="1588"/>
        <w:tab w:val="left" w:pos="1985"/>
        <w:tab w:val="left" w:pos="2376"/>
        <w:tab w:val="left" w:pos="2779"/>
      </w:tabs>
    </w:pPr>
    <w:rPr>
      <w:rFonts w:ascii="Times" w:eastAsia="Malgun Gothic" w:hAnsi="Times"/>
      <w:sz w:val="24"/>
      <w:lang w:val="en-GB"/>
    </w:rPr>
  </w:style>
  <w:style w:type="character" w:customStyle="1" w:styleId="AVCBulletlevel1CharCharChar">
    <w:name w:val="AVC Bullet level 1 Char Char Char"/>
    <w:link w:val="AVCBulletlevel1CharChar"/>
    <w:uiPriority w:val="99"/>
    <w:locked/>
    <w:rsid w:val="0028399C"/>
    <w:rPr>
      <w:rFonts w:ascii="Times" w:eastAsia="Malgun Gothic" w:hAnsi="Times"/>
      <w:lang w:val="en-GB" w:eastAsia="ja-JP"/>
    </w:rPr>
  </w:style>
  <w:style w:type="character" w:customStyle="1" w:styleId="CaptionChar">
    <w:name w:val="Caption Char"/>
    <w:link w:val="Caption"/>
    <w:locked/>
    <w:rsid w:val="0028399C"/>
    <w:rPr>
      <w:rFonts w:eastAsia="SimSun"/>
      <w:b/>
      <w:bCs/>
      <w:szCs w:val="24"/>
      <w:lang w:val="fr-FR" w:eastAsia="ja-JP"/>
    </w:rPr>
  </w:style>
  <w:style w:type="paragraph" w:customStyle="1" w:styleId="Equationsmallertabs">
    <w:name w:val="Equation smaller tabs"/>
    <w:basedOn w:val="Normal"/>
    <w:qFormat/>
    <w:rsid w:val="008C0E70"/>
    <w:pPr>
      <w:tabs>
        <w:tab w:val="clear" w:pos="792"/>
        <w:tab w:val="clear" w:pos="1195"/>
        <w:tab w:val="clear" w:pos="1584"/>
        <w:tab w:val="clear" w:pos="4853"/>
        <w:tab w:val="clear" w:pos="9691"/>
        <w:tab w:val="left" w:pos="794"/>
        <w:tab w:val="left" w:pos="1170"/>
        <w:tab w:val="left" w:pos="1588"/>
        <w:tab w:val="left" w:pos="1890"/>
        <w:tab w:val="left" w:pos="2160"/>
        <w:tab w:val="left" w:pos="2430"/>
        <w:tab w:val="center" w:pos="4849"/>
        <w:tab w:val="right" w:pos="9696"/>
      </w:tabs>
      <w:ind w:left="794"/>
    </w:pPr>
    <w:rPr>
      <w:rFonts w:eastAsia="Malgun Gothic"/>
      <w:szCs w:val="22"/>
      <w:lang w:eastAsia="ko-KR"/>
    </w:rPr>
  </w:style>
  <w:style w:type="character" w:customStyle="1" w:styleId="CaptionChar1">
    <w:name w:val="Caption Char1"/>
    <w:locked/>
    <w:rsid w:val="0028399C"/>
    <w:rPr>
      <w:rFonts w:ascii="Times New Roman" w:eastAsia="Malgun Gothic" w:hAnsi="Times New Roman"/>
      <w:b/>
      <w:bCs/>
      <w:lang w:eastAsia="en-US"/>
    </w:rPr>
  </w:style>
  <w:style w:type="paragraph" w:customStyle="1" w:styleId="enumlev1">
    <w:name w:val="enumlev1"/>
    <w:basedOn w:val="Normal"/>
    <w:rsid w:val="0028399C"/>
    <w:pPr>
      <w:tabs>
        <w:tab w:val="clear" w:pos="792"/>
        <w:tab w:val="clear" w:pos="1195"/>
        <w:tab w:val="clear" w:pos="1584"/>
        <w:tab w:val="clear" w:pos="1987"/>
        <w:tab w:val="left" w:pos="794"/>
        <w:tab w:val="left" w:pos="1191"/>
        <w:tab w:val="left" w:pos="1588"/>
        <w:tab w:val="left" w:pos="1985"/>
      </w:tabs>
      <w:spacing w:before="86"/>
      <w:ind w:left="1191" w:hanging="397"/>
    </w:pPr>
    <w:rPr>
      <w:lang w:val="en-GB"/>
    </w:rPr>
  </w:style>
  <w:style w:type="paragraph" w:customStyle="1" w:styleId="Equation">
    <w:name w:val="Equation"/>
    <w:basedOn w:val="Normal"/>
    <w:qFormat/>
    <w:rsid w:val="0028399C"/>
    <w:pPr>
      <w:tabs>
        <w:tab w:val="clear" w:pos="792"/>
        <w:tab w:val="clear" w:pos="1584"/>
        <w:tab w:val="clear" w:pos="4853"/>
        <w:tab w:val="clear" w:pos="9691"/>
        <w:tab w:val="left" w:pos="794"/>
        <w:tab w:val="left" w:pos="1588"/>
        <w:tab w:val="center" w:pos="4849"/>
        <w:tab w:val="right" w:pos="9696"/>
      </w:tabs>
      <w:spacing w:before="193" w:after="240"/>
    </w:pPr>
    <w:rPr>
      <w:lang w:val="en-GB"/>
    </w:rPr>
  </w:style>
  <w:style w:type="paragraph" w:styleId="Revision">
    <w:name w:val="Revision"/>
    <w:hidden/>
    <w:uiPriority w:val="99"/>
    <w:semiHidden/>
    <w:rsid w:val="008D474D"/>
    <w:rPr>
      <w:sz w:val="22"/>
    </w:rPr>
  </w:style>
  <w:style w:type="character" w:styleId="PlaceholderText">
    <w:name w:val="Placeholder Text"/>
    <w:basedOn w:val="DefaultParagraphFont"/>
    <w:uiPriority w:val="67"/>
    <w:rsid w:val="00B8300F"/>
    <w:rPr>
      <w:color w:val="808080"/>
    </w:rPr>
  </w:style>
  <w:style w:type="character" w:styleId="FootnoteReference">
    <w:name w:val="footnote reference"/>
    <w:basedOn w:val="DefaultParagraphFont"/>
    <w:rsid w:val="008F1838"/>
    <w:rPr>
      <w:vertAlign w:val="superscript"/>
    </w:rPr>
  </w:style>
  <w:style w:type="paragraph" w:styleId="ListParagraph">
    <w:name w:val="List Paragraph"/>
    <w:basedOn w:val="Normal"/>
    <w:uiPriority w:val="34"/>
    <w:qFormat/>
    <w:rsid w:val="00B65CF3"/>
    <w:pPr>
      <w:ind w:left="720"/>
      <w:contextualSpacing/>
    </w:pPr>
  </w:style>
  <w:style w:type="character" w:customStyle="1" w:styleId="Note1Char">
    <w:name w:val="Note 1 Char"/>
    <w:link w:val="Note1"/>
    <w:locked/>
    <w:rsid w:val="009017B9"/>
    <w:rPr>
      <w:sz w:val="18"/>
      <w:szCs w:val="18"/>
      <w:lang w:val="en-GB"/>
    </w:rPr>
  </w:style>
  <w:style w:type="paragraph" w:customStyle="1" w:styleId="Note1">
    <w:name w:val="Note 1"/>
    <w:basedOn w:val="Normal"/>
    <w:link w:val="Note1Char"/>
    <w:qFormat/>
    <w:rsid w:val="009017B9"/>
    <w:pPr>
      <w:overflowPunct w:val="0"/>
      <w:autoSpaceDE w:val="0"/>
      <w:autoSpaceDN w:val="0"/>
      <w:adjustRightInd w:val="0"/>
      <w:spacing w:before="60"/>
      <w:ind w:left="288"/>
    </w:pPr>
    <w:rPr>
      <w:rFonts w:eastAsia="Times New Roman"/>
      <w:sz w:val="18"/>
      <w:szCs w:val="18"/>
      <w:lang w:val="en-GB" w:eastAsia="en-US"/>
    </w:rPr>
  </w:style>
  <w:style w:type="character" w:customStyle="1" w:styleId="Annex2Char">
    <w:name w:val="Annex 2 Char"/>
    <w:link w:val="Annex2"/>
    <w:uiPriority w:val="99"/>
    <w:locked/>
    <w:rsid w:val="00D60B08"/>
    <w:rPr>
      <w:b/>
      <w:bCs/>
      <w:sz w:val="22"/>
      <w:szCs w:val="22"/>
      <w:lang w:val="en-GB"/>
    </w:rPr>
  </w:style>
  <w:style w:type="paragraph" w:customStyle="1" w:styleId="NormalH2">
    <w:name w:val="Normal + H2"/>
    <w:basedOn w:val="Heading2"/>
    <w:link w:val="NormalH2Char"/>
    <w:qFormat/>
    <w:rsid w:val="00D34FB0"/>
    <w:pPr>
      <w:numPr>
        <w:numId w:val="1"/>
      </w:numPr>
      <w:spacing w:before="136"/>
      <w:outlineLvl w:val="9"/>
    </w:pPr>
    <w:rPr>
      <w:b w:val="0"/>
      <w:sz w:val="20"/>
      <w:lang w:val="en-GB"/>
    </w:rPr>
  </w:style>
  <w:style w:type="character" w:customStyle="1" w:styleId="NormalH2Char">
    <w:name w:val="Normal + H2 Char"/>
    <w:basedOn w:val="Heading2Char"/>
    <w:link w:val="NormalH2"/>
    <w:rsid w:val="00377C0A"/>
    <w:rPr>
      <w:rFonts w:eastAsia="MS Mincho"/>
      <w:b w:val="0"/>
      <w:bCs/>
      <w:iCs/>
      <w:sz w:val="20"/>
      <w:szCs w:val="28"/>
      <w:lang w:val="en-GB" w:eastAsia="ja-JP"/>
    </w:rPr>
  </w:style>
  <w:style w:type="paragraph" w:customStyle="1" w:styleId="Annex2">
    <w:name w:val="Annex 2"/>
    <w:basedOn w:val="Normal"/>
    <w:next w:val="Normal"/>
    <w:link w:val="Annex2Char"/>
    <w:uiPriority w:val="99"/>
    <w:qFormat/>
    <w:rsid w:val="00D60B08"/>
    <w:pPr>
      <w:keepNext/>
      <w:keepLines/>
      <w:tabs>
        <w:tab w:val="clear" w:pos="792"/>
        <w:tab w:val="clear" w:pos="1195"/>
        <w:tab w:val="clear" w:pos="1584"/>
        <w:tab w:val="clear" w:pos="1987"/>
        <w:tab w:val="left" w:pos="794"/>
        <w:tab w:val="num" w:pos="1020"/>
        <w:tab w:val="left" w:pos="1191"/>
        <w:tab w:val="num" w:pos="1440"/>
        <w:tab w:val="left" w:pos="1588"/>
        <w:tab w:val="left" w:pos="1985"/>
      </w:tabs>
      <w:overflowPunct w:val="0"/>
      <w:autoSpaceDE w:val="0"/>
      <w:autoSpaceDN w:val="0"/>
      <w:adjustRightInd w:val="0"/>
      <w:spacing w:before="313"/>
      <w:ind w:left="1440" w:hanging="360"/>
      <w:outlineLvl w:val="1"/>
    </w:pPr>
    <w:rPr>
      <w:rFonts w:eastAsia="Times New Roman"/>
      <w:b/>
      <w:bCs/>
      <w:sz w:val="22"/>
      <w:szCs w:val="22"/>
      <w:lang w:val="en-GB" w:eastAsia="en-US"/>
    </w:rPr>
  </w:style>
  <w:style w:type="paragraph" w:customStyle="1" w:styleId="Annex1">
    <w:name w:val="Annex 1"/>
    <w:basedOn w:val="AppendixNotitle"/>
    <w:next w:val="Normal"/>
    <w:link w:val="Annex1Char"/>
    <w:qFormat/>
    <w:rsid w:val="00516987"/>
    <w:pPr>
      <w:outlineLvl w:val="0"/>
    </w:pPr>
    <w:rPr>
      <w:sz w:val="32"/>
      <w:lang w:val="en-CA"/>
    </w:rPr>
  </w:style>
  <w:style w:type="character" w:customStyle="1" w:styleId="AppendixNotitleChar">
    <w:name w:val="Appendix_No &amp; title Char"/>
    <w:basedOn w:val="DefaultParagraphFont"/>
    <w:link w:val="AppendixNotitle"/>
    <w:rsid w:val="00516987"/>
    <w:rPr>
      <w:rFonts w:eastAsia="MS Mincho"/>
      <w:b/>
      <w:sz w:val="28"/>
      <w:lang w:val="en-GB" w:eastAsia="ja-JP"/>
    </w:rPr>
  </w:style>
  <w:style w:type="character" w:customStyle="1" w:styleId="Annex1Char">
    <w:name w:val="Annex 1 Char"/>
    <w:basedOn w:val="AppendixNotitleChar"/>
    <w:link w:val="Annex1"/>
    <w:rsid w:val="00516987"/>
    <w:rPr>
      <w:rFonts w:eastAsia="MS Mincho"/>
      <w:b/>
      <w:sz w:val="32"/>
      <w:lang w:val="en-CA" w:eastAsia="ja-JP"/>
    </w:rPr>
  </w:style>
  <w:style w:type="paragraph" w:styleId="BodyText">
    <w:name w:val="Body Text"/>
    <w:basedOn w:val="Normal"/>
    <w:link w:val="BodyTextChar"/>
    <w:unhideWhenUsed/>
    <w:rsid w:val="007B6848"/>
    <w:pPr>
      <w:spacing w:after="120"/>
    </w:pPr>
    <w:rPr>
      <w:szCs w:val="20"/>
      <w:lang w:val="en-US"/>
    </w:rPr>
  </w:style>
  <w:style w:type="character" w:customStyle="1" w:styleId="BodyTextChar">
    <w:name w:val="Body Text Char"/>
    <w:basedOn w:val="DefaultParagraphFont"/>
    <w:link w:val="BodyText"/>
    <w:rsid w:val="007B6848"/>
    <w:rPr>
      <w:rFonts w:eastAsia="MS Mincho"/>
      <w:sz w:val="20"/>
      <w:szCs w:val="20"/>
      <w:lang w:eastAsia="ja-JP"/>
    </w:rPr>
  </w:style>
  <w:style w:type="paragraph" w:customStyle="1" w:styleId="BodyTextfirstgraph">
    <w:name w:val="Body Text (first graph)"/>
    <w:basedOn w:val="BodyText"/>
    <w:next w:val="BodyText"/>
    <w:link w:val="BodyTextfirstgraphChar"/>
    <w:uiPriority w:val="99"/>
    <w:qFormat/>
    <w:rsid w:val="007B6848"/>
    <w:pPr>
      <w:tabs>
        <w:tab w:val="clear" w:pos="792"/>
        <w:tab w:val="clear" w:pos="1195"/>
        <w:tab w:val="clear" w:pos="1584"/>
        <w:tab w:val="clear" w:pos="1987"/>
        <w:tab w:val="clear" w:pos="4853"/>
        <w:tab w:val="clear" w:pos="9691"/>
      </w:tabs>
      <w:spacing w:before="30" w:after="30"/>
    </w:pPr>
    <w:rPr>
      <w:rFonts w:eastAsia="Times New Roman"/>
      <w:sz w:val="24"/>
      <w:szCs w:val="24"/>
      <w:lang w:eastAsia="en-US"/>
    </w:rPr>
  </w:style>
  <w:style w:type="character" w:customStyle="1" w:styleId="BodyTextfirstgraphChar">
    <w:name w:val="Body Text (first graph) Char"/>
    <w:link w:val="BodyTextfirstgraph"/>
    <w:uiPriority w:val="99"/>
    <w:locked/>
    <w:rsid w:val="007B6848"/>
  </w:style>
  <w:style w:type="paragraph" w:styleId="NormalWeb">
    <w:name w:val="Normal (Web)"/>
    <w:basedOn w:val="Normal"/>
    <w:uiPriority w:val="99"/>
    <w:unhideWhenUsed/>
    <w:rsid w:val="007B6848"/>
    <w:pPr>
      <w:tabs>
        <w:tab w:val="clear" w:pos="792"/>
        <w:tab w:val="clear" w:pos="1195"/>
        <w:tab w:val="clear" w:pos="1584"/>
        <w:tab w:val="clear" w:pos="1987"/>
        <w:tab w:val="clear" w:pos="4853"/>
        <w:tab w:val="clear" w:pos="9691"/>
      </w:tabs>
      <w:spacing w:before="100" w:beforeAutospacing="1" w:after="100" w:afterAutospacing="1"/>
      <w:jc w:val="left"/>
    </w:pPr>
    <w:rPr>
      <w:rFonts w:eastAsiaTheme="minorEastAsia"/>
      <w:sz w:val="24"/>
      <w:lang w:val="en-US" w:eastAsia="en-US"/>
    </w:rPr>
  </w:style>
  <w:style w:type="paragraph" w:customStyle="1" w:styleId="SPIEbodytext">
    <w:name w:val="SPIE body text"/>
    <w:basedOn w:val="Normal"/>
    <w:link w:val="SPIEbodytextCharChar"/>
    <w:qFormat/>
    <w:rsid w:val="007B6848"/>
    <w:pPr>
      <w:tabs>
        <w:tab w:val="clear" w:pos="792"/>
        <w:tab w:val="clear" w:pos="1195"/>
        <w:tab w:val="clear" w:pos="1584"/>
        <w:tab w:val="clear" w:pos="1987"/>
        <w:tab w:val="clear" w:pos="4853"/>
        <w:tab w:val="clear" w:pos="9691"/>
      </w:tabs>
      <w:spacing w:before="0" w:after="120"/>
    </w:pPr>
    <w:rPr>
      <w:rFonts w:eastAsia="Times New Roman"/>
      <w:lang w:val="en-US" w:eastAsia="en-US"/>
    </w:rPr>
  </w:style>
  <w:style w:type="character" w:customStyle="1" w:styleId="SPIEbodytextCharChar">
    <w:name w:val="SPIE body text Char Char"/>
    <w:link w:val="SPIEbodytext"/>
    <w:rsid w:val="007B6848"/>
    <w:rPr>
      <w:sz w:val="20"/>
    </w:rPr>
  </w:style>
  <w:style w:type="paragraph" w:customStyle="1" w:styleId="Text">
    <w:name w:val="Text"/>
    <w:basedOn w:val="Normal"/>
    <w:rsid w:val="007B6848"/>
    <w:pPr>
      <w:widowControl w:val="0"/>
      <w:tabs>
        <w:tab w:val="clear" w:pos="792"/>
        <w:tab w:val="clear" w:pos="1195"/>
        <w:tab w:val="clear" w:pos="1584"/>
        <w:tab w:val="clear" w:pos="1987"/>
        <w:tab w:val="clear" w:pos="4853"/>
        <w:tab w:val="clear" w:pos="9691"/>
      </w:tabs>
      <w:spacing w:before="0" w:line="252" w:lineRule="auto"/>
      <w:ind w:firstLine="202"/>
    </w:pPr>
    <w:rPr>
      <w:rFonts w:eastAsia="Times New Roman"/>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83230776">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535894013">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799762811">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055352820">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atteo.naccari@bbc.co.uk" TargetMode="Externa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1.vsd"/><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garysull@microsoft.com" TargetMode="External"/><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9.vsd"/><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1.emf"/><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ankaj@fastvdo.com" TargetMode="Externa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hyperlink" Target="http://www.ibc.org/__media/PDF/michael_zink_managing_hdr_content_production_and_display_device_capabilities.pdf"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footer" Target="footer2.xml"/><Relationship Id="rId10" Type="http://schemas.openxmlformats.org/officeDocument/2006/relationships/hyperlink" Target="mailto:pyin@dolby.com" TargetMode="External"/><Relationship Id="rId19" Type="http://schemas.openxmlformats.org/officeDocument/2006/relationships/image" Target="media/image5.png"/><Relationship Id="rId31" Type="http://schemas.openxmlformats.org/officeDocument/2006/relationships/image" Target="media/image12.emf"/><Relationship Id="rId44" Type="http://schemas.openxmlformats.org/officeDocument/2006/relationships/hyperlink" Target="http://downloads.bbc.co.uk/rd/pubs/whp/whp-pdf-files/WHP309.pdf"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mytror@qti.qualcomm.com" TargetMode="External"/><Relationship Id="rId14" Type="http://schemas.openxmlformats.org/officeDocument/2006/relationships/image" Target="media/image1.wmf"/><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hyperlink" Target="https://standards.cta.tech/kwspub/published_docs/CEA-861.3-Preview.pdf" TargetMode="External"/><Relationship Id="rId48" Type="http://schemas.openxmlformats.org/officeDocument/2006/relationships/footer" Target="footer1.xml"/><Relationship Id="rId8" Type="http://schemas.openxmlformats.org/officeDocument/2006/relationships/hyperlink" Target="mailto:edouard.francois@technicolor.com" TargetMode="External"/><Relationship Id="rId5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EADB884-9047-44E5-8145-DD4174487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29</Pages>
  <Words>14010</Words>
  <Characters>79857</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93680</CharactersWithSpaces>
  <SharedDoc>false</SharedDoc>
  <HLinks>
    <vt:vector size="174" baseType="variant">
      <vt:variant>
        <vt:i4>1048581</vt:i4>
      </vt:variant>
      <vt:variant>
        <vt:i4>170</vt:i4>
      </vt:variant>
      <vt:variant>
        <vt:i4>0</vt:i4>
      </vt:variant>
      <vt:variant>
        <vt:i4>5</vt:i4>
      </vt:variant>
      <vt:variant>
        <vt:lpwstr/>
      </vt:variant>
      <vt:variant>
        <vt:lpwstr>_Toc444304144</vt:lpwstr>
      </vt:variant>
      <vt:variant>
        <vt:i4>1048578</vt:i4>
      </vt:variant>
      <vt:variant>
        <vt:i4>164</vt:i4>
      </vt:variant>
      <vt:variant>
        <vt:i4>0</vt:i4>
      </vt:variant>
      <vt:variant>
        <vt:i4>5</vt:i4>
      </vt:variant>
      <vt:variant>
        <vt:lpwstr/>
      </vt:variant>
      <vt:variant>
        <vt:lpwstr>_Toc444304143</vt:lpwstr>
      </vt:variant>
      <vt:variant>
        <vt:i4>1048579</vt:i4>
      </vt:variant>
      <vt:variant>
        <vt:i4>158</vt:i4>
      </vt:variant>
      <vt:variant>
        <vt:i4>0</vt:i4>
      </vt:variant>
      <vt:variant>
        <vt:i4>5</vt:i4>
      </vt:variant>
      <vt:variant>
        <vt:lpwstr/>
      </vt:variant>
      <vt:variant>
        <vt:lpwstr>_Toc444304142</vt:lpwstr>
      </vt:variant>
      <vt:variant>
        <vt:i4>1048576</vt:i4>
      </vt:variant>
      <vt:variant>
        <vt:i4>152</vt:i4>
      </vt:variant>
      <vt:variant>
        <vt:i4>0</vt:i4>
      </vt:variant>
      <vt:variant>
        <vt:i4>5</vt:i4>
      </vt:variant>
      <vt:variant>
        <vt:lpwstr/>
      </vt:variant>
      <vt:variant>
        <vt:lpwstr>_Toc444304141</vt:lpwstr>
      </vt:variant>
      <vt:variant>
        <vt:i4>1048577</vt:i4>
      </vt:variant>
      <vt:variant>
        <vt:i4>146</vt:i4>
      </vt:variant>
      <vt:variant>
        <vt:i4>0</vt:i4>
      </vt:variant>
      <vt:variant>
        <vt:i4>5</vt:i4>
      </vt:variant>
      <vt:variant>
        <vt:lpwstr/>
      </vt:variant>
      <vt:variant>
        <vt:lpwstr>_Toc444304140</vt:lpwstr>
      </vt:variant>
      <vt:variant>
        <vt:i4>1507336</vt:i4>
      </vt:variant>
      <vt:variant>
        <vt:i4>140</vt:i4>
      </vt:variant>
      <vt:variant>
        <vt:i4>0</vt:i4>
      </vt:variant>
      <vt:variant>
        <vt:i4>5</vt:i4>
      </vt:variant>
      <vt:variant>
        <vt:lpwstr/>
      </vt:variant>
      <vt:variant>
        <vt:lpwstr>_Toc444304139</vt:lpwstr>
      </vt:variant>
      <vt:variant>
        <vt:i4>1507337</vt:i4>
      </vt:variant>
      <vt:variant>
        <vt:i4>134</vt:i4>
      </vt:variant>
      <vt:variant>
        <vt:i4>0</vt:i4>
      </vt:variant>
      <vt:variant>
        <vt:i4>5</vt:i4>
      </vt:variant>
      <vt:variant>
        <vt:lpwstr/>
      </vt:variant>
      <vt:variant>
        <vt:lpwstr>_Toc444304138</vt:lpwstr>
      </vt:variant>
      <vt:variant>
        <vt:i4>1507334</vt:i4>
      </vt:variant>
      <vt:variant>
        <vt:i4>128</vt:i4>
      </vt:variant>
      <vt:variant>
        <vt:i4>0</vt:i4>
      </vt:variant>
      <vt:variant>
        <vt:i4>5</vt:i4>
      </vt:variant>
      <vt:variant>
        <vt:lpwstr/>
      </vt:variant>
      <vt:variant>
        <vt:lpwstr>_Toc444304137</vt:lpwstr>
      </vt:variant>
      <vt:variant>
        <vt:i4>1507335</vt:i4>
      </vt:variant>
      <vt:variant>
        <vt:i4>122</vt:i4>
      </vt:variant>
      <vt:variant>
        <vt:i4>0</vt:i4>
      </vt:variant>
      <vt:variant>
        <vt:i4>5</vt:i4>
      </vt:variant>
      <vt:variant>
        <vt:lpwstr/>
      </vt:variant>
      <vt:variant>
        <vt:lpwstr>_Toc444304136</vt:lpwstr>
      </vt:variant>
      <vt:variant>
        <vt:i4>1507332</vt:i4>
      </vt:variant>
      <vt:variant>
        <vt:i4>116</vt:i4>
      </vt:variant>
      <vt:variant>
        <vt:i4>0</vt:i4>
      </vt:variant>
      <vt:variant>
        <vt:i4>5</vt:i4>
      </vt:variant>
      <vt:variant>
        <vt:lpwstr/>
      </vt:variant>
      <vt:variant>
        <vt:lpwstr>_Toc444304135</vt:lpwstr>
      </vt:variant>
      <vt:variant>
        <vt:i4>1507333</vt:i4>
      </vt:variant>
      <vt:variant>
        <vt:i4>110</vt:i4>
      </vt:variant>
      <vt:variant>
        <vt:i4>0</vt:i4>
      </vt:variant>
      <vt:variant>
        <vt:i4>5</vt:i4>
      </vt:variant>
      <vt:variant>
        <vt:lpwstr/>
      </vt:variant>
      <vt:variant>
        <vt:lpwstr>_Toc444304134</vt:lpwstr>
      </vt:variant>
      <vt:variant>
        <vt:i4>1507330</vt:i4>
      </vt:variant>
      <vt:variant>
        <vt:i4>104</vt:i4>
      </vt:variant>
      <vt:variant>
        <vt:i4>0</vt:i4>
      </vt:variant>
      <vt:variant>
        <vt:i4>5</vt:i4>
      </vt:variant>
      <vt:variant>
        <vt:lpwstr/>
      </vt:variant>
      <vt:variant>
        <vt:lpwstr>_Toc444304133</vt:lpwstr>
      </vt:variant>
      <vt:variant>
        <vt:i4>1507331</vt:i4>
      </vt:variant>
      <vt:variant>
        <vt:i4>98</vt:i4>
      </vt:variant>
      <vt:variant>
        <vt:i4>0</vt:i4>
      </vt:variant>
      <vt:variant>
        <vt:i4>5</vt:i4>
      </vt:variant>
      <vt:variant>
        <vt:lpwstr/>
      </vt:variant>
      <vt:variant>
        <vt:lpwstr>_Toc444304132</vt:lpwstr>
      </vt:variant>
      <vt:variant>
        <vt:i4>1507328</vt:i4>
      </vt:variant>
      <vt:variant>
        <vt:i4>92</vt:i4>
      </vt:variant>
      <vt:variant>
        <vt:i4>0</vt:i4>
      </vt:variant>
      <vt:variant>
        <vt:i4>5</vt:i4>
      </vt:variant>
      <vt:variant>
        <vt:lpwstr/>
      </vt:variant>
      <vt:variant>
        <vt:lpwstr>_Toc444304131</vt:lpwstr>
      </vt:variant>
      <vt:variant>
        <vt:i4>1507329</vt:i4>
      </vt:variant>
      <vt:variant>
        <vt:i4>86</vt:i4>
      </vt:variant>
      <vt:variant>
        <vt:i4>0</vt:i4>
      </vt:variant>
      <vt:variant>
        <vt:i4>5</vt:i4>
      </vt:variant>
      <vt:variant>
        <vt:lpwstr/>
      </vt:variant>
      <vt:variant>
        <vt:lpwstr>_Toc444304130</vt:lpwstr>
      </vt:variant>
      <vt:variant>
        <vt:i4>1441800</vt:i4>
      </vt:variant>
      <vt:variant>
        <vt:i4>80</vt:i4>
      </vt:variant>
      <vt:variant>
        <vt:i4>0</vt:i4>
      </vt:variant>
      <vt:variant>
        <vt:i4>5</vt:i4>
      </vt:variant>
      <vt:variant>
        <vt:lpwstr/>
      </vt:variant>
      <vt:variant>
        <vt:lpwstr>_Toc444304129</vt:lpwstr>
      </vt:variant>
      <vt:variant>
        <vt:i4>1441801</vt:i4>
      </vt:variant>
      <vt:variant>
        <vt:i4>74</vt:i4>
      </vt:variant>
      <vt:variant>
        <vt:i4>0</vt:i4>
      </vt:variant>
      <vt:variant>
        <vt:i4>5</vt:i4>
      </vt:variant>
      <vt:variant>
        <vt:lpwstr/>
      </vt:variant>
      <vt:variant>
        <vt:lpwstr>_Toc444304128</vt:lpwstr>
      </vt:variant>
      <vt:variant>
        <vt:i4>1441798</vt:i4>
      </vt:variant>
      <vt:variant>
        <vt:i4>68</vt:i4>
      </vt:variant>
      <vt:variant>
        <vt:i4>0</vt:i4>
      </vt:variant>
      <vt:variant>
        <vt:i4>5</vt:i4>
      </vt:variant>
      <vt:variant>
        <vt:lpwstr/>
      </vt:variant>
      <vt:variant>
        <vt:lpwstr>_Toc444304127</vt:lpwstr>
      </vt:variant>
      <vt:variant>
        <vt:i4>1441799</vt:i4>
      </vt:variant>
      <vt:variant>
        <vt:i4>62</vt:i4>
      </vt:variant>
      <vt:variant>
        <vt:i4>0</vt:i4>
      </vt:variant>
      <vt:variant>
        <vt:i4>5</vt:i4>
      </vt:variant>
      <vt:variant>
        <vt:lpwstr/>
      </vt:variant>
      <vt:variant>
        <vt:lpwstr>_Toc444304126</vt:lpwstr>
      </vt:variant>
      <vt:variant>
        <vt:i4>1441796</vt:i4>
      </vt:variant>
      <vt:variant>
        <vt:i4>56</vt:i4>
      </vt:variant>
      <vt:variant>
        <vt:i4>0</vt:i4>
      </vt:variant>
      <vt:variant>
        <vt:i4>5</vt:i4>
      </vt:variant>
      <vt:variant>
        <vt:lpwstr/>
      </vt:variant>
      <vt:variant>
        <vt:lpwstr>_Toc444304125</vt:lpwstr>
      </vt:variant>
      <vt:variant>
        <vt:i4>1441797</vt:i4>
      </vt:variant>
      <vt:variant>
        <vt:i4>50</vt:i4>
      </vt:variant>
      <vt:variant>
        <vt:i4>0</vt:i4>
      </vt:variant>
      <vt:variant>
        <vt:i4>5</vt:i4>
      </vt:variant>
      <vt:variant>
        <vt:lpwstr/>
      </vt:variant>
      <vt:variant>
        <vt:lpwstr>_Toc444304124</vt:lpwstr>
      </vt:variant>
      <vt:variant>
        <vt:i4>1441794</vt:i4>
      </vt:variant>
      <vt:variant>
        <vt:i4>44</vt:i4>
      </vt:variant>
      <vt:variant>
        <vt:i4>0</vt:i4>
      </vt:variant>
      <vt:variant>
        <vt:i4>5</vt:i4>
      </vt:variant>
      <vt:variant>
        <vt:lpwstr/>
      </vt:variant>
      <vt:variant>
        <vt:lpwstr>_Toc444304123</vt:lpwstr>
      </vt:variant>
      <vt:variant>
        <vt:i4>1441795</vt:i4>
      </vt:variant>
      <vt:variant>
        <vt:i4>38</vt:i4>
      </vt:variant>
      <vt:variant>
        <vt:i4>0</vt:i4>
      </vt:variant>
      <vt:variant>
        <vt:i4>5</vt:i4>
      </vt:variant>
      <vt:variant>
        <vt:lpwstr/>
      </vt:variant>
      <vt:variant>
        <vt:lpwstr>_Toc444304122</vt:lpwstr>
      </vt:variant>
      <vt:variant>
        <vt:i4>1441792</vt:i4>
      </vt:variant>
      <vt:variant>
        <vt:i4>32</vt:i4>
      </vt:variant>
      <vt:variant>
        <vt:i4>0</vt:i4>
      </vt:variant>
      <vt:variant>
        <vt:i4>5</vt:i4>
      </vt:variant>
      <vt:variant>
        <vt:lpwstr/>
      </vt:variant>
      <vt:variant>
        <vt:lpwstr>_Toc444304121</vt:lpwstr>
      </vt:variant>
      <vt:variant>
        <vt:i4>1441793</vt:i4>
      </vt:variant>
      <vt:variant>
        <vt:i4>26</vt:i4>
      </vt:variant>
      <vt:variant>
        <vt:i4>0</vt:i4>
      </vt:variant>
      <vt:variant>
        <vt:i4>5</vt:i4>
      </vt:variant>
      <vt:variant>
        <vt:lpwstr/>
      </vt:variant>
      <vt:variant>
        <vt:lpwstr>_Toc444304120</vt:lpwstr>
      </vt:variant>
      <vt:variant>
        <vt:i4>1376264</vt:i4>
      </vt:variant>
      <vt:variant>
        <vt:i4>20</vt:i4>
      </vt:variant>
      <vt:variant>
        <vt:i4>0</vt:i4>
      </vt:variant>
      <vt:variant>
        <vt:i4>5</vt:i4>
      </vt:variant>
      <vt:variant>
        <vt:lpwstr/>
      </vt:variant>
      <vt:variant>
        <vt:lpwstr>_Toc444304119</vt:lpwstr>
      </vt:variant>
      <vt:variant>
        <vt:i4>1376265</vt:i4>
      </vt:variant>
      <vt:variant>
        <vt:i4>14</vt:i4>
      </vt:variant>
      <vt:variant>
        <vt:i4>0</vt:i4>
      </vt:variant>
      <vt:variant>
        <vt:i4>5</vt:i4>
      </vt:variant>
      <vt:variant>
        <vt:lpwstr/>
      </vt:variant>
      <vt:variant>
        <vt:lpwstr>_Toc444304118</vt:lpwstr>
      </vt:variant>
      <vt:variant>
        <vt:i4>1376262</vt:i4>
      </vt:variant>
      <vt:variant>
        <vt:i4>8</vt:i4>
      </vt:variant>
      <vt:variant>
        <vt:i4>0</vt:i4>
      </vt:variant>
      <vt:variant>
        <vt:i4>5</vt:i4>
      </vt:variant>
      <vt:variant>
        <vt:lpwstr/>
      </vt:variant>
      <vt:variant>
        <vt:lpwstr>_Toc444304117</vt:lpwstr>
      </vt:variant>
      <vt:variant>
        <vt:i4>1376263</vt:i4>
      </vt:variant>
      <vt:variant>
        <vt:i4>2</vt:i4>
      </vt:variant>
      <vt:variant>
        <vt:i4>0</vt:i4>
      </vt:variant>
      <vt:variant>
        <vt:i4>5</vt:i4>
      </vt:variant>
      <vt:variant>
        <vt:lpwstr/>
      </vt:variant>
      <vt:variant>
        <vt:lpwstr>_Toc444304116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Gary Sullivan</cp:lastModifiedBy>
  <cp:revision>8</cp:revision>
  <cp:lastPrinted>2016-05-18T22:24:00Z</cp:lastPrinted>
  <dcterms:created xsi:type="dcterms:W3CDTF">2016-10-11T13:18:00Z</dcterms:created>
  <dcterms:modified xsi:type="dcterms:W3CDTF">2016-11-21T23:28:00Z</dcterms:modified>
</cp:coreProperties>
</file>