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BBD6E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proofErr w:type="spellStart"/>
            <w:r w:rsidR="008A42F1">
              <w:rPr>
                <w:lang w:val="en-CA"/>
              </w:rPr>
              <w:t>Rennes</w:t>
            </w:r>
            <w:r w:rsidR="00084393">
              <w:rPr>
                <w:lang w:val="en-CA"/>
              </w:rPr>
              <w:t>,</w:t>
            </w:r>
            <w:r w:rsidR="008A42F1">
              <w:rPr>
                <w:lang w:val="en-CA"/>
              </w:rPr>
              <w:t>FR</w:t>
            </w:r>
            <w:proofErr w:type="spellEnd"/>
            <w:r w:rsidR="008A42F1">
              <w:rPr>
                <w:lang w:val="en-CA"/>
              </w:rPr>
              <w:t>,</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EF790C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F83A44" w:rsidRPr="00F83A44">
              <w:rPr>
                <w:lang w:val="en-CA"/>
              </w:rPr>
              <w:t>JVET-AH0246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DAC4B31" w:rsidR="00E61DAC" w:rsidRPr="005B217D" w:rsidRDefault="003C0ED1" w:rsidP="009D7CE6">
            <w:pPr>
              <w:spacing w:before="60" w:after="60"/>
              <w:rPr>
                <w:b/>
                <w:szCs w:val="22"/>
                <w:lang w:val="en-CA"/>
              </w:rPr>
            </w:pPr>
            <w:r>
              <w:rPr>
                <w:b/>
                <w:szCs w:val="22"/>
                <w:lang w:val="en-CA"/>
              </w:rPr>
              <w:t>EE2-2.10</w:t>
            </w:r>
            <w:r w:rsidR="00D35FBA">
              <w:rPr>
                <w:b/>
                <w:szCs w:val="22"/>
                <w:lang w:val="en-CA"/>
              </w:rPr>
              <w:t>h</w:t>
            </w:r>
            <w:r>
              <w:rPr>
                <w:b/>
                <w:szCs w:val="22"/>
                <w:lang w:val="en-CA"/>
              </w:rPr>
              <w:t>: MR-SAD</w:t>
            </w:r>
            <w:r w:rsidR="00241D8F">
              <w:rPr>
                <w:b/>
                <w:szCs w:val="22"/>
                <w:lang w:val="en-CA"/>
              </w:rPr>
              <w:t>/SATD</w:t>
            </w:r>
            <w:r>
              <w:rPr>
                <w:b/>
                <w:szCs w:val="22"/>
                <w:lang w:val="en-CA"/>
              </w:rPr>
              <w:t xml:space="preserve"> based </w:t>
            </w:r>
            <w:proofErr w:type="spellStart"/>
            <w:r>
              <w:rPr>
                <w:b/>
                <w:szCs w:val="22"/>
                <w:lang w:val="en-CA"/>
              </w:rPr>
              <w:t>IntraTMP</w:t>
            </w:r>
            <w:proofErr w:type="spellEnd"/>
            <w:r>
              <w:rPr>
                <w:b/>
                <w:szCs w:val="22"/>
                <w:lang w:val="en-CA"/>
              </w:rPr>
              <w:t xml:space="preserve"> BV search with signalling</w:t>
            </w:r>
            <w:r w:rsidR="00241D8F">
              <w:rPr>
                <w:b/>
                <w:szCs w:val="22"/>
                <w:lang w:val="en-CA"/>
              </w:rPr>
              <w:t xml:space="preserve"> and BV reordering</w:t>
            </w:r>
            <w:r w:rsidR="00D35FBA">
              <w:rPr>
                <w:b/>
                <w:szCs w:val="22"/>
                <w:lang w:val="en-CA"/>
              </w:rPr>
              <w:t xml:space="preserve"> with ARBVP for </w:t>
            </w:r>
            <w:proofErr w:type="spellStart"/>
            <w:r w:rsidR="00D35FBA">
              <w:rPr>
                <w:b/>
                <w:szCs w:val="22"/>
                <w:lang w:val="en-CA"/>
              </w:rPr>
              <w:t>IntraTMP</w:t>
            </w:r>
            <w:proofErr w:type="spellEnd"/>
            <w:r w:rsidR="00D35FBA">
              <w:rPr>
                <w:b/>
                <w:szCs w:val="22"/>
                <w:lang w:val="en-CA"/>
              </w:rPr>
              <w:t xml:space="preserve"> merge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CF4473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937D7D" w:rsidR="00E61DAC" w:rsidRPr="005B217D" w:rsidRDefault="00E61DAC" w:rsidP="005E1AC6">
            <w:pPr>
              <w:spacing w:before="60" w:after="60"/>
              <w:rPr>
                <w:szCs w:val="22"/>
                <w:lang w:val="en-CA"/>
              </w:rPr>
            </w:pPr>
            <w:r w:rsidRPr="005B217D">
              <w:rPr>
                <w:szCs w:val="22"/>
                <w:lang w:val="en-CA"/>
              </w:rPr>
              <w:t>Proposal</w:t>
            </w:r>
          </w:p>
        </w:tc>
      </w:tr>
      <w:tr w:rsidR="00E61DAC" w:rsidRPr="00E5046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C74D346" w14:textId="3D2E242C" w:rsidR="003C0ED1" w:rsidRPr="003C0ED1" w:rsidRDefault="003C0ED1" w:rsidP="00D35FBA">
            <w:pPr>
              <w:spacing w:before="60" w:after="60"/>
              <w:rPr>
                <w:szCs w:val="22"/>
                <w:lang w:val="fr-FR"/>
              </w:rPr>
            </w:pPr>
            <w:r w:rsidRPr="00241D8F">
              <w:rPr>
                <w:szCs w:val="22"/>
                <w:lang w:val="fr-FR"/>
              </w:rPr>
              <w:t>Karam Naser</w:t>
            </w:r>
            <w:r w:rsidR="00D35FBA">
              <w:rPr>
                <w:szCs w:val="22"/>
                <w:lang w:val="fr-FR"/>
              </w:rPr>
              <w:t xml:space="preserve">, </w:t>
            </w:r>
            <w:r w:rsidRPr="003C0ED1">
              <w:rPr>
                <w:szCs w:val="22"/>
                <w:lang w:val="fr-FR"/>
              </w:rPr>
              <w:t xml:space="preserve">Fabrice Le </w:t>
            </w:r>
            <w:proofErr w:type="spellStart"/>
            <w:r w:rsidRPr="003C0ED1">
              <w:rPr>
                <w:szCs w:val="22"/>
                <w:lang w:val="fr-FR"/>
              </w:rPr>
              <w:t>Léannec</w:t>
            </w:r>
            <w:proofErr w:type="spellEnd"/>
            <w:r w:rsidRPr="003C0ED1">
              <w:rPr>
                <w:szCs w:val="22"/>
                <w:lang w:val="fr-FR"/>
              </w:rPr>
              <w:t xml:space="preserve"> </w:t>
            </w:r>
          </w:p>
          <w:p w14:paraId="303318A1" w14:textId="3E0E6642" w:rsidR="00E61DAC" w:rsidRPr="00D35FBA" w:rsidRDefault="00D35FBA" w:rsidP="00D35FBA">
            <w:pPr>
              <w:spacing w:before="60" w:after="60"/>
              <w:rPr>
                <w:szCs w:val="22"/>
                <w:lang w:val="fr-FR"/>
              </w:rPr>
            </w:pPr>
            <w:r>
              <w:rPr>
                <w:szCs w:val="22"/>
                <w:lang w:val="fr-FR"/>
              </w:rPr>
              <w:t>,</w:t>
            </w:r>
            <w:r w:rsidR="003C0ED1" w:rsidRPr="003C0ED1">
              <w:rPr>
                <w:szCs w:val="22"/>
                <w:lang w:val="fr-FR"/>
              </w:rPr>
              <w:t>Tangi Poirier</w:t>
            </w:r>
            <w:r>
              <w:rPr>
                <w:szCs w:val="22"/>
                <w:lang w:val="fr-FR"/>
              </w:rPr>
              <w:t xml:space="preserve">, </w:t>
            </w:r>
            <w:r w:rsidR="003C0ED1" w:rsidRPr="00D35FBA">
              <w:rPr>
                <w:szCs w:val="22"/>
                <w:lang w:val="fr-FR"/>
              </w:rPr>
              <w:t xml:space="preserve">Hassane </w:t>
            </w:r>
            <w:proofErr w:type="spellStart"/>
            <w:r w:rsidR="003C0ED1" w:rsidRPr="00D35FBA">
              <w:rPr>
                <w:szCs w:val="22"/>
                <w:lang w:val="fr-FR"/>
              </w:rPr>
              <w:t>Guermoud</w:t>
            </w:r>
            <w:proofErr w:type="spellEnd"/>
            <w:r>
              <w:rPr>
                <w:szCs w:val="22"/>
                <w:lang w:val="fr-FR"/>
              </w:rPr>
              <w:t xml:space="preserve"> ,</w:t>
            </w:r>
            <w:r w:rsidR="003C0ED1" w:rsidRPr="00D35FBA">
              <w:rPr>
                <w:szCs w:val="22"/>
                <w:lang w:val="fr-FR"/>
              </w:rPr>
              <w:t>Thierry Dumas</w:t>
            </w:r>
            <w:r w:rsidR="00E61DAC" w:rsidRPr="00D35FBA">
              <w:rPr>
                <w:szCs w:val="22"/>
                <w:lang w:val="fr-FR"/>
              </w:rPr>
              <w:br/>
            </w:r>
          </w:p>
          <w:p w14:paraId="664A3B9D" w14:textId="036FD1B3" w:rsidR="00241D8F" w:rsidRPr="00F83A44" w:rsidRDefault="00241D8F" w:rsidP="00D35FBA">
            <w:pPr>
              <w:pStyle w:val="Normal-3-3"/>
              <w:rPr>
                <w:szCs w:val="22"/>
                <w:lang w:eastAsia="zh-CN"/>
              </w:rPr>
            </w:pPr>
            <w:r w:rsidRPr="00F83A44">
              <w:rPr>
                <w:szCs w:val="22"/>
                <w:lang w:eastAsia="zh-CN"/>
              </w:rPr>
              <w:t xml:space="preserve">Wei Chen, </w:t>
            </w:r>
            <w:r w:rsidRPr="00F83A44">
              <w:rPr>
                <w:szCs w:val="22"/>
              </w:rPr>
              <w:t>Xiaoyu Xiu,</w:t>
            </w:r>
            <w:r w:rsidRPr="00F83A44">
              <w:rPr>
                <w:szCs w:val="22"/>
                <w:lang w:eastAsia="zh-CN"/>
              </w:rPr>
              <w:t xml:space="preserve"> </w:t>
            </w:r>
            <w:proofErr w:type="spellStart"/>
            <w:r w:rsidRPr="00F83A44">
              <w:rPr>
                <w:szCs w:val="22"/>
              </w:rPr>
              <w:t>Xianglin</w:t>
            </w:r>
            <w:proofErr w:type="spellEnd"/>
            <w:r w:rsidRPr="00F83A44">
              <w:rPr>
                <w:szCs w:val="22"/>
              </w:rPr>
              <w:t xml:space="preserve"> Wang</w:t>
            </w:r>
          </w:p>
          <w:p w14:paraId="252AB7F8" w14:textId="77777777" w:rsidR="00D35FBA" w:rsidRPr="00F83A44" w:rsidRDefault="00D35FBA" w:rsidP="00241D8F">
            <w:pPr>
              <w:pStyle w:val="Normal-3-3"/>
              <w:rPr>
                <w:szCs w:val="22"/>
              </w:rPr>
            </w:pPr>
          </w:p>
          <w:p w14:paraId="4856E207" w14:textId="77777777" w:rsidR="00D35FBA" w:rsidRPr="00F83A44" w:rsidRDefault="00D35FBA" w:rsidP="00D35FBA">
            <w:pPr>
              <w:spacing w:before="60" w:after="60"/>
              <w:rPr>
                <w:rFonts w:eastAsia="SimSun"/>
              </w:rPr>
            </w:pPr>
            <w:proofErr w:type="spellStart"/>
            <w:r w:rsidRPr="00F83A44">
              <w:rPr>
                <w:szCs w:val="22"/>
                <w:lang w:eastAsia="zh-CN"/>
              </w:rPr>
              <w:t>Nengfu</w:t>
            </w:r>
            <w:proofErr w:type="spellEnd"/>
            <w:r w:rsidRPr="00F83A44">
              <w:rPr>
                <w:szCs w:val="22"/>
                <w:lang w:eastAsia="zh-CN"/>
              </w:rPr>
              <w:t xml:space="preserve"> Qiu</w:t>
            </w:r>
            <w:r w:rsidRPr="00F83A44">
              <w:rPr>
                <w:szCs w:val="22"/>
              </w:rPr>
              <w:t>,</w:t>
            </w:r>
            <w:r w:rsidRPr="00F83A44">
              <w:rPr>
                <w:szCs w:val="22"/>
                <w:lang w:eastAsia="zh-CN"/>
              </w:rPr>
              <w:t xml:space="preserve"> </w:t>
            </w:r>
            <w:proofErr w:type="spellStart"/>
            <w:r w:rsidRPr="00F83A44">
              <w:rPr>
                <w:szCs w:val="22"/>
              </w:rPr>
              <w:t>Junyan</w:t>
            </w:r>
            <w:proofErr w:type="spellEnd"/>
            <w:r w:rsidRPr="00F83A44">
              <w:rPr>
                <w:szCs w:val="22"/>
              </w:rPr>
              <w:t xml:space="preserve"> Huo,</w:t>
            </w:r>
            <w:r w:rsidRPr="00F83A44">
              <w:rPr>
                <w:szCs w:val="22"/>
                <w:lang w:eastAsia="zh-CN"/>
              </w:rPr>
              <w:t xml:space="preserve"> </w:t>
            </w:r>
            <w:r w:rsidRPr="00F83A44">
              <w:rPr>
                <w:szCs w:val="22"/>
              </w:rPr>
              <w:t>Yanzhuo Ma,</w:t>
            </w:r>
            <w:r w:rsidRPr="00F83A44">
              <w:rPr>
                <w:szCs w:val="22"/>
                <w:lang w:eastAsia="zh-CN"/>
              </w:rPr>
              <w:t xml:space="preserve"> </w:t>
            </w:r>
            <w:proofErr w:type="spellStart"/>
            <w:r w:rsidRPr="00F83A44">
              <w:rPr>
                <w:szCs w:val="22"/>
              </w:rPr>
              <w:t>Fuzheng</w:t>
            </w:r>
            <w:proofErr w:type="spellEnd"/>
            <w:r w:rsidRPr="00F83A44">
              <w:rPr>
                <w:szCs w:val="22"/>
              </w:rPr>
              <w:t xml:space="preserve"> Yang (</w:t>
            </w:r>
            <w:proofErr w:type="spellStart"/>
            <w:r w:rsidRPr="00F83A44">
              <w:rPr>
                <w:rFonts w:eastAsia="SimSun"/>
              </w:rPr>
              <w:t>Xidian</w:t>
            </w:r>
            <w:proofErr w:type="spellEnd"/>
            <w:r w:rsidRPr="00F83A44">
              <w:rPr>
                <w:rFonts w:eastAsia="SimSun"/>
              </w:rPr>
              <w:t xml:space="preserve"> University)</w:t>
            </w:r>
          </w:p>
          <w:p w14:paraId="482A10F1" w14:textId="77777777" w:rsidR="00D35FBA" w:rsidRPr="00F83A44" w:rsidRDefault="00D35FBA" w:rsidP="00D35FBA">
            <w:pPr>
              <w:spacing w:before="60" w:after="60"/>
              <w:rPr>
                <w:rFonts w:eastAsia="SimSun"/>
              </w:rPr>
            </w:pPr>
          </w:p>
          <w:p w14:paraId="10D8C4B2" w14:textId="77777777" w:rsidR="00D35FBA" w:rsidRPr="00F83A44" w:rsidRDefault="00D35FBA" w:rsidP="00D35FBA">
            <w:pPr>
              <w:spacing w:before="60" w:after="60"/>
              <w:rPr>
                <w:szCs w:val="22"/>
                <w:lang w:eastAsia="zh-CN"/>
              </w:rPr>
            </w:pPr>
            <w:r w:rsidRPr="00F83A44">
              <w:rPr>
                <w:szCs w:val="22"/>
                <w:lang w:eastAsia="zh-CN"/>
              </w:rPr>
              <w:t xml:space="preserve">Lai Zhang, Yue Yu, Fan Wang, </w:t>
            </w:r>
            <w:proofErr w:type="spellStart"/>
            <w:r w:rsidRPr="00F83A44">
              <w:rPr>
                <w:szCs w:val="22"/>
                <w:lang w:eastAsia="zh-CN"/>
              </w:rPr>
              <w:t>Haoping</w:t>
            </w:r>
            <w:proofErr w:type="spellEnd"/>
            <w:r w:rsidRPr="00F83A44">
              <w:rPr>
                <w:szCs w:val="22"/>
                <w:lang w:eastAsia="zh-CN"/>
              </w:rPr>
              <w:t xml:space="preserve"> Yu, Dong Wang (OPPO)</w:t>
            </w:r>
          </w:p>
          <w:p w14:paraId="2519FA8C" w14:textId="77777777" w:rsidR="00D35FBA" w:rsidRPr="00F83A44" w:rsidRDefault="00D35FBA" w:rsidP="00241D8F">
            <w:pPr>
              <w:pStyle w:val="Normal-3-3"/>
              <w:rPr>
                <w:szCs w:val="22"/>
              </w:rPr>
            </w:pPr>
          </w:p>
          <w:p w14:paraId="49D81240" w14:textId="2A53107C" w:rsidR="00241D8F" w:rsidRPr="00F83A44" w:rsidRDefault="00241D8F">
            <w:pPr>
              <w:spacing w:before="60" w:after="60"/>
              <w:rPr>
                <w:szCs w:val="22"/>
              </w:rPr>
            </w:pPr>
          </w:p>
        </w:tc>
        <w:tc>
          <w:tcPr>
            <w:tcW w:w="900" w:type="dxa"/>
          </w:tcPr>
          <w:p w14:paraId="0140ECA2" w14:textId="1C43C970" w:rsidR="00E61DAC" w:rsidRPr="005B217D" w:rsidRDefault="00E61DAC">
            <w:pPr>
              <w:spacing w:before="60" w:after="60"/>
              <w:rPr>
                <w:szCs w:val="22"/>
                <w:lang w:val="en-CA"/>
              </w:rPr>
            </w:pPr>
            <w:r w:rsidRPr="00F83A44">
              <w:rPr>
                <w:szCs w:val="22"/>
              </w:rPr>
              <w:br/>
            </w:r>
            <w:r w:rsidRPr="00F83A44">
              <w:rPr>
                <w:szCs w:val="22"/>
              </w:rPr>
              <w:br/>
            </w:r>
            <w:r w:rsidRPr="005B217D">
              <w:rPr>
                <w:szCs w:val="22"/>
                <w:lang w:val="en-CA"/>
              </w:rPr>
              <w:t>Email:</w:t>
            </w:r>
          </w:p>
        </w:tc>
        <w:tc>
          <w:tcPr>
            <w:tcW w:w="3060" w:type="dxa"/>
          </w:tcPr>
          <w:p w14:paraId="3874C769" w14:textId="77777777" w:rsidR="00E61DAC" w:rsidRPr="00F83A44" w:rsidRDefault="00E61DAC" w:rsidP="005952A5">
            <w:pPr>
              <w:spacing w:before="60" w:after="60"/>
              <w:rPr>
                <w:szCs w:val="22"/>
                <w:lang w:val="de-DE"/>
              </w:rPr>
            </w:pPr>
            <w:r w:rsidRPr="00F83A44">
              <w:rPr>
                <w:szCs w:val="22"/>
                <w:lang w:val="de-DE"/>
              </w:rPr>
              <w:br/>
            </w:r>
            <w:r w:rsidRPr="00F83A44">
              <w:rPr>
                <w:szCs w:val="22"/>
                <w:lang w:val="de-DE"/>
              </w:rPr>
              <w:br/>
            </w:r>
            <w:hyperlink r:id="rId9" w:history="1">
              <w:r w:rsidR="003C0ED1" w:rsidRPr="00F83A44">
                <w:rPr>
                  <w:rStyle w:val="Hyperlink"/>
                  <w:szCs w:val="22"/>
                  <w:lang w:val="de-DE"/>
                </w:rPr>
                <w:t>karam.naser@InterDigital.com</w:t>
              </w:r>
            </w:hyperlink>
            <w:r w:rsidR="003C0ED1" w:rsidRPr="00F83A44">
              <w:rPr>
                <w:szCs w:val="22"/>
                <w:lang w:val="de-DE"/>
              </w:rPr>
              <w:t xml:space="preserve"> </w:t>
            </w:r>
          </w:p>
          <w:p w14:paraId="6F04F428" w14:textId="1931FA87" w:rsidR="00241D8F" w:rsidRPr="00F83A44" w:rsidRDefault="00241D8F" w:rsidP="005952A5">
            <w:pPr>
              <w:spacing w:before="60" w:after="60"/>
              <w:rPr>
                <w:rStyle w:val="Hyperlink"/>
                <w:szCs w:val="22"/>
                <w:lang w:val="de-DE"/>
              </w:rPr>
            </w:pPr>
            <w:r w:rsidRPr="00F83A44">
              <w:rPr>
                <w:rStyle w:val="Hyperlink"/>
                <w:lang w:val="de-DE"/>
              </w:rPr>
              <w:t>chenwei06</w:t>
            </w:r>
            <w:r w:rsidRPr="00F83A44">
              <w:rPr>
                <w:rStyle w:val="Hyperlink"/>
                <w:szCs w:val="22"/>
                <w:lang w:val="de-DE"/>
              </w:rPr>
              <w:t xml:space="preserve"> </w:t>
            </w:r>
            <w:hyperlink r:id="rId10" w:history="1">
              <w:r w:rsidR="00AD3406" w:rsidRPr="00F83A44">
                <w:rPr>
                  <w:rStyle w:val="Hyperlink"/>
                  <w:szCs w:val="22"/>
                  <w:lang w:val="de-DE"/>
                </w:rPr>
                <w:t>@kwai.com</w:t>
              </w:r>
            </w:hyperlink>
          </w:p>
          <w:p w14:paraId="41D9F873" w14:textId="77777777" w:rsidR="00D35FBA" w:rsidRPr="00F83A44" w:rsidRDefault="00000000" w:rsidP="00D35FBA">
            <w:pPr>
              <w:spacing w:before="60" w:after="60"/>
              <w:rPr>
                <w:rStyle w:val="Hyperlink"/>
                <w:rFonts w:eastAsia="SimSun"/>
                <w:lang w:val="de-DE"/>
              </w:rPr>
            </w:pPr>
            <w:r>
              <w:fldChar w:fldCharType="begin"/>
            </w:r>
            <w:r w:rsidRPr="00E5046D">
              <w:rPr>
                <w:lang w:val="de-DE"/>
              </w:rPr>
              <w:instrText>HYPERLINK "mailto:nfqiu@stu.xidian.edu.cn"</w:instrText>
            </w:r>
            <w:r>
              <w:fldChar w:fldCharType="separate"/>
            </w:r>
            <w:r w:rsidR="00D35FBA" w:rsidRPr="00F83A44">
              <w:rPr>
                <w:rStyle w:val="Hyperlink"/>
                <w:rFonts w:eastAsia="SimSun"/>
                <w:lang w:val="de-DE"/>
              </w:rPr>
              <w:t>nfqiu@stu.xidian.edu.cn</w:t>
            </w:r>
            <w:r>
              <w:rPr>
                <w:rStyle w:val="Hyperlink"/>
                <w:rFonts w:eastAsia="SimSun"/>
                <w:lang w:val="de-DE"/>
              </w:rPr>
              <w:fldChar w:fldCharType="end"/>
            </w:r>
          </w:p>
          <w:p w14:paraId="621D32A3" w14:textId="77777777" w:rsidR="00D35FBA" w:rsidRPr="00F83A44" w:rsidRDefault="00000000" w:rsidP="00D35FBA">
            <w:pPr>
              <w:spacing w:before="60" w:after="60"/>
              <w:rPr>
                <w:rStyle w:val="Hyperlink"/>
                <w:rFonts w:eastAsia="SimSun"/>
                <w:lang w:val="de-DE"/>
              </w:rPr>
            </w:pPr>
            <w:r>
              <w:fldChar w:fldCharType="begin"/>
            </w:r>
            <w:r w:rsidRPr="00E5046D">
              <w:rPr>
                <w:lang w:val="de-DE"/>
              </w:rPr>
              <w:instrText>HYPERLINK "mailto:zhanglai@oppo.com"</w:instrText>
            </w:r>
            <w:r>
              <w:fldChar w:fldCharType="separate"/>
            </w:r>
            <w:r w:rsidR="00D35FBA" w:rsidRPr="00F83A44">
              <w:rPr>
                <w:rStyle w:val="Hyperlink"/>
                <w:lang w:val="de-DE"/>
              </w:rPr>
              <w:t>zhanglai@oppo.com</w:t>
            </w:r>
            <w:r>
              <w:rPr>
                <w:rStyle w:val="Hyperlink"/>
                <w:lang w:val="de-DE"/>
              </w:rPr>
              <w:fldChar w:fldCharType="end"/>
            </w:r>
          </w:p>
          <w:p w14:paraId="32C2ABFD" w14:textId="129F294E" w:rsidR="00D35FBA" w:rsidRPr="00F83A44" w:rsidRDefault="00D35FBA" w:rsidP="005952A5">
            <w:pPr>
              <w:spacing w:before="60" w:after="60"/>
              <w:rPr>
                <w:szCs w:val="22"/>
                <w:lang w:val="de-DE"/>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B90E96" w:rsidR="00E61DAC" w:rsidRPr="005B217D" w:rsidRDefault="003C0ED1">
            <w:pPr>
              <w:spacing w:before="60" w:after="60"/>
              <w:rPr>
                <w:szCs w:val="22"/>
                <w:lang w:val="en-CA"/>
              </w:rPr>
            </w:pPr>
            <w:proofErr w:type="spellStart"/>
            <w:r>
              <w:rPr>
                <w:szCs w:val="22"/>
                <w:lang w:val="en-CA"/>
              </w:rPr>
              <w:t>InterDigital</w:t>
            </w:r>
            <w:proofErr w:type="spellEnd"/>
            <w:r w:rsidR="00241D8F">
              <w:rPr>
                <w:szCs w:val="22"/>
                <w:lang w:val="en-CA"/>
              </w:rPr>
              <w:t>, Kwai</w:t>
            </w:r>
            <w:r w:rsidR="00D35FBA">
              <w:rPr>
                <w:szCs w:val="22"/>
                <w:lang w:val="en-CA"/>
              </w:rPr>
              <w:t>,</w:t>
            </w:r>
            <w:r w:rsidR="00D35FBA">
              <w:rPr>
                <w:rFonts w:eastAsia="SimSun" w:hint="eastAsia"/>
                <w:lang w:val="en-CA"/>
              </w:rPr>
              <w:t xml:space="preserve"> </w:t>
            </w:r>
            <w:proofErr w:type="spellStart"/>
            <w:r w:rsidR="00D35FBA">
              <w:rPr>
                <w:rFonts w:eastAsia="SimSun" w:hint="eastAsia"/>
                <w:lang w:val="en-CA"/>
              </w:rPr>
              <w:t>Xidian</w:t>
            </w:r>
            <w:proofErr w:type="spellEnd"/>
            <w:r w:rsidR="00D35FBA">
              <w:rPr>
                <w:rFonts w:eastAsia="SimSun" w:hint="eastAsia"/>
                <w:lang w:val="en-CA"/>
              </w:rPr>
              <w:t xml:space="preserve"> University</w:t>
            </w:r>
            <w:r w:rsidR="00D35FBA">
              <w:rPr>
                <w:rFonts w:eastAsia="SimSun"/>
                <w:lang w:val="en-CA"/>
              </w:rPr>
              <w:t>, 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6AF8D944" w14:textId="70B0D0C4" w:rsidR="00241D8F" w:rsidRDefault="003C0ED1" w:rsidP="00241D8F">
      <w:pPr>
        <w:rPr>
          <w:color w:val="000000"/>
        </w:rPr>
      </w:pPr>
      <w:r>
        <w:rPr>
          <w:lang w:val="en-CA"/>
        </w:rPr>
        <w:t>This contribution presents the simulation results of the EE test 2.10</w:t>
      </w:r>
      <w:r w:rsidR="00D35FBA">
        <w:rPr>
          <w:lang w:val="en-CA"/>
        </w:rPr>
        <w:t>h</w:t>
      </w:r>
      <w:r w:rsidR="00241D8F">
        <w:rPr>
          <w:lang w:val="en-CA"/>
        </w:rPr>
        <w:t xml:space="preserve"> </w:t>
      </w:r>
      <w:r w:rsidR="00D35FBA">
        <w:rPr>
          <w:lang w:val="en-CA"/>
        </w:rPr>
        <w:t>which is a combination of Test-2.10a, 2.10c, 2.10d and 2.11c</w:t>
      </w:r>
      <w:r>
        <w:rPr>
          <w:lang w:val="en-CA"/>
        </w:rPr>
        <w:t xml:space="preserve">. The </w:t>
      </w:r>
      <w:r w:rsidR="00241D8F">
        <w:rPr>
          <w:lang w:val="en-CA"/>
        </w:rPr>
        <w:t xml:space="preserve">first </w:t>
      </w:r>
      <w:r>
        <w:rPr>
          <w:lang w:val="en-CA"/>
        </w:rPr>
        <w:t>test</w:t>
      </w:r>
      <w:r w:rsidR="00241D8F">
        <w:rPr>
          <w:lang w:val="en-CA"/>
        </w:rPr>
        <w:t xml:space="preserve"> (2.10a)</w:t>
      </w:r>
      <w:r>
        <w:rPr>
          <w:lang w:val="en-CA"/>
        </w:rPr>
        <w:t xml:space="preserve"> </w:t>
      </w:r>
      <w:r w:rsidR="00241D8F">
        <w:rPr>
          <w:lang w:val="en-CA"/>
        </w:rPr>
        <w:t xml:space="preserve">proposes a </w:t>
      </w:r>
      <w:r w:rsidR="00241D8F">
        <w:rPr>
          <w:color w:val="000000"/>
        </w:rPr>
        <w:t xml:space="preserve">SATD based cost function to replace the current </w:t>
      </w:r>
      <w:proofErr w:type="spellStart"/>
      <w:r w:rsidR="00241D8F">
        <w:rPr>
          <w:color w:val="000000"/>
        </w:rPr>
        <w:t>IntraTMP</w:t>
      </w:r>
      <w:proofErr w:type="spellEnd"/>
      <w:r w:rsidR="00241D8F">
        <w:rPr>
          <w:color w:val="000000"/>
        </w:rPr>
        <w:t xml:space="preserve"> BV search on refinement search. The second test (2.10c) </w:t>
      </w:r>
      <w:r w:rsidR="00241D8F">
        <w:rPr>
          <w:lang w:val="en-CA"/>
        </w:rPr>
        <w:t xml:space="preserve">proposes additional cost metric for </w:t>
      </w:r>
      <w:proofErr w:type="spellStart"/>
      <w:r w:rsidR="00241D8F">
        <w:rPr>
          <w:lang w:val="en-CA"/>
        </w:rPr>
        <w:t>IntraTMP</w:t>
      </w:r>
      <w:proofErr w:type="spellEnd"/>
      <w:r w:rsidR="00241D8F">
        <w:rPr>
          <w:lang w:val="en-CA"/>
        </w:rPr>
        <w:t xml:space="preserve"> BV search for the sparse search. Specifically, a flag is signaled to the decoder to indicate the choice between the default metric (SAD) and the additional one (MR-SAD). </w:t>
      </w:r>
      <w:r w:rsidR="00241D8F">
        <w:rPr>
          <w:color w:val="000000"/>
        </w:rPr>
        <w:t xml:space="preserve">The test </w:t>
      </w:r>
      <w:r w:rsidR="00241D8F">
        <w:rPr>
          <w:lang w:val="en-CA"/>
        </w:rPr>
        <w:t xml:space="preserve">2.10d proposes a </w:t>
      </w:r>
      <w:r w:rsidR="00241D8F">
        <w:rPr>
          <w:color w:val="000000"/>
        </w:rPr>
        <w:t xml:space="preserve">reordering method to reduce the </w:t>
      </w:r>
      <w:proofErr w:type="spellStart"/>
      <w:r w:rsidR="00241D8F">
        <w:rPr>
          <w:color w:val="000000"/>
        </w:rPr>
        <w:t>signalling</w:t>
      </w:r>
      <w:proofErr w:type="spellEnd"/>
      <w:r w:rsidR="00241D8F">
        <w:rPr>
          <w:color w:val="000000"/>
        </w:rPr>
        <w:t xml:space="preserve"> overhead of </w:t>
      </w:r>
      <w:proofErr w:type="spellStart"/>
      <w:r w:rsidR="00241D8F">
        <w:rPr>
          <w:color w:val="000000"/>
        </w:rPr>
        <w:t>IntraTMP</w:t>
      </w:r>
      <w:proofErr w:type="spellEnd"/>
      <w:r w:rsidR="00241D8F">
        <w:rPr>
          <w:color w:val="000000"/>
        </w:rPr>
        <w:t xml:space="preserve"> BV.</w:t>
      </w:r>
      <w:r w:rsidR="00D35FBA">
        <w:rPr>
          <w:color w:val="000000"/>
        </w:rPr>
        <w:t xml:space="preserve"> In Test-2.</w:t>
      </w:r>
      <w:r w:rsidR="0056717B">
        <w:rPr>
          <w:color w:val="000000"/>
        </w:rPr>
        <w:t>11c</w:t>
      </w:r>
      <w:r w:rsidR="00D35FBA">
        <w:rPr>
          <w:color w:val="000000"/>
        </w:rPr>
        <w:t xml:space="preserve">, the auto-relocated BVP for </w:t>
      </w:r>
      <w:proofErr w:type="spellStart"/>
      <w:r w:rsidR="00D35FBA">
        <w:rPr>
          <w:color w:val="000000"/>
        </w:rPr>
        <w:t>IntraTMP</w:t>
      </w:r>
      <w:proofErr w:type="spellEnd"/>
      <w:r w:rsidR="00D35FBA">
        <w:rPr>
          <w:color w:val="000000"/>
        </w:rPr>
        <w:t xml:space="preserve"> merge candidates is introduced with sorting.</w:t>
      </w:r>
    </w:p>
    <w:p w14:paraId="723577E9" w14:textId="77777777" w:rsidR="00241D8F" w:rsidRDefault="00241D8F" w:rsidP="003C0ED1">
      <w:pPr>
        <w:rPr>
          <w:lang w:val="en-CA"/>
        </w:rPr>
      </w:pPr>
    </w:p>
    <w:p w14:paraId="793753B7" w14:textId="2599214C" w:rsidR="003C0ED1" w:rsidRDefault="003C0ED1" w:rsidP="003C0ED1">
      <w:pPr>
        <w:tabs>
          <w:tab w:val="clear" w:pos="3240"/>
        </w:tabs>
        <w:rPr>
          <w:szCs w:val="22"/>
          <w:lang w:val="en-CA"/>
        </w:rPr>
      </w:pPr>
      <w:r>
        <w:rPr>
          <w:szCs w:val="22"/>
          <w:lang w:val="en-CA"/>
        </w:rPr>
        <w:t xml:space="preserve">On top of the ECM12.0, the simulation results of </w:t>
      </w:r>
      <w:bookmarkStart w:id="0" w:name="_Hlk155367418"/>
      <w:r>
        <w:rPr>
          <w:szCs w:val="22"/>
          <w:lang w:val="en-CA"/>
        </w:rPr>
        <w:t>EE2-</w:t>
      </w:r>
      <w:bookmarkEnd w:id="0"/>
      <w:r>
        <w:rPr>
          <w:szCs w:val="22"/>
          <w:lang w:val="en-CA"/>
        </w:rPr>
        <w:t>2.</w:t>
      </w:r>
      <w:r w:rsidR="0056717B">
        <w:rPr>
          <w:szCs w:val="22"/>
          <w:lang w:val="en-CA"/>
        </w:rPr>
        <w:t xml:space="preserve">10h </w:t>
      </w:r>
      <w:r>
        <w:rPr>
          <w:szCs w:val="22"/>
          <w:lang w:val="en-CA"/>
        </w:rPr>
        <w:t>are reported as:</w:t>
      </w:r>
    </w:p>
    <w:p w14:paraId="7535D534" w14:textId="15329972" w:rsidR="006E12A1" w:rsidRDefault="009749B4" w:rsidP="003C0ED1">
      <w:pPr>
        <w:tabs>
          <w:tab w:val="clear" w:pos="3240"/>
        </w:tabs>
        <w:rPr>
          <w:szCs w:val="22"/>
          <w:lang w:val="en-CA"/>
        </w:rPr>
      </w:pPr>
      <w:r w:rsidRPr="00E5046D">
        <w:rPr>
          <w:szCs w:val="22"/>
          <w:lang w:val="en-CA"/>
        </w:rPr>
        <w:t>AI</w:t>
      </w:r>
      <w:r w:rsidRPr="00E5046D">
        <w:rPr>
          <w:szCs w:val="22"/>
          <w:lang w:val="en-CA" w:eastAsia="zh-CN"/>
        </w:rPr>
        <w:t xml:space="preserve">: </w:t>
      </w:r>
      <w:r w:rsidRPr="00E5046D">
        <w:t>-0.19%</w:t>
      </w:r>
      <w:r w:rsidRPr="00E5046D">
        <w:tab/>
        <w:t>-0.20%</w:t>
      </w:r>
      <w:r w:rsidRPr="00E5046D">
        <w:tab/>
        <w:t>-0.19% 102.4% 102.9%</w:t>
      </w:r>
    </w:p>
    <w:p w14:paraId="7D2AC1F0" w14:textId="71583A21" w:rsidR="00745F6B" w:rsidRDefault="00745F6B" w:rsidP="003C0ED1">
      <w:pPr>
        <w:pStyle w:val="Heading1"/>
        <w:rPr>
          <w:lang w:val="en-CA"/>
        </w:rPr>
      </w:pPr>
      <w:r w:rsidRPr="005B217D">
        <w:rPr>
          <w:lang w:val="en-CA"/>
        </w:rPr>
        <w:t>Introduction</w:t>
      </w:r>
    </w:p>
    <w:p w14:paraId="6F112783" w14:textId="447E372F" w:rsidR="00241D8F" w:rsidRDefault="00241D8F" w:rsidP="00241D8F">
      <w:pPr>
        <w:rPr>
          <w:szCs w:val="22"/>
          <w:lang w:val="en-CA"/>
        </w:rPr>
      </w:pPr>
      <w:r>
        <w:rPr>
          <w:szCs w:val="22"/>
          <w:lang w:val="en-CA"/>
        </w:rPr>
        <w:t>Intra template matching prediction (</w:t>
      </w:r>
      <w:proofErr w:type="spellStart"/>
      <w:r>
        <w:rPr>
          <w:szCs w:val="22"/>
          <w:lang w:val="en-CA"/>
        </w:rPr>
        <w:t>IntraTMP</w:t>
      </w:r>
      <w:proofErr w:type="spellEnd"/>
      <w:r>
        <w:rPr>
          <w:szCs w:val="22"/>
          <w:lang w:val="en-CA"/>
        </w:rPr>
        <w:t xml:space="preserve">) is an intra prediction mode that predicts the current CU from the reconstructed regions within the current frame. The best prediction block is determined by matching the L-shaped reconstructed neighboring samples of the CU (based on the SAD cost) in a predefined search range. In ECM-12.0 </w:t>
      </w:r>
      <w:r>
        <w:rPr>
          <w:szCs w:val="22"/>
          <w:lang w:val="en-CA"/>
        </w:rPr>
        <w:fldChar w:fldCharType="begin"/>
      </w:r>
      <w:r>
        <w:rPr>
          <w:szCs w:val="22"/>
          <w:lang w:val="en-CA"/>
        </w:rPr>
        <w:instrText xml:space="preserve"> REF _Ref132363288 \n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w:t>
      </w:r>
      <w:r>
        <w:rPr>
          <w:szCs w:val="22"/>
        </w:rPr>
        <w:t xml:space="preserve">in the initial search, the </w:t>
      </w:r>
      <w:proofErr w:type="spellStart"/>
      <w:r w:rsidR="0067333D">
        <w:rPr>
          <w:szCs w:val="22"/>
        </w:rPr>
        <w:t>IntraTMP</w:t>
      </w:r>
      <w:proofErr w:type="spellEnd"/>
      <w:r w:rsidR="0067333D">
        <w:rPr>
          <w:szCs w:val="22"/>
        </w:rPr>
        <w:t xml:space="preserve"> </w:t>
      </w:r>
      <w:r>
        <w:rPr>
          <w:szCs w:val="22"/>
        </w:rPr>
        <w:t xml:space="preserve">search regions is subsampled a subsampling factor. </w:t>
      </w:r>
      <w:proofErr w:type="gramStart"/>
      <w:r>
        <w:rPr>
          <w:szCs w:val="22"/>
        </w:rPr>
        <w:t>After finding the best match, a refinement process</w:t>
      </w:r>
      <w:proofErr w:type="gramEnd"/>
      <w:r>
        <w:rPr>
          <w:szCs w:val="22"/>
        </w:rPr>
        <w:t xml:space="preserve"> is further applied by refining the BV around the best match within a reduced range.</w:t>
      </w:r>
    </w:p>
    <w:p w14:paraId="0025B7F7" w14:textId="77777777" w:rsidR="00241D8F" w:rsidRDefault="00241D8F" w:rsidP="00241D8F">
      <w:pPr>
        <w:rPr>
          <w:szCs w:val="22"/>
          <w:lang w:val="en-CA"/>
        </w:rPr>
      </w:pPr>
      <w:r>
        <w:rPr>
          <w:szCs w:val="22"/>
          <w:lang w:val="en-CA"/>
        </w:rPr>
        <w:t>In ECM-</w:t>
      </w:r>
      <w:r>
        <w:rPr>
          <w:szCs w:val="22"/>
          <w:lang w:val="en-CA" w:eastAsia="zh-TW"/>
        </w:rPr>
        <w:t>12</w:t>
      </w:r>
      <w:r>
        <w:rPr>
          <w:szCs w:val="22"/>
          <w:lang w:val="en-CA"/>
        </w:rPr>
        <w:t xml:space="preserve">.0, sub-pel precision is also enabled for </w:t>
      </w:r>
      <w:proofErr w:type="spellStart"/>
      <w:r>
        <w:rPr>
          <w:szCs w:val="22"/>
          <w:lang w:val="en-CA"/>
        </w:rPr>
        <w:t>IntraTMP</w:t>
      </w:r>
      <w:proofErr w:type="spellEnd"/>
      <w:r>
        <w:rPr>
          <w:szCs w:val="22"/>
          <w:lang w:val="en-CA"/>
        </w:rPr>
        <w:t>, which includes three sub-pel positions</w:t>
      </w:r>
      <w:r>
        <w:rPr>
          <w:lang w:val="en-CA" w:eastAsia="zh-CN"/>
        </w:rPr>
        <w:t xml:space="preserve"> (1/2-pel, 1/4-pel and 3/4-pel). For each sub-pel position, eight directions are supported. In the current design, the selected sub-pel BV is explicitly signaled in bitstream, which takes up to 6-bit signaling overhead.</w:t>
      </w:r>
    </w:p>
    <w:p w14:paraId="766EAEAA" w14:textId="77777777" w:rsidR="00241D8F" w:rsidRDefault="00241D8F" w:rsidP="00241D8F">
      <w:pPr>
        <w:rPr>
          <w:lang w:val="en-CA"/>
        </w:rPr>
      </w:pPr>
    </w:p>
    <w:p w14:paraId="2522BEBD" w14:textId="70635DD7" w:rsidR="00031C4B" w:rsidRDefault="003C0ED1" w:rsidP="00031C4B">
      <w:pPr>
        <w:rPr>
          <w:lang w:val="en-CA"/>
        </w:rPr>
      </w:pPr>
      <w:r>
        <w:rPr>
          <w:lang w:val="en-CA"/>
        </w:rPr>
        <w:t xml:space="preserve">There are multiple modes of </w:t>
      </w:r>
      <w:proofErr w:type="spellStart"/>
      <w:r>
        <w:rPr>
          <w:lang w:val="en-CA"/>
        </w:rPr>
        <w:t>IntraTMP</w:t>
      </w:r>
      <w:proofErr w:type="spellEnd"/>
      <w:r>
        <w:rPr>
          <w:lang w:val="en-CA"/>
        </w:rPr>
        <w:t xml:space="preserve"> in ECM: regular, fusion, sub</w:t>
      </w:r>
      <w:r w:rsidR="0067333D">
        <w:rPr>
          <w:lang w:val="en-CA"/>
        </w:rPr>
        <w:t>-</w:t>
      </w:r>
      <w:r>
        <w:rPr>
          <w:lang w:val="en-CA"/>
        </w:rPr>
        <w:t>pel, FLM and LIC. By default, SAD is used as the template matching cost metric</w:t>
      </w:r>
      <w:r w:rsidR="00031C4B">
        <w:rPr>
          <w:lang w:val="en-CA"/>
        </w:rPr>
        <w:t>. Exceptionally, MR-SAD is used as a template cost when LIC is used. In ECM-12</w:t>
      </w:r>
      <w:r w:rsidR="0067333D">
        <w:rPr>
          <w:lang w:val="en-CA"/>
        </w:rPr>
        <w:t>.0</w:t>
      </w:r>
      <w:r w:rsidR="00031C4B">
        <w:rPr>
          <w:lang w:val="en-CA"/>
        </w:rPr>
        <w:t>, the encoder generates two BV candidate lists</w:t>
      </w:r>
      <w:r w:rsidR="00307FA4">
        <w:rPr>
          <w:lang w:val="en-CA"/>
        </w:rPr>
        <w:t>: one for the default case and the other for LIC mode. The decoder generates one list depending on whether LIC usage.</w:t>
      </w:r>
    </w:p>
    <w:p w14:paraId="3C295C52" w14:textId="77777777" w:rsidR="00D35FBA" w:rsidRDefault="00D35FBA" w:rsidP="00031C4B">
      <w:pPr>
        <w:rPr>
          <w:lang w:val="en-CA"/>
        </w:rPr>
      </w:pPr>
    </w:p>
    <w:p w14:paraId="099871A5" w14:textId="77777777" w:rsidR="00D35FBA" w:rsidRDefault="00D35FBA" w:rsidP="00D35FBA">
      <w:pPr>
        <w:rPr>
          <w:szCs w:val="22"/>
          <w:lang w:val="en-CA"/>
        </w:rPr>
      </w:pPr>
      <w:r>
        <w:rPr>
          <w:szCs w:val="22"/>
          <w:lang w:val="en-CA"/>
        </w:rPr>
        <w:t xml:space="preserve">In JVET-AG0063 [2] and JVET-AG0080 [3], the auto-relocated BVP (AR-BVP) for </w:t>
      </w:r>
      <w:proofErr w:type="spellStart"/>
      <w:r>
        <w:rPr>
          <w:szCs w:val="22"/>
          <w:lang w:val="en-CA"/>
        </w:rPr>
        <w:t>IntraTMP</w:t>
      </w:r>
      <w:proofErr w:type="spellEnd"/>
      <w:r>
        <w:rPr>
          <w:szCs w:val="22"/>
          <w:lang w:val="en-CA"/>
        </w:rPr>
        <w:t xml:space="preserve"> merge candidates were proposed. M</w:t>
      </w:r>
      <w:r w:rsidRPr="003E01A0">
        <w:rPr>
          <w:szCs w:val="22"/>
          <w:lang w:val="en-CA"/>
        </w:rPr>
        <w:t>ore specifically</w:t>
      </w:r>
      <w:r>
        <w:rPr>
          <w:szCs w:val="22"/>
          <w:lang w:val="en-CA"/>
        </w:rPr>
        <w:t>, in JVET-AG0063 the AR-BVP candidates are sorted together with other merge candidates per the template matching cost. In JVET-AG0080 the AR-BVP candidates are used as additional candidates on top of the original merge candidates. These two proposals are tested together in EE2 test 2.11.</w:t>
      </w:r>
    </w:p>
    <w:p w14:paraId="169913C7" w14:textId="77777777" w:rsidR="00D35FBA" w:rsidRDefault="00D35FBA" w:rsidP="00031C4B">
      <w:pPr>
        <w:rPr>
          <w:lang w:val="en-CA"/>
        </w:rPr>
      </w:pPr>
    </w:p>
    <w:p w14:paraId="0827ACFA" w14:textId="47691821" w:rsidR="00031C4B" w:rsidRDefault="00031C4B" w:rsidP="00F87BD1">
      <w:pPr>
        <w:pStyle w:val="Heading1"/>
        <w:rPr>
          <w:lang w:val="en-CA"/>
        </w:rPr>
      </w:pPr>
      <w:r w:rsidRPr="00031C4B">
        <w:rPr>
          <w:lang w:val="en-CA"/>
        </w:rPr>
        <w:t>Proposed Method</w:t>
      </w:r>
    </w:p>
    <w:p w14:paraId="232B81A7" w14:textId="77777777" w:rsidR="00241D8F" w:rsidRDefault="00241D8F" w:rsidP="00241D8F">
      <w:pPr>
        <w:rPr>
          <w:lang w:val="en-CA"/>
        </w:rPr>
      </w:pPr>
    </w:p>
    <w:p w14:paraId="7572DCEB" w14:textId="1BB5D34D" w:rsidR="00241D8F" w:rsidRDefault="00241D8F" w:rsidP="00241D8F">
      <w:pPr>
        <w:spacing w:before="120" w:after="120"/>
        <w:rPr>
          <w:color w:val="000000"/>
        </w:rPr>
      </w:pPr>
      <w:r>
        <w:rPr>
          <w:szCs w:val="22"/>
          <w:lang w:val="en-CA"/>
        </w:rPr>
        <w:t>In test 2.10a</w:t>
      </w:r>
      <w:r w:rsidR="00591E3B">
        <w:rPr>
          <w:szCs w:val="22"/>
          <w:lang w:val="en-CA"/>
        </w:rPr>
        <w:t xml:space="preserve"> [4]</w:t>
      </w:r>
      <w:r>
        <w:rPr>
          <w:szCs w:val="22"/>
          <w:lang w:val="en-CA"/>
        </w:rPr>
        <w:t xml:space="preserve">, </w:t>
      </w:r>
      <w:r>
        <w:rPr>
          <w:lang w:val="en-CA"/>
        </w:rPr>
        <w:t>it is proposed to use the SATD as the cost function for the integer BV search. To reduce the complexity, the SATD based cost function is only applied in the refinement process while the initial search still utilizes the SAD. Additionally, the SATD is always enabled at the refinement stage without any control signalling</w:t>
      </w:r>
      <w:r>
        <w:rPr>
          <w:color w:val="000000"/>
        </w:rPr>
        <w:t>.</w:t>
      </w:r>
    </w:p>
    <w:p w14:paraId="6DC9E5FA" w14:textId="6D42B25E" w:rsidR="00241D8F" w:rsidRDefault="00241D8F" w:rsidP="00241D8F">
      <w:pPr>
        <w:rPr>
          <w:lang w:val="en-CA"/>
        </w:rPr>
      </w:pPr>
      <w:r>
        <w:rPr>
          <w:lang w:val="en-CA"/>
        </w:rPr>
        <w:t xml:space="preserve">Test-2.10c proposes generalizing the idea of multiple metrics for </w:t>
      </w:r>
      <w:proofErr w:type="spellStart"/>
      <w:r>
        <w:rPr>
          <w:lang w:val="en-CA"/>
        </w:rPr>
        <w:t>IntraTMP</w:t>
      </w:r>
      <w:proofErr w:type="spellEnd"/>
      <w:r>
        <w:rPr>
          <w:lang w:val="en-CA"/>
        </w:rPr>
        <w:t>. A CU-level</w:t>
      </w:r>
      <w:r w:rsidRPr="00307FA4">
        <w:rPr>
          <w:lang w:val="en-CA"/>
        </w:rPr>
        <w:t xml:space="preserve"> </w:t>
      </w:r>
      <w:r>
        <w:rPr>
          <w:lang w:val="en-CA"/>
        </w:rPr>
        <w:t>signaling is proposed to alternate between SAD and MR-SAD. The encoder performs two template searches to generate two BV candidate lists (SAD and MR-SAD based), while the decoder performs SAD or MR-SAD template search depending on the CU flag.  The test further proposes reducing redundancies between the two lists by alternating the template search start</w:t>
      </w:r>
      <w:r w:rsidR="0067333D">
        <w:rPr>
          <w:lang w:val="en-CA"/>
        </w:rPr>
        <w:t>ing</w:t>
      </w:r>
      <w:r>
        <w:rPr>
          <w:lang w:val="en-CA"/>
        </w:rPr>
        <w:t xml:space="preserve"> point for each metric. Specifically, MR-SAD template search is shift by half of the subsampling factor that is used for the sparce search.</w:t>
      </w:r>
    </w:p>
    <w:p w14:paraId="30A3007D" w14:textId="77777777" w:rsidR="00241D8F" w:rsidRPr="00241D8F" w:rsidRDefault="00241D8F" w:rsidP="00241D8F">
      <w:pPr>
        <w:rPr>
          <w:lang w:val="en-CA"/>
        </w:rPr>
      </w:pPr>
    </w:p>
    <w:p w14:paraId="0BD0D7BB" w14:textId="6FBDD51D" w:rsidR="00241D8F" w:rsidRDefault="00241D8F" w:rsidP="00241D8F">
      <w:pPr>
        <w:spacing w:before="120" w:after="120"/>
        <w:rPr>
          <w:lang w:val="en-CA"/>
        </w:rPr>
      </w:pPr>
      <w:r>
        <w:rPr>
          <w:szCs w:val="22"/>
          <w:lang w:val="en-CA"/>
        </w:rPr>
        <w:t>In Test-2.10d</w:t>
      </w:r>
      <w:r w:rsidR="00591E3B">
        <w:rPr>
          <w:szCs w:val="22"/>
          <w:lang w:val="en-CA"/>
        </w:rPr>
        <w:t xml:space="preserve"> [4]</w:t>
      </w:r>
      <w:r>
        <w:rPr>
          <w:szCs w:val="22"/>
          <w:lang w:val="en-CA"/>
        </w:rPr>
        <w:t xml:space="preserve">, </w:t>
      </w:r>
      <w:r>
        <w:rPr>
          <w:szCs w:val="22"/>
          <w:lang w:eastAsia="ko-KR"/>
        </w:rPr>
        <w:t xml:space="preserve">it is proposed to enable the reordering to reduce the signaling overhead of </w:t>
      </w:r>
      <w:proofErr w:type="spellStart"/>
      <w:r w:rsidR="0067333D">
        <w:rPr>
          <w:szCs w:val="22"/>
          <w:lang w:eastAsia="ko-KR"/>
        </w:rPr>
        <w:t>I</w:t>
      </w:r>
      <w:r>
        <w:rPr>
          <w:szCs w:val="22"/>
          <w:lang w:eastAsia="ko-KR"/>
        </w:rPr>
        <w:t>ntraTMP</w:t>
      </w:r>
      <w:proofErr w:type="spellEnd"/>
      <w:r>
        <w:rPr>
          <w:szCs w:val="22"/>
          <w:lang w:eastAsia="ko-KR"/>
        </w:rPr>
        <w:t xml:space="preserve"> BVs. Specifically, a </w:t>
      </w:r>
      <w:r>
        <w:rPr>
          <w:lang w:val="en-CA"/>
        </w:rPr>
        <w:t>candidate list, which includes the integer-pel BV (output from the integer BV search) and 16 sub-pel BVs (which includes the BVs at 1/2-pel and 1/4-pel sub-pel positions with eight directions) around the selected integer-pel BV, is generated. The list is sorted based on the SAD cost between the template samples of the current CU and their corresponding prediction samples. After the reordering, the first two candidates are allowed to be selected with one single flag being signaled from encoder to decoder.</w:t>
      </w:r>
    </w:p>
    <w:p w14:paraId="0F72A8AB" w14:textId="77777777" w:rsidR="00D35FBA" w:rsidRDefault="00D35FBA" w:rsidP="00241D8F">
      <w:pPr>
        <w:spacing w:before="120" w:after="120"/>
        <w:rPr>
          <w:lang w:val="en-CA"/>
        </w:rPr>
      </w:pPr>
    </w:p>
    <w:p w14:paraId="3C8F0752" w14:textId="5F382505" w:rsidR="00D35FBA" w:rsidRDefault="0056717B" w:rsidP="00D35FBA">
      <w:pPr>
        <w:rPr>
          <w:szCs w:val="22"/>
          <w:lang w:val="en-CA"/>
        </w:rPr>
      </w:pPr>
      <w:r w:rsidRPr="00117A86">
        <w:rPr>
          <w:szCs w:val="22"/>
          <w:lang w:val="en-CA" w:eastAsia="zh-CN"/>
        </w:rPr>
        <w:t>In test 2.11c</w:t>
      </w:r>
      <w:r w:rsidR="00591E3B">
        <w:rPr>
          <w:szCs w:val="22"/>
          <w:lang w:val="en-CA" w:eastAsia="zh-CN"/>
        </w:rPr>
        <w:t xml:space="preserve"> [2]</w:t>
      </w:r>
      <w:r w:rsidRPr="00117A86">
        <w:rPr>
          <w:szCs w:val="22"/>
          <w:lang w:val="en-CA" w:eastAsia="zh-CN"/>
        </w:rPr>
        <w:t xml:space="preserve">, the </w:t>
      </w:r>
      <w:proofErr w:type="gramStart"/>
      <w:r w:rsidRPr="00117A86">
        <w:rPr>
          <w:szCs w:val="22"/>
          <w:lang w:val="en-CA" w:eastAsia="zh-CN"/>
        </w:rPr>
        <w:t>auto-relocated</w:t>
      </w:r>
      <w:proofErr w:type="gramEnd"/>
      <w:r w:rsidRPr="00117A86">
        <w:rPr>
          <w:szCs w:val="22"/>
          <w:lang w:val="en-CA" w:eastAsia="zh-CN"/>
        </w:rPr>
        <w:t xml:space="preserve"> BVP for </w:t>
      </w:r>
      <w:proofErr w:type="spellStart"/>
      <w:r w:rsidRPr="00117A86">
        <w:rPr>
          <w:szCs w:val="22"/>
          <w:lang w:val="en-CA" w:eastAsia="zh-CN"/>
        </w:rPr>
        <w:t>IntraTMP</w:t>
      </w:r>
      <w:proofErr w:type="spellEnd"/>
      <w:r w:rsidRPr="00117A86">
        <w:rPr>
          <w:szCs w:val="22"/>
          <w:lang w:val="en-CA" w:eastAsia="zh-CN"/>
        </w:rPr>
        <w:t xml:space="preserve"> merge candidates and the template matching based sorting process for </w:t>
      </w:r>
      <w:proofErr w:type="spellStart"/>
      <w:r w:rsidRPr="00117A86">
        <w:rPr>
          <w:szCs w:val="22"/>
          <w:lang w:val="en-CA" w:eastAsia="zh-CN"/>
        </w:rPr>
        <w:t>IntraTMP</w:t>
      </w:r>
      <w:proofErr w:type="spellEnd"/>
      <w:r w:rsidRPr="00117A86">
        <w:rPr>
          <w:szCs w:val="22"/>
          <w:lang w:val="en-CA" w:eastAsia="zh-CN"/>
        </w:rPr>
        <w:t xml:space="preserve"> merge candidates are tested. Up to 50 merge candidates can be derived from the neighboring PUs and by constructing AR-BVPs. Then the best 10 candidates are kept by ranking the template matching cost. The BVs of the reference blocks can also be directly used as AR-BVPs to get more available candidates. If an AR-BVP candidate is selected for refinement, it would have a refinement range of 3x3. SAD or MR-SAD can be used for calculating the cost depending on the same CU flags used in test  2.10c</w:t>
      </w:r>
      <w:r w:rsidRPr="00F63C7B">
        <w:rPr>
          <w:rFonts w:eastAsia="Malgun Gothic"/>
          <w:szCs w:val="22"/>
          <w:lang w:val="en-CA" w:eastAsia="ko-KR"/>
        </w:rPr>
        <w:t>.</w:t>
      </w:r>
    </w:p>
    <w:p w14:paraId="47F9C80C" w14:textId="77777777" w:rsidR="00D35FBA" w:rsidRPr="00D35FBA" w:rsidRDefault="00D35FBA" w:rsidP="00241D8F">
      <w:pPr>
        <w:spacing w:before="120" w:after="120"/>
        <w:rPr>
          <w:szCs w:val="22"/>
          <w:lang w:val="en-CA" w:eastAsia="ko-KR"/>
        </w:rPr>
      </w:pPr>
    </w:p>
    <w:p w14:paraId="39491984" w14:textId="5B4C7E5B" w:rsidR="00031C4B" w:rsidRDefault="00307FA4" w:rsidP="00031C4B">
      <w:pPr>
        <w:pStyle w:val="Heading1"/>
        <w:rPr>
          <w:lang w:val="en-CA"/>
        </w:rPr>
      </w:pPr>
      <w:r>
        <w:rPr>
          <w:lang w:val="en-CA"/>
        </w:rPr>
        <w:t>Experimental Results</w:t>
      </w:r>
    </w:p>
    <w:p w14:paraId="1195C23B" w14:textId="77777777" w:rsidR="00031C4B" w:rsidRDefault="00031C4B" w:rsidP="003C0ED1">
      <w:pPr>
        <w:rPr>
          <w:lang w:val="en-CA"/>
        </w:rPr>
      </w:pPr>
    </w:p>
    <w:p w14:paraId="0C98EE20" w14:textId="44DD1DD8" w:rsidR="00307FA4" w:rsidRDefault="00307FA4" w:rsidP="003C0ED1">
      <w:pPr>
        <w:rPr>
          <w:lang w:val="en-CA"/>
        </w:rPr>
      </w:pPr>
      <w:r>
        <w:rPr>
          <w:lang w:val="en-CA"/>
        </w:rPr>
        <w:t>The proposed method is implemented on top of ECM-12</w:t>
      </w:r>
      <w:r w:rsidR="00577736">
        <w:rPr>
          <w:lang w:val="en-CA"/>
        </w:rPr>
        <w:t>.0</w:t>
      </w:r>
      <w:r>
        <w:rPr>
          <w:lang w:val="en-CA"/>
        </w:rPr>
        <w:t xml:space="preserve"> software. The following results are obtained under the common testing conditions</w:t>
      </w:r>
      <w:r w:rsidR="00E56C0E">
        <w:rPr>
          <w:lang w:val="en-CA"/>
        </w:rPr>
        <w:t xml:space="preserve"> [5]</w:t>
      </w:r>
      <w:r>
        <w:rPr>
          <w:lang w:val="en-CA"/>
        </w:rPr>
        <w:t>:</w:t>
      </w:r>
    </w:p>
    <w:p w14:paraId="087C79EA" w14:textId="77777777" w:rsidR="00787005" w:rsidRDefault="00787005" w:rsidP="003C0ED1">
      <w:pPr>
        <w:rPr>
          <w:lang w:val="en-CA"/>
        </w:rPr>
      </w:pPr>
    </w:p>
    <w:tbl>
      <w:tblPr>
        <w:tblW w:w="8480" w:type="dxa"/>
        <w:tblCellMar>
          <w:left w:w="70" w:type="dxa"/>
          <w:right w:w="70" w:type="dxa"/>
        </w:tblCellMar>
        <w:tblLook w:val="04A0" w:firstRow="1" w:lastRow="0" w:firstColumn="1" w:lastColumn="0" w:noHBand="0" w:noVBand="1"/>
      </w:tblPr>
      <w:tblGrid>
        <w:gridCol w:w="1060"/>
        <w:gridCol w:w="868"/>
        <w:gridCol w:w="868"/>
        <w:gridCol w:w="868"/>
        <w:gridCol w:w="926"/>
        <w:gridCol w:w="926"/>
        <w:gridCol w:w="1475"/>
        <w:gridCol w:w="1489"/>
      </w:tblGrid>
      <w:tr w:rsidR="00EB5295" w:rsidRPr="00EB5295" w14:paraId="3F74C71F" w14:textId="77777777" w:rsidTr="00EB5295">
        <w:trPr>
          <w:trHeight w:val="255"/>
        </w:trPr>
        <w:tc>
          <w:tcPr>
            <w:tcW w:w="1060" w:type="dxa"/>
            <w:tcBorders>
              <w:top w:val="nil"/>
              <w:left w:val="nil"/>
              <w:bottom w:val="nil"/>
              <w:right w:val="nil"/>
            </w:tcBorders>
            <w:shd w:val="clear" w:color="auto" w:fill="auto"/>
            <w:noWrap/>
            <w:vAlign w:val="center"/>
            <w:hideMark/>
          </w:tcPr>
          <w:p w14:paraId="7CB8839C" w14:textId="77777777" w:rsidR="00EB5295" w:rsidRPr="00F83A44"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9DF2B4"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B5295">
              <w:rPr>
                <w:rFonts w:ascii="Arial" w:hAnsi="Arial" w:cs="Arial"/>
                <w:b/>
                <w:bCs/>
                <w:color w:val="000000"/>
                <w:sz w:val="18"/>
                <w:szCs w:val="18"/>
                <w:lang w:val="fr-FR" w:eastAsia="fr-FR"/>
              </w:rPr>
              <w:t xml:space="preserve">All Intra Main 10 </w:t>
            </w:r>
          </w:p>
        </w:tc>
      </w:tr>
      <w:tr w:rsidR="00EB5295" w:rsidRPr="00EB5295" w14:paraId="36456098" w14:textId="77777777" w:rsidTr="00EB5295">
        <w:trPr>
          <w:trHeight w:val="255"/>
        </w:trPr>
        <w:tc>
          <w:tcPr>
            <w:tcW w:w="1060" w:type="dxa"/>
            <w:tcBorders>
              <w:top w:val="nil"/>
              <w:left w:val="nil"/>
              <w:bottom w:val="nil"/>
              <w:right w:val="nil"/>
            </w:tcBorders>
            <w:shd w:val="clear" w:color="auto" w:fill="auto"/>
            <w:noWrap/>
            <w:vAlign w:val="center"/>
            <w:hideMark/>
          </w:tcPr>
          <w:p w14:paraId="7E07C108"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0A8548C5"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B5295">
              <w:rPr>
                <w:rFonts w:ascii="Arial" w:hAnsi="Arial" w:cs="Arial"/>
                <w:b/>
                <w:bCs/>
                <w:color w:val="000000"/>
                <w:sz w:val="18"/>
                <w:szCs w:val="18"/>
                <w:lang w:val="fr-FR" w:eastAsia="fr-FR"/>
              </w:rPr>
              <w:t>Over ECM-12.0</w:t>
            </w:r>
          </w:p>
        </w:tc>
      </w:tr>
      <w:tr w:rsidR="00EB5295" w:rsidRPr="00EB5295" w14:paraId="6F2F7431" w14:textId="77777777" w:rsidTr="00EB5295">
        <w:trPr>
          <w:trHeight w:val="255"/>
        </w:trPr>
        <w:tc>
          <w:tcPr>
            <w:tcW w:w="1060" w:type="dxa"/>
            <w:tcBorders>
              <w:top w:val="nil"/>
              <w:left w:val="nil"/>
              <w:bottom w:val="nil"/>
              <w:right w:val="nil"/>
            </w:tcBorders>
            <w:shd w:val="clear" w:color="auto" w:fill="auto"/>
            <w:noWrap/>
            <w:vAlign w:val="center"/>
            <w:hideMark/>
          </w:tcPr>
          <w:p w14:paraId="1E977572"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68" w:type="dxa"/>
            <w:tcBorders>
              <w:top w:val="nil"/>
              <w:left w:val="single" w:sz="8" w:space="0" w:color="auto"/>
              <w:bottom w:val="single" w:sz="8" w:space="0" w:color="auto"/>
              <w:right w:val="nil"/>
            </w:tcBorders>
            <w:shd w:val="clear" w:color="auto" w:fill="auto"/>
            <w:noWrap/>
            <w:vAlign w:val="center"/>
            <w:hideMark/>
          </w:tcPr>
          <w:p w14:paraId="3381622B"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Y</w:t>
            </w:r>
          </w:p>
        </w:tc>
        <w:tc>
          <w:tcPr>
            <w:tcW w:w="868" w:type="dxa"/>
            <w:tcBorders>
              <w:top w:val="nil"/>
              <w:left w:val="nil"/>
              <w:bottom w:val="single" w:sz="8" w:space="0" w:color="auto"/>
              <w:right w:val="nil"/>
            </w:tcBorders>
            <w:shd w:val="clear" w:color="auto" w:fill="auto"/>
            <w:noWrap/>
            <w:vAlign w:val="center"/>
            <w:hideMark/>
          </w:tcPr>
          <w:p w14:paraId="059FD79A"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U</w:t>
            </w:r>
          </w:p>
        </w:tc>
        <w:tc>
          <w:tcPr>
            <w:tcW w:w="868" w:type="dxa"/>
            <w:tcBorders>
              <w:top w:val="nil"/>
              <w:left w:val="nil"/>
              <w:bottom w:val="single" w:sz="8" w:space="0" w:color="auto"/>
              <w:right w:val="single" w:sz="4" w:space="0" w:color="auto"/>
            </w:tcBorders>
            <w:shd w:val="clear" w:color="auto" w:fill="auto"/>
            <w:noWrap/>
            <w:vAlign w:val="center"/>
            <w:hideMark/>
          </w:tcPr>
          <w:p w14:paraId="601EE976"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V</w:t>
            </w:r>
          </w:p>
        </w:tc>
        <w:tc>
          <w:tcPr>
            <w:tcW w:w="926" w:type="dxa"/>
            <w:tcBorders>
              <w:top w:val="nil"/>
              <w:left w:val="nil"/>
              <w:bottom w:val="single" w:sz="8" w:space="0" w:color="auto"/>
              <w:right w:val="nil"/>
            </w:tcBorders>
            <w:shd w:val="clear" w:color="auto" w:fill="auto"/>
            <w:noWrap/>
            <w:vAlign w:val="center"/>
            <w:hideMark/>
          </w:tcPr>
          <w:p w14:paraId="1CEF4EC1"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EB5295">
              <w:rPr>
                <w:rFonts w:ascii="Arial" w:hAnsi="Arial" w:cs="Arial"/>
                <w:color w:val="000000"/>
                <w:sz w:val="18"/>
                <w:szCs w:val="18"/>
                <w:lang w:val="fr-FR" w:eastAsia="fr-FR"/>
              </w:rPr>
              <w:t>EncT</w:t>
            </w:r>
            <w:proofErr w:type="spellEnd"/>
          </w:p>
        </w:tc>
        <w:tc>
          <w:tcPr>
            <w:tcW w:w="926" w:type="dxa"/>
            <w:tcBorders>
              <w:top w:val="nil"/>
              <w:left w:val="nil"/>
              <w:bottom w:val="single" w:sz="8" w:space="0" w:color="auto"/>
              <w:right w:val="nil"/>
            </w:tcBorders>
            <w:shd w:val="clear" w:color="auto" w:fill="auto"/>
            <w:noWrap/>
            <w:vAlign w:val="center"/>
            <w:hideMark/>
          </w:tcPr>
          <w:p w14:paraId="23ACF165"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EB5295">
              <w:rPr>
                <w:rFonts w:ascii="Arial" w:hAnsi="Arial" w:cs="Arial"/>
                <w:color w:val="000000"/>
                <w:sz w:val="18"/>
                <w:szCs w:val="18"/>
                <w:lang w:val="fr-FR" w:eastAsia="fr-FR"/>
              </w:rPr>
              <w:t>DecT</w:t>
            </w:r>
            <w:proofErr w:type="spellEnd"/>
          </w:p>
        </w:tc>
        <w:tc>
          <w:tcPr>
            <w:tcW w:w="1475" w:type="dxa"/>
            <w:tcBorders>
              <w:top w:val="nil"/>
              <w:left w:val="single" w:sz="4" w:space="0" w:color="auto"/>
              <w:bottom w:val="single" w:sz="8" w:space="0" w:color="auto"/>
              <w:right w:val="nil"/>
            </w:tcBorders>
            <w:shd w:val="clear" w:color="auto" w:fill="auto"/>
            <w:noWrap/>
            <w:vAlign w:val="center"/>
            <w:hideMark/>
          </w:tcPr>
          <w:p w14:paraId="3CB57AC5"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EB5295">
              <w:rPr>
                <w:rFonts w:ascii="Arial" w:hAnsi="Arial" w:cs="Arial"/>
                <w:color w:val="000000"/>
                <w:sz w:val="18"/>
                <w:szCs w:val="18"/>
                <w:lang w:val="fr-FR" w:eastAsia="fr-FR"/>
              </w:rPr>
              <w:t>EncVmPeak</w:t>
            </w:r>
            <w:proofErr w:type="spellEnd"/>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1933B18F"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EB5295">
              <w:rPr>
                <w:rFonts w:ascii="Arial" w:hAnsi="Arial" w:cs="Arial"/>
                <w:color w:val="000000"/>
                <w:sz w:val="18"/>
                <w:szCs w:val="18"/>
                <w:lang w:val="fr-FR" w:eastAsia="fr-FR"/>
              </w:rPr>
              <w:t>DecVmPeak</w:t>
            </w:r>
            <w:proofErr w:type="spellEnd"/>
          </w:p>
        </w:tc>
      </w:tr>
      <w:tr w:rsidR="00EB5295" w:rsidRPr="00EB5295" w14:paraId="0B73256F" w14:textId="77777777" w:rsidTr="00EB5295">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897351"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Class A1</w:t>
            </w:r>
          </w:p>
        </w:tc>
        <w:tc>
          <w:tcPr>
            <w:tcW w:w="868" w:type="dxa"/>
            <w:tcBorders>
              <w:top w:val="nil"/>
              <w:left w:val="nil"/>
              <w:bottom w:val="nil"/>
              <w:right w:val="nil"/>
            </w:tcBorders>
            <w:shd w:val="clear" w:color="auto" w:fill="auto"/>
            <w:noWrap/>
            <w:vAlign w:val="center"/>
            <w:hideMark/>
          </w:tcPr>
          <w:p w14:paraId="5619931C"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-0.03%</w:t>
            </w:r>
          </w:p>
        </w:tc>
        <w:tc>
          <w:tcPr>
            <w:tcW w:w="868" w:type="dxa"/>
            <w:tcBorders>
              <w:top w:val="nil"/>
              <w:left w:val="nil"/>
              <w:bottom w:val="nil"/>
              <w:right w:val="nil"/>
            </w:tcBorders>
            <w:shd w:val="clear" w:color="auto" w:fill="auto"/>
            <w:noWrap/>
            <w:vAlign w:val="center"/>
            <w:hideMark/>
          </w:tcPr>
          <w:p w14:paraId="2E2D8B37"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-0.02%</w:t>
            </w:r>
          </w:p>
        </w:tc>
        <w:tc>
          <w:tcPr>
            <w:tcW w:w="868" w:type="dxa"/>
            <w:tcBorders>
              <w:top w:val="nil"/>
              <w:left w:val="nil"/>
              <w:bottom w:val="nil"/>
              <w:right w:val="single" w:sz="4" w:space="0" w:color="auto"/>
            </w:tcBorders>
            <w:shd w:val="clear" w:color="auto" w:fill="auto"/>
            <w:noWrap/>
            <w:vAlign w:val="center"/>
            <w:hideMark/>
          </w:tcPr>
          <w:p w14:paraId="244281FE"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-0.01%</w:t>
            </w:r>
          </w:p>
        </w:tc>
        <w:tc>
          <w:tcPr>
            <w:tcW w:w="926" w:type="dxa"/>
            <w:tcBorders>
              <w:top w:val="nil"/>
              <w:left w:val="nil"/>
              <w:bottom w:val="nil"/>
              <w:right w:val="nil"/>
            </w:tcBorders>
            <w:shd w:val="clear" w:color="auto" w:fill="auto"/>
            <w:noWrap/>
            <w:vAlign w:val="center"/>
            <w:hideMark/>
          </w:tcPr>
          <w:p w14:paraId="2681ABEA"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102.0%</w:t>
            </w:r>
          </w:p>
        </w:tc>
        <w:tc>
          <w:tcPr>
            <w:tcW w:w="926" w:type="dxa"/>
            <w:tcBorders>
              <w:top w:val="nil"/>
              <w:left w:val="nil"/>
              <w:bottom w:val="nil"/>
              <w:right w:val="nil"/>
            </w:tcBorders>
            <w:shd w:val="clear" w:color="auto" w:fill="auto"/>
            <w:noWrap/>
            <w:vAlign w:val="center"/>
            <w:hideMark/>
          </w:tcPr>
          <w:p w14:paraId="57AD0427"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97.2%</w:t>
            </w:r>
          </w:p>
        </w:tc>
        <w:tc>
          <w:tcPr>
            <w:tcW w:w="1475" w:type="dxa"/>
            <w:tcBorders>
              <w:top w:val="nil"/>
              <w:left w:val="single" w:sz="4" w:space="0" w:color="auto"/>
              <w:bottom w:val="nil"/>
              <w:right w:val="nil"/>
            </w:tcBorders>
            <w:shd w:val="clear" w:color="auto" w:fill="auto"/>
            <w:noWrap/>
            <w:vAlign w:val="center"/>
            <w:hideMark/>
          </w:tcPr>
          <w:p w14:paraId="23852556"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100.2%</w:t>
            </w:r>
          </w:p>
        </w:tc>
        <w:tc>
          <w:tcPr>
            <w:tcW w:w="1489" w:type="dxa"/>
            <w:tcBorders>
              <w:top w:val="nil"/>
              <w:left w:val="nil"/>
              <w:bottom w:val="nil"/>
              <w:right w:val="single" w:sz="8" w:space="0" w:color="auto"/>
            </w:tcBorders>
            <w:shd w:val="clear" w:color="auto" w:fill="auto"/>
            <w:noWrap/>
            <w:vAlign w:val="center"/>
            <w:hideMark/>
          </w:tcPr>
          <w:p w14:paraId="45F60D90"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100.7%</w:t>
            </w:r>
          </w:p>
        </w:tc>
      </w:tr>
      <w:tr w:rsidR="00EB5295" w:rsidRPr="00EB5295" w14:paraId="26C53BC9" w14:textId="77777777" w:rsidTr="00EB52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B6FB7D0"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Class A2</w:t>
            </w:r>
          </w:p>
        </w:tc>
        <w:tc>
          <w:tcPr>
            <w:tcW w:w="868" w:type="dxa"/>
            <w:tcBorders>
              <w:top w:val="nil"/>
              <w:left w:val="nil"/>
              <w:bottom w:val="nil"/>
              <w:right w:val="nil"/>
            </w:tcBorders>
            <w:shd w:val="clear" w:color="auto" w:fill="auto"/>
            <w:noWrap/>
            <w:vAlign w:val="center"/>
            <w:hideMark/>
          </w:tcPr>
          <w:p w14:paraId="67EB9202"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-0.21%</w:t>
            </w:r>
          </w:p>
        </w:tc>
        <w:tc>
          <w:tcPr>
            <w:tcW w:w="868" w:type="dxa"/>
            <w:tcBorders>
              <w:top w:val="nil"/>
              <w:left w:val="nil"/>
              <w:bottom w:val="nil"/>
              <w:right w:val="nil"/>
            </w:tcBorders>
            <w:shd w:val="clear" w:color="auto" w:fill="auto"/>
            <w:noWrap/>
            <w:vAlign w:val="center"/>
            <w:hideMark/>
          </w:tcPr>
          <w:p w14:paraId="534D42B3"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-0.19%</w:t>
            </w:r>
          </w:p>
        </w:tc>
        <w:tc>
          <w:tcPr>
            <w:tcW w:w="868" w:type="dxa"/>
            <w:tcBorders>
              <w:top w:val="nil"/>
              <w:left w:val="nil"/>
              <w:bottom w:val="nil"/>
              <w:right w:val="single" w:sz="4" w:space="0" w:color="auto"/>
            </w:tcBorders>
            <w:shd w:val="clear" w:color="auto" w:fill="auto"/>
            <w:noWrap/>
            <w:vAlign w:val="center"/>
            <w:hideMark/>
          </w:tcPr>
          <w:p w14:paraId="56049D0D"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-0.18%</w:t>
            </w:r>
          </w:p>
        </w:tc>
        <w:tc>
          <w:tcPr>
            <w:tcW w:w="926" w:type="dxa"/>
            <w:tcBorders>
              <w:top w:val="nil"/>
              <w:left w:val="nil"/>
              <w:bottom w:val="nil"/>
              <w:right w:val="nil"/>
            </w:tcBorders>
            <w:shd w:val="clear" w:color="auto" w:fill="auto"/>
            <w:noWrap/>
            <w:vAlign w:val="center"/>
            <w:hideMark/>
          </w:tcPr>
          <w:p w14:paraId="0A09D544"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101.8%</w:t>
            </w:r>
          </w:p>
        </w:tc>
        <w:tc>
          <w:tcPr>
            <w:tcW w:w="926" w:type="dxa"/>
            <w:tcBorders>
              <w:top w:val="nil"/>
              <w:left w:val="nil"/>
              <w:bottom w:val="nil"/>
              <w:right w:val="nil"/>
            </w:tcBorders>
            <w:shd w:val="clear" w:color="auto" w:fill="auto"/>
            <w:noWrap/>
            <w:vAlign w:val="center"/>
            <w:hideMark/>
          </w:tcPr>
          <w:p w14:paraId="36474781"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104.5%</w:t>
            </w:r>
          </w:p>
        </w:tc>
        <w:tc>
          <w:tcPr>
            <w:tcW w:w="1475" w:type="dxa"/>
            <w:tcBorders>
              <w:top w:val="nil"/>
              <w:left w:val="single" w:sz="4" w:space="0" w:color="auto"/>
              <w:bottom w:val="nil"/>
              <w:right w:val="nil"/>
            </w:tcBorders>
            <w:shd w:val="clear" w:color="auto" w:fill="auto"/>
            <w:noWrap/>
            <w:vAlign w:val="center"/>
            <w:hideMark/>
          </w:tcPr>
          <w:p w14:paraId="678EE35F"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99.9%</w:t>
            </w:r>
          </w:p>
        </w:tc>
        <w:tc>
          <w:tcPr>
            <w:tcW w:w="1489" w:type="dxa"/>
            <w:tcBorders>
              <w:top w:val="nil"/>
              <w:left w:val="nil"/>
              <w:bottom w:val="nil"/>
              <w:right w:val="single" w:sz="8" w:space="0" w:color="auto"/>
            </w:tcBorders>
            <w:shd w:val="clear" w:color="auto" w:fill="auto"/>
            <w:noWrap/>
            <w:vAlign w:val="center"/>
            <w:hideMark/>
          </w:tcPr>
          <w:p w14:paraId="6FB5A699"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102.0%</w:t>
            </w:r>
          </w:p>
        </w:tc>
      </w:tr>
      <w:tr w:rsidR="00EB5295" w:rsidRPr="00EB5295" w14:paraId="383B86D6" w14:textId="77777777" w:rsidTr="00EB52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7935FC3"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Class B</w:t>
            </w:r>
          </w:p>
        </w:tc>
        <w:tc>
          <w:tcPr>
            <w:tcW w:w="868" w:type="dxa"/>
            <w:tcBorders>
              <w:top w:val="nil"/>
              <w:left w:val="nil"/>
              <w:bottom w:val="nil"/>
              <w:right w:val="nil"/>
            </w:tcBorders>
            <w:shd w:val="clear" w:color="auto" w:fill="auto"/>
            <w:noWrap/>
            <w:vAlign w:val="center"/>
            <w:hideMark/>
          </w:tcPr>
          <w:p w14:paraId="6BCDC28F"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-0.18%</w:t>
            </w:r>
          </w:p>
        </w:tc>
        <w:tc>
          <w:tcPr>
            <w:tcW w:w="868" w:type="dxa"/>
            <w:tcBorders>
              <w:top w:val="nil"/>
              <w:left w:val="nil"/>
              <w:bottom w:val="nil"/>
              <w:right w:val="nil"/>
            </w:tcBorders>
            <w:shd w:val="clear" w:color="auto" w:fill="auto"/>
            <w:noWrap/>
            <w:vAlign w:val="center"/>
            <w:hideMark/>
          </w:tcPr>
          <w:p w14:paraId="4FADD891"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-0.15%</w:t>
            </w:r>
          </w:p>
        </w:tc>
        <w:tc>
          <w:tcPr>
            <w:tcW w:w="868" w:type="dxa"/>
            <w:tcBorders>
              <w:top w:val="nil"/>
              <w:left w:val="nil"/>
              <w:bottom w:val="nil"/>
              <w:right w:val="single" w:sz="4" w:space="0" w:color="auto"/>
            </w:tcBorders>
            <w:shd w:val="clear" w:color="auto" w:fill="auto"/>
            <w:noWrap/>
            <w:vAlign w:val="center"/>
            <w:hideMark/>
          </w:tcPr>
          <w:p w14:paraId="5B5A0CD0"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-0.18%</w:t>
            </w:r>
          </w:p>
        </w:tc>
        <w:tc>
          <w:tcPr>
            <w:tcW w:w="926" w:type="dxa"/>
            <w:tcBorders>
              <w:top w:val="nil"/>
              <w:left w:val="nil"/>
              <w:bottom w:val="nil"/>
              <w:right w:val="nil"/>
            </w:tcBorders>
            <w:shd w:val="clear" w:color="auto" w:fill="auto"/>
            <w:noWrap/>
            <w:vAlign w:val="center"/>
            <w:hideMark/>
          </w:tcPr>
          <w:p w14:paraId="28AA751C"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102.2%</w:t>
            </w:r>
          </w:p>
        </w:tc>
        <w:tc>
          <w:tcPr>
            <w:tcW w:w="926" w:type="dxa"/>
            <w:tcBorders>
              <w:top w:val="nil"/>
              <w:left w:val="nil"/>
              <w:bottom w:val="nil"/>
              <w:right w:val="nil"/>
            </w:tcBorders>
            <w:shd w:val="clear" w:color="auto" w:fill="auto"/>
            <w:noWrap/>
            <w:vAlign w:val="center"/>
            <w:hideMark/>
          </w:tcPr>
          <w:p w14:paraId="2E5B7C14"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101.9%</w:t>
            </w:r>
          </w:p>
        </w:tc>
        <w:tc>
          <w:tcPr>
            <w:tcW w:w="1475" w:type="dxa"/>
            <w:tcBorders>
              <w:top w:val="nil"/>
              <w:left w:val="single" w:sz="4" w:space="0" w:color="auto"/>
              <w:bottom w:val="nil"/>
              <w:right w:val="nil"/>
            </w:tcBorders>
            <w:shd w:val="clear" w:color="auto" w:fill="auto"/>
            <w:noWrap/>
            <w:vAlign w:val="center"/>
            <w:hideMark/>
          </w:tcPr>
          <w:p w14:paraId="06B3DAFE"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97.5%</w:t>
            </w:r>
          </w:p>
        </w:tc>
        <w:tc>
          <w:tcPr>
            <w:tcW w:w="1489" w:type="dxa"/>
            <w:tcBorders>
              <w:top w:val="nil"/>
              <w:left w:val="nil"/>
              <w:bottom w:val="nil"/>
              <w:right w:val="single" w:sz="8" w:space="0" w:color="auto"/>
            </w:tcBorders>
            <w:shd w:val="clear" w:color="auto" w:fill="auto"/>
            <w:noWrap/>
            <w:vAlign w:val="center"/>
            <w:hideMark/>
          </w:tcPr>
          <w:p w14:paraId="3CE4FFF1"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100.9%</w:t>
            </w:r>
          </w:p>
        </w:tc>
      </w:tr>
      <w:tr w:rsidR="00EB5295" w:rsidRPr="00EB5295" w14:paraId="2918AAED" w14:textId="77777777" w:rsidTr="00EB52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EB081C1"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Class C</w:t>
            </w:r>
          </w:p>
        </w:tc>
        <w:tc>
          <w:tcPr>
            <w:tcW w:w="868" w:type="dxa"/>
            <w:tcBorders>
              <w:top w:val="nil"/>
              <w:left w:val="nil"/>
              <w:bottom w:val="nil"/>
              <w:right w:val="nil"/>
            </w:tcBorders>
            <w:shd w:val="clear" w:color="auto" w:fill="auto"/>
            <w:noWrap/>
            <w:vAlign w:val="center"/>
            <w:hideMark/>
          </w:tcPr>
          <w:p w14:paraId="346EA3ED"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-0.21%</w:t>
            </w:r>
          </w:p>
        </w:tc>
        <w:tc>
          <w:tcPr>
            <w:tcW w:w="868" w:type="dxa"/>
            <w:tcBorders>
              <w:top w:val="nil"/>
              <w:left w:val="nil"/>
              <w:bottom w:val="nil"/>
              <w:right w:val="nil"/>
            </w:tcBorders>
            <w:shd w:val="clear" w:color="auto" w:fill="auto"/>
            <w:noWrap/>
            <w:vAlign w:val="center"/>
            <w:hideMark/>
          </w:tcPr>
          <w:p w14:paraId="13939AA2"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-0.27%</w:t>
            </w:r>
          </w:p>
        </w:tc>
        <w:tc>
          <w:tcPr>
            <w:tcW w:w="868" w:type="dxa"/>
            <w:tcBorders>
              <w:top w:val="nil"/>
              <w:left w:val="nil"/>
              <w:bottom w:val="nil"/>
              <w:right w:val="single" w:sz="4" w:space="0" w:color="auto"/>
            </w:tcBorders>
            <w:shd w:val="clear" w:color="auto" w:fill="auto"/>
            <w:noWrap/>
            <w:vAlign w:val="center"/>
            <w:hideMark/>
          </w:tcPr>
          <w:p w14:paraId="20A00308"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-0.10%</w:t>
            </w:r>
          </w:p>
        </w:tc>
        <w:tc>
          <w:tcPr>
            <w:tcW w:w="926" w:type="dxa"/>
            <w:tcBorders>
              <w:top w:val="nil"/>
              <w:left w:val="nil"/>
              <w:bottom w:val="nil"/>
              <w:right w:val="nil"/>
            </w:tcBorders>
            <w:shd w:val="clear" w:color="auto" w:fill="auto"/>
            <w:noWrap/>
            <w:vAlign w:val="center"/>
            <w:hideMark/>
          </w:tcPr>
          <w:p w14:paraId="35A11D01"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102.4%</w:t>
            </w:r>
          </w:p>
        </w:tc>
        <w:tc>
          <w:tcPr>
            <w:tcW w:w="926" w:type="dxa"/>
            <w:tcBorders>
              <w:top w:val="nil"/>
              <w:left w:val="nil"/>
              <w:bottom w:val="nil"/>
              <w:right w:val="nil"/>
            </w:tcBorders>
            <w:shd w:val="clear" w:color="auto" w:fill="auto"/>
            <w:noWrap/>
            <w:vAlign w:val="center"/>
            <w:hideMark/>
          </w:tcPr>
          <w:p w14:paraId="00E273B4"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104.1%</w:t>
            </w:r>
          </w:p>
        </w:tc>
        <w:tc>
          <w:tcPr>
            <w:tcW w:w="1475" w:type="dxa"/>
            <w:tcBorders>
              <w:top w:val="nil"/>
              <w:left w:val="single" w:sz="4" w:space="0" w:color="auto"/>
              <w:bottom w:val="nil"/>
              <w:right w:val="nil"/>
            </w:tcBorders>
            <w:shd w:val="clear" w:color="auto" w:fill="auto"/>
            <w:noWrap/>
            <w:vAlign w:val="center"/>
            <w:hideMark/>
          </w:tcPr>
          <w:p w14:paraId="0A7D66AF"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101.3%</w:t>
            </w:r>
          </w:p>
        </w:tc>
        <w:tc>
          <w:tcPr>
            <w:tcW w:w="1489" w:type="dxa"/>
            <w:tcBorders>
              <w:top w:val="nil"/>
              <w:left w:val="nil"/>
              <w:bottom w:val="nil"/>
              <w:right w:val="single" w:sz="8" w:space="0" w:color="auto"/>
            </w:tcBorders>
            <w:shd w:val="clear" w:color="auto" w:fill="auto"/>
            <w:noWrap/>
            <w:vAlign w:val="center"/>
            <w:hideMark/>
          </w:tcPr>
          <w:p w14:paraId="07D8F416"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101.6%</w:t>
            </w:r>
          </w:p>
        </w:tc>
      </w:tr>
      <w:tr w:rsidR="00EB5295" w:rsidRPr="00EB5295" w14:paraId="0C7E811B" w14:textId="77777777" w:rsidTr="00EB52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2620766"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Class E</w:t>
            </w:r>
          </w:p>
        </w:tc>
        <w:tc>
          <w:tcPr>
            <w:tcW w:w="868" w:type="dxa"/>
            <w:tcBorders>
              <w:top w:val="nil"/>
              <w:left w:val="nil"/>
              <w:bottom w:val="nil"/>
              <w:right w:val="nil"/>
            </w:tcBorders>
            <w:shd w:val="clear" w:color="auto" w:fill="auto"/>
            <w:noWrap/>
            <w:vAlign w:val="center"/>
            <w:hideMark/>
          </w:tcPr>
          <w:p w14:paraId="75C2A636"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-0.30%</w:t>
            </w:r>
          </w:p>
        </w:tc>
        <w:tc>
          <w:tcPr>
            <w:tcW w:w="868" w:type="dxa"/>
            <w:tcBorders>
              <w:top w:val="nil"/>
              <w:left w:val="nil"/>
              <w:bottom w:val="nil"/>
              <w:right w:val="nil"/>
            </w:tcBorders>
            <w:shd w:val="clear" w:color="auto" w:fill="auto"/>
            <w:noWrap/>
            <w:vAlign w:val="center"/>
            <w:hideMark/>
          </w:tcPr>
          <w:p w14:paraId="476F591E"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-0.37%</w:t>
            </w:r>
          </w:p>
        </w:tc>
        <w:tc>
          <w:tcPr>
            <w:tcW w:w="868" w:type="dxa"/>
            <w:tcBorders>
              <w:top w:val="nil"/>
              <w:left w:val="nil"/>
              <w:bottom w:val="nil"/>
              <w:right w:val="single" w:sz="4" w:space="0" w:color="auto"/>
            </w:tcBorders>
            <w:shd w:val="clear" w:color="auto" w:fill="auto"/>
            <w:noWrap/>
            <w:vAlign w:val="center"/>
            <w:hideMark/>
          </w:tcPr>
          <w:p w14:paraId="15BAC0EC"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-0.51%</w:t>
            </w:r>
          </w:p>
        </w:tc>
        <w:tc>
          <w:tcPr>
            <w:tcW w:w="926" w:type="dxa"/>
            <w:tcBorders>
              <w:top w:val="nil"/>
              <w:left w:val="nil"/>
              <w:bottom w:val="nil"/>
              <w:right w:val="nil"/>
            </w:tcBorders>
            <w:shd w:val="clear" w:color="auto" w:fill="auto"/>
            <w:noWrap/>
            <w:vAlign w:val="center"/>
            <w:hideMark/>
          </w:tcPr>
          <w:p w14:paraId="3887DC3A"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103.9%</w:t>
            </w:r>
          </w:p>
        </w:tc>
        <w:tc>
          <w:tcPr>
            <w:tcW w:w="926" w:type="dxa"/>
            <w:tcBorders>
              <w:top w:val="nil"/>
              <w:left w:val="nil"/>
              <w:bottom w:val="nil"/>
              <w:right w:val="nil"/>
            </w:tcBorders>
            <w:shd w:val="clear" w:color="auto" w:fill="auto"/>
            <w:noWrap/>
            <w:vAlign w:val="center"/>
            <w:hideMark/>
          </w:tcPr>
          <w:p w14:paraId="4F186347"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107.1%</w:t>
            </w:r>
          </w:p>
        </w:tc>
        <w:tc>
          <w:tcPr>
            <w:tcW w:w="1475" w:type="dxa"/>
            <w:tcBorders>
              <w:top w:val="nil"/>
              <w:left w:val="single" w:sz="4" w:space="0" w:color="auto"/>
              <w:bottom w:val="nil"/>
              <w:right w:val="nil"/>
            </w:tcBorders>
            <w:shd w:val="clear" w:color="auto" w:fill="auto"/>
            <w:noWrap/>
            <w:vAlign w:val="center"/>
            <w:hideMark/>
          </w:tcPr>
          <w:p w14:paraId="75A57C32"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102.5%</w:t>
            </w:r>
          </w:p>
        </w:tc>
        <w:tc>
          <w:tcPr>
            <w:tcW w:w="1489" w:type="dxa"/>
            <w:tcBorders>
              <w:top w:val="nil"/>
              <w:left w:val="nil"/>
              <w:bottom w:val="nil"/>
              <w:right w:val="single" w:sz="8" w:space="0" w:color="auto"/>
            </w:tcBorders>
            <w:shd w:val="clear" w:color="auto" w:fill="auto"/>
            <w:noWrap/>
            <w:vAlign w:val="center"/>
            <w:hideMark/>
          </w:tcPr>
          <w:p w14:paraId="689A8F76"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101.5%</w:t>
            </w:r>
          </w:p>
        </w:tc>
      </w:tr>
      <w:tr w:rsidR="00EB5295" w:rsidRPr="00EB5295" w14:paraId="57C17670" w14:textId="77777777" w:rsidTr="00EB5295">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C2B971D"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EB5295">
              <w:rPr>
                <w:rFonts w:ascii="Arial" w:hAnsi="Arial" w:cs="Arial"/>
                <w:b/>
                <w:bCs/>
                <w:color w:val="000000"/>
                <w:sz w:val="18"/>
                <w:szCs w:val="18"/>
                <w:lang w:val="fr-FR" w:eastAsia="fr-FR"/>
              </w:rPr>
              <w:t>Overall</w:t>
            </w:r>
            <w:proofErr w:type="spellEnd"/>
            <w:r w:rsidRPr="00EB5295">
              <w:rPr>
                <w:rFonts w:ascii="Arial" w:hAnsi="Arial" w:cs="Arial"/>
                <w:b/>
                <w:bCs/>
                <w:color w:val="000000"/>
                <w:sz w:val="18"/>
                <w:szCs w:val="18"/>
                <w:lang w:val="fr-FR" w:eastAsia="fr-FR"/>
              </w:rPr>
              <w:t xml:space="preserve"> </w:t>
            </w:r>
          </w:p>
        </w:tc>
        <w:tc>
          <w:tcPr>
            <w:tcW w:w="868" w:type="dxa"/>
            <w:tcBorders>
              <w:top w:val="single" w:sz="8" w:space="0" w:color="auto"/>
              <w:left w:val="nil"/>
              <w:bottom w:val="nil"/>
              <w:right w:val="nil"/>
            </w:tcBorders>
            <w:shd w:val="clear" w:color="auto" w:fill="auto"/>
            <w:noWrap/>
            <w:vAlign w:val="center"/>
            <w:hideMark/>
          </w:tcPr>
          <w:p w14:paraId="5F51171D"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-0.19%</w:t>
            </w:r>
          </w:p>
        </w:tc>
        <w:tc>
          <w:tcPr>
            <w:tcW w:w="868" w:type="dxa"/>
            <w:tcBorders>
              <w:top w:val="single" w:sz="8" w:space="0" w:color="auto"/>
              <w:left w:val="nil"/>
              <w:bottom w:val="nil"/>
              <w:right w:val="nil"/>
            </w:tcBorders>
            <w:shd w:val="clear" w:color="auto" w:fill="auto"/>
            <w:noWrap/>
            <w:vAlign w:val="center"/>
            <w:hideMark/>
          </w:tcPr>
          <w:p w14:paraId="44F09CCF"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-0.20%</w:t>
            </w:r>
          </w:p>
        </w:tc>
        <w:tc>
          <w:tcPr>
            <w:tcW w:w="868" w:type="dxa"/>
            <w:tcBorders>
              <w:top w:val="single" w:sz="8" w:space="0" w:color="auto"/>
              <w:left w:val="nil"/>
              <w:bottom w:val="nil"/>
              <w:right w:val="single" w:sz="4" w:space="0" w:color="auto"/>
            </w:tcBorders>
            <w:shd w:val="clear" w:color="auto" w:fill="auto"/>
            <w:noWrap/>
            <w:vAlign w:val="center"/>
            <w:hideMark/>
          </w:tcPr>
          <w:p w14:paraId="5DBC92E7"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-0.19%</w:t>
            </w:r>
          </w:p>
        </w:tc>
        <w:tc>
          <w:tcPr>
            <w:tcW w:w="926" w:type="dxa"/>
            <w:tcBorders>
              <w:top w:val="single" w:sz="8" w:space="0" w:color="auto"/>
              <w:left w:val="nil"/>
              <w:bottom w:val="nil"/>
              <w:right w:val="nil"/>
            </w:tcBorders>
            <w:shd w:val="clear" w:color="auto" w:fill="auto"/>
            <w:noWrap/>
            <w:vAlign w:val="center"/>
            <w:hideMark/>
          </w:tcPr>
          <w:p w14:paraId="265CA2BA"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102.4%</w:t>
            </w:r>
          </w:p>
        </w:tc>
        <w:tc>
          <w:tcPr>
            <w:tcW w:w="926" w:type="dxa"/>
            <w:tcBorders>
              <w:top w:val="single" w:sz="8" w:space="0" w:color="auto"/>
              <w:left w:val="nil"/>
              <w:bottom w:val="nil"/>
              <w:right w:val="nil"/>
            </w:tcBorders>
            <w:shd w:val="clear" w:color="auto" w:fill="auto"/>
            <w:noWrap/>
            <w:vAlign w:val="center"/>
            <w:hideMark/>
          </w:tcPr>
          <w:p w14:paraId="4ADB883F"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102.9%</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6306A816"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100.0%</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116B2D9C"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101.3%</w:t>
            </w:r>
          </w:p>
        </w:tc>
      </w:tr>
      <w:tr w:rsidR="00EB5295" w:rsidRPr="00EB5295" w14:paraId="7C3A5DCE" w14:textId="77777777" w:rsidTr="00EB5295">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3E98C71"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Class D</w:t>
            </w:r>
          </w:p>
        </w:tc>
        <w:tc>
          <w:tcPr>
            <w:tcW w:w="868" w:type="dxa"/>
            <w:tcBorders>
              <w:top w:val="single" w:sz="8" w:space="0" w:color="auto"/>
              <w:left w:val="nil"/>
              <w:bottom w:val="nil"/>
              <w:right w:val="nil"/>
            </w:tcBorders>
            <w:shd w:val="clear" w:color="auto" w:fill="auto"/>
            <w:noWrap/>
            <w:vAlign w:val="center"/>
            <w:hideMark/>
          </w:tcPr>
          <w:p w14:paraId="21BD9827"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-0.07%</w:t>
            </w:r>
          </w:p>
        </w:tc>
        <w:tc>
          <w:tcPr>
            <w:tcW w:w="868" w:type="dxa"/>
            <w:tcBorders>
              <w:top w:val="single" w:sz="8" w:space="0" w:color="auto"/>
              <w:left w:val="nil"/>
              <w:bottom w:val="nil"/>
              <w:right w:val="nil"/>
            </w:tcBorders>
            <w:shd w:val="clear" w:color="auto" w:fill="auto"/>
            <w:noWrap/>
            <w:vAlign w:val="center"/>
            <w:hideMark/>
          </w:tcPr>
          <w:p w14:paraId="0182E67D"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0.07%</w:t>
            </w:r>
          </w:p>
        </w:tc>
        <w:tc>
          <w:tcPr>
            <w:tcW w:w="868" w:type="dxa"/>
            <w:tcBorders>
              <w:top w:val="single" w:sz="8" w:space="0" w:color="auto"/>
              <w:left w:val="nil"/>
              <w:bottom w:val="nil"/>
              <w:right w:val="single" w:sz="4" w:space="0" w:color="auto"/>
            </w:tcBorders>
            <w:shd w:val="clear" w:color="auto" w:fill="auto"/>
            <w:noWrap/>
            <w:vAlign w:val="center"/>
            <w:hideMark/>
          </w:tcPr>
          <w:p w14:paraId="15D1067B"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-0.08%</w:t>
            </w:r>
          </w:p>
        </w:tc>
        <w:tc>
          <w:tcPr>
            <w:tcW w:w="926" w:type="dxa"/>
            <w:tcBorders>
              <w:top w:val="single" w:sz="8" w:space="0" w:color="auto"/>
              <w:left w:val="nil"/>
              <w:bottom w:val="nil"/>
              <w:right w:val="nil"/>
            </w:tcBorders>
            <w:shd w:val="clear" w:color="auto" w:fill="auto"/>
            <w:noWrap/>
            <w:vAlign w:val="center"/>
            <w:hideMark/>
          </w:tcPr>
          <w:p w14:paraId="0EF25196"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101.8%</w:t>
            </w:r>
          </w:p>
        </w:tc>
        <w:tc>
          <w:tcPr>
            <w:tcW w:w="926" w:type="dxa"/>
            <w:tcBorders>
              <w:top w:val="single" w:sz="8" w:space="0" w:color="auto"/>
              <w:left w:val="nil"/>
              <w:bottom w:val="nil"/>
              <w:right w:val="nil"/>
            </w:tcBorders>
            <w:shd w:val="clear" w:color="auto" w:fill="auto"/>
            <w:noWrap/>
            <w:vAlign w:val="center"/>
            <w:hideMark/>
          </w:tcPr>
          <w:p w14:paraId="0130AF9D"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101.3%</w:t>
            </w:r>
          </w:p>
        </w:tc>
        <w:tc>
          <w:tcPr>
            <w:tcW w:w="1475" w:type="dxa"/>
            <w:tcBorders>
              <w:top w:val="nil"/>
              <w:left w:val="single" w:sz="4" w:space="0" w:color="auto"/>
              <w:bottom w:val="nil"/>
              <w:right w:val="nil"/>
            </w:tcBorders>
            <w:shd w:val="clear" w:color="auto" w:fill="auto"/>
            <w:noWrap/>
            <w:vAlign w:val="center"/>
            <w:hideMark/>
          </w:tcPr>
          <w:p w14:paraId="43CDDA23"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101.1%</w:t>
            </w:r>
          </w:p>
        </w:tc>
        <w:tc>
          <w:tcPr>
            <w:tcW w:w="1489" w:type="dxa"/>
            <w:tcBorders>
              <w:top w:val="nil"/>
              <w:left w:val="nil"/>
              <w:bottom w:val="nil"/>
              <w:right w:val="single" w:sz="8" w:space="0" w:color="auto"/>
            </w:tcBorders>
            <w:shd w:val="clear" w:color="auto" w:fill="auto"/>
            <w:noWrap/>
            <w:vAlign w:val="center"/>
            <w:hideMark/>
          </w:tcPr>
          <w:p w14:paraId="4B364679"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101.6%</w:t>
            </w:r>
          </w:p>
        </w:tc>
      </w:tr>
      <w:tr w:rsidR="00EB5295" w:rsidRPr="00EB5295" w14:paraId="13C530E2" w14:textId="77777777" w:rsidTr="00EB52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62D9D79"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Class F</w:t>
            </w:r>
          </w:p>
        </w:tc>
        <w:tc>
          <w:tcPr>
            <w:tcW w:w="868" w:type="dxa"/>
            <w:tcBorders>
              <w:top w:val="nil"/>
              <w:left w:val="nil"/>
              <w:bottom w:val="nil"/>
              <w:right w:val="nil"/>
            </w:tcBorders>
            <w:shd w:val="clear" w:color="auto" w:fill="auto"/>
            <w:noWrap/>
            <w:vAlign w:val="center"/>
            <w:hideMark/>
          </w:tcPr>
          <w:p w14:paraId="7EFF0BB0"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-0.44%</w:t>
            </w:r>
          </w:p>
        </w:tc>
        <w:tc>
          <w:tcPr>
            <w:tcW w:w="868" w:type="dxa"/>
            <w:tcBorders>
              <w:top w:val="nil"/>
              <w:left w:val="nil"/>
              <w:bottom w:val="nil"/>
              <w:right w:val="nil"/>
            </w:tcBorders>
            <w:shd w:val="clear" w:color="auto" w:fill="auto"/>
            <w:noWrap/>
            <w:vAlign w:val="center"/>
            <w:hideMark/>
          </w:tcPr>
          <w:p w14:paraId="19704BE3"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-0.44%</w:t>
            </w:r>
          </w:p>
        </w:tc>
        <w:tc>
          <w:tcPr>
            <w:tcW w:w="868" w:type="dxa"/>
            <w:tcBorders>
              <w:top w:val="nil"/>
              <w:left w:val="nil"/>
              <w:bottom w:val="nil"/>
              <w:right w:val="single" w:sz="4" w:space="0" w:color="auto"/>
            </w:tcBorders>
            <w:shd w:val="clear" w:color="auto" w:fill="auto"/>
            <w:noWrap/>
            <w:vAlign w:val="center"/>
            <w:hideMark/>
          </w:tcPr>
          <w:p w14:paraId="041BFB24"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-0.42%</w:t>
            </w:r>
          </w:p>
        </w:tc>
        <w:tc>
          <w:tcPr>
            <w:tcW w:w="926" w:type="dxa"/>
            <w:tcBorders>
              <w:top w:val="nil"/>
              <w:left w:val="nil"/>
              <w:bottom w:val="nil"/>
              <w:right w:val="nil"/>
            </w:tcBorders>
            <w:shd w:val="clear" w:color="auto" w:fill="auto"/>
            <w:noWrap/>
            <w:vAlign w:val="center"/>
            <w:hideMark/>
          </w:tcPr>
          <w:p w14:paraId="407E45FB"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100.1%</w:t>
            </w:r>
          </w:p>
        </w:tc>
        <w:tc>
          <w:tcPr>
            <w:tcW w:w="926" w:type="dxa"/>
            <w:tcBorders>
              <w:top w:val="nil"/>
              <w:left w:val="nil"/>
              <w:bottom w:val="nil"/>
              <w:right w:val="nil"/>
            </w:tcBorders>
            <w:shd w:val="clear" w:color="auto" w:fill="auto"/>
            <w:noWrap/>
            <w:vAlign w:val="center"/>
            <w:hideMark/>
          </w:tcPr>
          <w:p w14:paraId="474F86F9"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104.1%</w:t>
            </w:r>
          </w:p>
        </w:tc>
        <w:tc>
          <w:tcPr>
            <w:tcW w:w="1475" w:type="dxa"/>
            <w:tcBorders>
              <w:top w:val="nil"/>
              <w:left w:val="single" w:sz="4" w:space="0" w:color="auto"/>
              <w:bottom w:val="nil"/>
              <w:right w:val="nil"/>
            </w:tcBorders>
            <w:shd w:val="clear" w:color="auto" w:fill="auto"/>
            <w:noWrap/>
            <w:vAlign w:val="center"/>
            <w:hideMark/>
          </w:tcPr>
          <w:p w14:paraId="50F9E1A9"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101.8%</w:t>
            </w:r>
          </w:p>
        </w:tc>
        <w:tc>
          <w:tcPr>
            <w:tcW w:w="1489" w:type="dxa"/>
            <w:tcBorders>
              <w:top w:val="nil"/>
              <w:left w:val="nil"/>
              <w:bottom w:val="nil"/>
              <w:right w:val="single" w:sz="8" w:space="0" w:color="auto"/>
            </w:tcBorders>
            <w:shd w:val="clear" w:color="auto" w:fill="auto"/>
            <w:noWrap/>
            <w:vAlign w:val="center"/>
            <w:hideMark/>
          </w:tcPr>
          <w:p w14:paraId="1D52FD1E"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101.3%</w:t>
            </w:r>
          </w:p>
        </w:tc>
      </w:tr>
      <w:tr w:rsidR="00EB5295" w:rsidRPr="00EB5295" w14:paraId="336C7D9A" w14:textId="77777777" w:rsidTr="00EB5295">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EF0FE6F"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Class TGM</w:t>
            </w:r>
          </w:p>
        </w:tc>
        <w:tc>
          <w:tcPr>
            <w:tcW w:w="868" w:type="dxa"/>
            <w:tcBorders>
              <w:top w:val="nil"/>
              <w:left w:val="nil"/>
              <w:bottom w:val="single" w:sz="8" w:space="0" w:color="auto"/>
              <w:right w:val="nil"/>
            </w:tcBorders>
            <w:shd w:val="clear" w:color="auto" w:fill="auto"/>
            <w:noWrap/>
            <w:vAlign w:val="center"/>
            <w:hideMark/>
          </w:tcPr>
          <w:p w14:paraId="4E5DA1DE"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-0.83%</w:t>
            </w:r>
          </w:p>
        </w:tc>
        <w:tc>
          <w:tcPr>
            <w:tcW w:w="868" w:type="dxa"/>
            <w:tcBorders>
              <w:top w:val="nil"/>
              <w:left w:val="nil"/>
              <w:bottom w:val="single" w:sz="8" w:space="0" w:color="auto"/>
              <w:right w:val="nil"/>
            </w:tcBorders>
            <w:shd w:val="clear" w:color="auto" w:fill="auto"/>
            <w:noWrap/>
            <w:vAlign w:val="center"/>
            <w:hideMark/>
          </w:tcPr>
          <w:p w14:paraId="7917AEAA"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-0.76%</w:t>
            </w:r>
          </w:p>
        </w:tc>
        <w:tc>
          <w:tcPr>
            <w:tcW w:w="868" w:type="dxa"/>
            <w:tcBorders>
              <w:top w:val="nil"/>
              <w:left w:val="nil"/>
              <w:bottom w:val="single" w:sz="8" w:space="0" w:color="auto"/>
              <w:right w:val="single" w:sz="4" w:space="0" w:color="auto"/>
            </w:tcBorders>
            <w:shd w:val="clear" w:color="auto" w:fill="auto"/>
            <w:noWrap/>
            <w:vAlign w:val="center"/>
            <w:hideMark/>
          </w:tcPr>
          <w:p w14:paraId="1C94BAFA"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-0.88%</w:t>
            </w:r>
          </w:p>
        </w:tc>
        <w:tc>
          <w:tcPr>
            <w:tcW w:w="926" w:type="dxa"/>
            <w:tcBorders>
              <w:top w:val="nil"/>
              <w:left w:val="nil"/>
              <w:bottom w:val="single" w:sz="8" w:space="0" w:color="auto"/>
              <w:right w:val="nil"/>
            </w:tcBorders>
            <w:shd w:val="clear" w:color="auto" w:fill="auto"/>
            <w:noWrap/>
            <w:vAlign w:val="center"/>
            <w:hideMark/>
          </w:tcPr>
          <w:p w14:paraId="10D5CF2E"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99.7%</w:t>
            </w:r>
          </w:p>
        </w:tc>
        <w:tc>
          <w:tcPr>
            <w:tcW w:w="926" w:type="dxa"/>
            <w:tcBorders>
              <w:top w:val="nil"/>
              <w:left w:val="nil"/>
              <w:bottom w:val="single" w:sz="8" w:space="0" w:color="auto"/>
              <w:right w:val="nil"/>
            </w:tcBorders>
            <w:shd w:val="clear" w:color="auto" w:fill="auto"/>
            <w:noWrap/>
            <w:vAlign w:val="center"/>
            <w:hideMark/>
          </w:tcPr>
          <w:p w14:paraId="7579E0B0"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106.4%</w:t>
            </w:r>
          </w:p>
        </w:tc>
        <w:tc>
          <w:tcPr>
            <w:tcW w:w="1475" w:type="dxa"/>
            <w:tcBorders>
              <w:top w:val="nil"/>
              <w:left w:val="single" w:sz="4" w:space="0" w:color="auto"/>
              <w:bottom w:val="single" w:sz="8" w:space="0" w:color="auto"/>
              <w:right w:val="nil"/>
            </w:tcBorders>
            <w:shd w:val="clear" w:color="auto" w:fill="auto"/>
            <w:noWrap/>
            <w:vAlign w:val="center"/>
            <w:hideMark/>
          </w:tcPr>
          <w:p w14:paraId="5FADBCFE"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97.8%</w:t>
            </w:r>
          </w:p>
        </w:tc>
        <w:tc>
          <w:tcPr>
            <w:tcW w:w="1489" w:type="dxa"/>
            <w:tcBorders>
              <w:top w:val="nil"/>
              <w:left w:val="nil"/>
              <w:bottom w:val="single" w:sz="8" w:space="0" w:color="auto"/>
              <w:right w:val="single" w:sz="8" w:space="0" w:color="auto"/>
            </w:tcBorders>
            <w:shd w:val="clear" w:color="auto" w:fill="auto"/>
            <w:noWrap/>
            <w:vAlign w:val="center"/>
            <w:hideMark/>
          </w:tcPr>
          <w:p w14:paraId="27383C42" w14:textId="77777777" w:rsidR="00EB5295" w:rsidRPr="00EB5295" w:rsidRDefault="00EB5295" w:rsidP="00EB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5295">
              <w:rPr>
                <w:rFonts w:ascii="Arial" w:hAnsi="Arial" w:cs="Arial"/>
                <w:color w:val="000000"/>
                <w:sz w:val="18"/>
                <w:szCs w:val="18"/>
                <w:lang w:val="fr-FR" w:eastAsia="fr-FR"/>
              </w:rPr>
              <w:t>102.0%</w:t>
            </w:r>
          </w:p>
        </w:tc>
      </w:tr>
    </w:tbl>
    <w:p w14:paraId="3EA4B767" w14:textId="77777777" w:rsidR="0056717B" w:rsidRPr="005B217D" w:rsidRDefault="0056717B" w:rsidP="0056717B">
      <w:pPr>
        <w:pStyle w:val="Heading1"/>
        <w:rPr>
          <w:lang w:val="en-CA"/>
        </w:rPr>
      </w:pPr>
      <w:r>
        <w:rPr>
          <w:lang w:val="en-CA"/>
        </w:rPr>
        <w:t>References</w:t>
      </w:r>
    </w:p>
    <w:p w14:paraId="501CBEDD" w14:textId="4D00125D" w:rsidR="0056717B" w:rsidRDefault="0056717B" w:rsidP="0056717B">
      <w:pPr>
        <w:shd w:val="clear" w:color="auto" w:fill="FFFFFF"/>
        <w:tabs>
          <w:tab w:val="clear" w:pos="360"/>
        </w:tabs>
        <w:rPr>
          <w:rStyle w:val="Hyperlink"/>
          <w:rFonts w:eastAsia="SimSun"/>
          <w:szCs w:val="22"/>
          <w:lang w:eastAsia="zh-CN"/>
        </w:rPr>
      </w:pPr>
      <w:r w:rsidRPr="00D442F8">
        <w:rPr>
          <w:lang w:val="en-CA"/>
        </w:rPr>
        <w:t>[1]</w:t>
      </w:r>
      <w:r>
        <w:rPr>
          <w:rFonts w:eastAsia="SimSun"/>
          <w:color w:val="222222"/>
          <w:szCs w:val="22"/>
          <w:lang w:eastAsia="zh-CN"/>
        </w:rPr>
        <w:t xml:space="preserve"> </w:t>
      </w:r>
      <w:hyperlink r:id="rId11" w:history="1">
        <w:r w:rsidRPr="008A561E">
          <w:rPr>
            <w:rStyle w:val="Hyperlink"/>
            <w:rFonts w:eastAsia="SimSun"/>
            <w:szCs w:val="22"/>
            <w:lang w:eastAsia="zh-CN"/>
          </w:rPr>
          <w:t>https://vcgit.hhi.fraunhofer.de/ecm/ECM/-/tags/ECM-12.0</w:t>
        </w:r>
      </w:hyperlink>
    </w:p>
    <w:p w14:paraId="4834CDD6" w14:textId="1F174A4F" w:rsidR="0056717B" w:rsidRPr="00F83A44" w:rsidRDefault="0056717B" w:rsidP="00F83A44">
      <w:pPr>
        <w:shd w:val="clear" w:color="auto" w:fill="FFFFFF"/>
        <w:tabs>
          <w:tab w:val="clear" w:pos="360"/>
          <w:tab w:val="clear" w:pos="720"/>
          <w:tab w:val="clear" w:pos="1080"/>
          <w:tab w:val="left" w:pos="295"/>
        </w:tabs>
        <w:rPr>
          <w:rFonts w:eastAsia="SimSun"/>
          <w:szCs w:val="22"/>
          <w:lang w:val="en-CA" w:eastAsia="zh-CN"/>
        </w:rPr>
      </w:pPr>
      <w:r w:rsidRPr="00F83A44">
        <w:rPr>
          <w:rFonts w:eastAsia="SimSun"/>
          <w:szCs w:val="22"/>
          <w:lang w:val="en-CA" w:eastAsia="zh-CN"/>
        </w:rPr>
        <w:t>[2]</w:t>
      </w:r>
      <w:r w:rsidRPr="00F83A44">
        <w:rPr>
          <w:rFonts w:eastAsia="SimSun"/>
          <w:szCs w:val="22"/>
          <w:lang w:val="en-CA" w:eastAsia="zh-CN"/>
        </w:rPr>
        <w:tab/>
        <w:t xml:space="preserve">L. Zhang, Y. Yu, F. Wang, H. Yu, D. Wang, “EE2-1.2 related: AR-BVP for </w:t>
      </w:r>
      <w:proofErr w:type="spellStart"/>
      <w:r w:rsidRPr="00F83A44">
        <w:rPr>
          <w:rFonts w:eastAsia="SimSun"/>
          <w:szCs w:val="22"/>
          <w:lang w:val="en-CA" w:eastAsia="zh-CN"/>
        </w:rPr>
        <w:t>IntraTMP</w:t>
      </w:r>
      <w:proofErr w:type="spellEnd"/>
      <w:r w:rsidRPr="00F83A44">
        <w:rPr>
          <w:rFonts w:eastAsia="SimSun"/>
          <w:szCs w:val="22"/>
          <w:lang w:val="en-CA" w:eastAsia="zh-CN"/>
        </w:rPr>
        <w:t xml:space="preserve"> merge candidates”, JVET-AG0063, January 2024</w:t>
      </w:r>
    </w:p>
    <w:p w14:paraId="16CD63E3" w14:textId="2CC972AB" w:rsidR="0056717B" w:rsidRPr="00F83A44" w:rsidRDefault="0056717B" w:rsidP="00F83A44">
      <w:pPr>
        <w:shd w:val="clear" w:color="auto" w:fill="FFFFFF"/>
        <w:tabs>
          <w:tab w:val="clear" w:pos="360"/>
          <w:tab w:val="clear" w:pos="720"/>
          <w:tab w:val="left" w:pos="295"/>
        </w:tabs>
        <w:rPr>
          <w:rFonts w:eastAsia="SimSun"/>
          <w:szCs w:val="22"/>
          <w:lang w:val="en-CA" w:eastAsia="zh-CN"/>
        </w:rPr>
      </w:pPr>
      <w:r w:rsidRPr="00F83A44">
        <w:rPr>
          <w:rFonts w:eastAsia="SimSun"/>
          <w:szCs w:val="22"/>
          <w:lang w:val="en-CA" w:eastAsia="zh-CN"/>
        </w:rPr>
        <w:t>[3]</w:t>
      </w:r>
      <w:r w:rsidRPr="00F83A44">
        <w:rPr>
          <w:rFonts w:eastAsia="SimSun"/>
          <w:szCs w:val="22"/>
          <w:lang w:val="en-CA" w:eastAsia="zh-CN"/>
        </w:rPr>
        <w:tab/>
        <w:t xml:space="preserve">N. Qiu, J. Huo, Y. Ma, F. Yang, “EE2-related: Extend block vector prediction for </w:t>
      </w:r>
      <w:proofErr w:type="spellStart"/>
      <w:r w:rsidRPr="00F83A44">
        <w:rPr>
          <w:rFonts w:eastAsia="SimSun"/>
          <w:szCs w:val="22"/>
          <w:lang w:val="en-CA" w:eastAsia="zh-CN"/>
        </w:rPr>
        <w:t>IntraTMP</w:t>
      </w:r>
      <w:proofErr w:type="spellEnd"/>
      <w:r w:rsidRPr="00F83A44">
        <w:rPr>
          <w:rFonts w:eastAsia="SimSun"/>
          <w:szCs w:val="22"/>
          <w:lang w:val="en-CA" w:eastAsia="zh-CN"/>
        </w:rPr>
        <w:t xml:space="preserve"> merge candidates”, JVET-AG0080, January 2024</w:t>
      </w:r>
    </w:p>
    <w:p w14:paraId="20B0FCF7" w14:textId="0E62CD6D" w:rsidR="00005762" w:rsidRDefault="00005762" w:rsidP="00005762">
      <w:pPr>
        <w:tabs>
          <w:tab w:val="clear" w:pos="360"/>
        </w:tabs>
        <w:rPr>
          <w:lang w:val="en-CA"/>
        </w:rPr>
      </w:pPr>
      <w:r w:rsidRPr="00FF1FB3">
        <w:t>[</w:t>
      </w:r>
      <w:r>
        <w:t>4</w:t>
      </w:r>
      <w:r w:rsidRPr="00FF1FB3">
        <w:t xml:space="preserve">] W. Chen, </w:t>
      </w:r>
      <w:r w:rsidRPr="003439D2">
        <w:rPr>
          <w:lang w:val="en-CA"/>
        </w:rPr>
        <w:t>et. al.,</w:t>
      </w:r>
      <w:r w:rsidRPr="00FF1FB3">
        <w:t xml:space="preserve"> </w:t>
      </w:r>
      <w:r w:rsidRPr="00FF1FB3">
        <w:rPr>
          <w:rFonts w:eastAsia="SimSun"/>
          <w:color w:val="222222"/>
          <w:szCs w:val="22"/>
          <w:lang w:eastAsia="zh-CN"/>
        </w:rPr>
        <w:t xml:space="preserve">“EE2-2.10a and 2.10d: SATD based </w:t>
      </w:r>
      <w:proofErr w:type="spellStart"/>
      <w:r w:rsidRPr="00FF1FB3">
        <w:rPr>
          <w:rFonts w:eastAsia="SimSun"/>
          <w:color w:val="222222"/>
          <w:szCs w:val="22"/>
          <w:lang w:eastAsia="zh-CN"/>
        </w:rPr>
        <w:t>IntraTMP</w:t>
      </w:r>
      <w:proofErr w:type="spellEnd"/>
      <w:r w:rsidRPr="00FF1FB3">
        <w:rPr>
          <w:rFonts w:eastAsia="SimSun"/>
          <w:color w:val="222222"/>
          <w:szCs w:val="22"/>
          <w:lang w:eastAsia="zh-CN"/>
        </w:rPr>
        <w:t xml:space="preserve"> BV search without </w:t>
      </w:r>
      <w:proofErr w:type="spellStart"/>
      <w:r w:rsidRPr="00FF1FB3">
        <w:rPr>
          <w:rFonts w:eastAsia="SimSun"/>
          <w:color w:val="222222"/>
          <w:szCs w:val="22"/>
          <w:lang w:eastAsia="zh-CN"/>
        </w:rPr>
        <w:t>signalling</w:t>
      </w:r>
      <w:proofErr w:type="spellEnd"/>
      <w:r w:rsidRPr="00FF1FB3">
        <w:rPr>
          <w:rFonts w:eastAsia="SimSun"/>
          <w:color w:val="222222"/>
          <w:szCs w:val="22"/>
          <w:lang w:eastAsia="zh-CN"/>
        </w:rPr>
        <w:t xml:space="preserve"> and BV reordering”, JVET-AH0200, April. 2024</w:t>
      </w:r>
      <w:r w:rsidRPr="00FF1FB3">
        <w:rPr>
          <w:lang w:val="en-CA"/>
        </w:rPr>
        <w:t>.</w:t>
      </w:r>
    </w:p>
    <w:p w14:paraId="2653F930" w14:textId="015B16E6" w:rsidR="00EC789A" w:rsidRDefault="00EC789A" w:rsidP="00F83A44">
      <w:pPr>
        <w:shd w:val="clear" w:color="auto" w:fill="FFFFFF"/>
        <w:tabs>
          <w:tab w:val="clear" w:pos="360"/>
        </w:tabs>
        <w:rPr>
          <w:lang w:val="en-CA"/>
        </w:rPr>
      </w:pPr>
      <w:r w:rsidRPr="00CE6EA8">
        <w:rPr>
          <w:lang w:val="en-CA"/>
        </w:rPr>
        <w:t>[</w:t>
      </w:r>
      <w:r w:rsidR="00EF15C7">
        <w:rPr>
          <w:lang w:val="en-CA"/>
        </w:rPr>
        <w:t>5</w:t>
      </w:r>
      <w:r w:rsidRPr="00CE6EA8">
        <w:rPr>
          <w:lang w:val="en-CA"/>
        </w:rPr>
        <w:t>]</w:t>
      </w:r>
      <w:r w:rsidRPr="00A734B0">
        <w:t xml:space="preserve"> </w:t>
      </w:r>
      <w:r w:rsidRPr="00F57C22">
        <w:rPr>
          <w:rFonts w:eastAsia="SimSun"/>
          <w:color w:val="222222"/>
          <w:szCs w:val="22"/>
          <w:lang w:eastAsia="zh-CN"/>
        </w:rPr>
        <w:t>M. Karczewicz, Y. Ye, “</w:t>
      </w:r>
      <w:r w:rsidRPr="0006373C">
        <w:rPr>
          <w:rFonts w:eastAsia="SimSun"/>
          <w:color w:val="222222"/>
          <w:szCs w:val="22"/>
          <w:lang w:eastAsia="zh-CN"/>
        </w:rPr>
        <w:t>Common test conditions and evaluation procedures for enhanced compression tool testing</w:t>
      </w:r>
      <w:r w:rsidRPr="00F57C22">
        <w:rPr>
          <w:rFonts w:eastAsia="SimSun"/>
          <w:color w:val="222222"/>
          <w:szCs w:val="22"/>
          <w:lang w:eastAsia="zh-CN"/>
        </w:rPr>
        <w:t xml:space="preserve">,” </w:t>
      </w:r>
      <w:r w:rsidRPr="0006373C">
        <w:rPr>
          <w:rFonts w:eastAsia="SimSun"/>
          <w:color w:val="222222"/>
          <w:szCs w:val="22"/>
          <w:lang w:eastAsia="zh-CN"/>
        </w:rPr>
        <w:t>JVET-A</w:t>
      </w:r>
      <w:r>
        <w:rPr>
          <w:rFonts w:eastAsia="SimSun" w:hint="eastAsia"/>
          <w:color w:val="222222"/>
          <w:szCs w:val="22"/>
          <w:lang w:eastAsia="zh-CN"/>
        </w:rPr>
        <w:t>F</w:t>
      </w:r>
      <w:r w:rsidRPr="0006373C">
        <w:rPr>
          <w:rFonts w:eastAsia="SimSun"/>
          <w:color w:val="222222"/>
          <w:szCs w:val="22"/>
          <w:lang w:eastAsia="zh-CN"/>
        </w:rPr>
        <w:t>2017</w:t>
      </w:r>
      <w:r w:rsidRPr="00F57C22">
        <w:rPr>
          <w:rFonts w:eastAsia="SimSun"/>
          <w:color w:val="222222"/>
          <w:szCs w:val="22"/>
          <w:lang w:eastAsia="zh-CN"/>
        </w:rPr>
        <w:t xml:space="preserve">, </w:t>
      </w:r>
      <w:r>
        <w:rPr>
          <w:rFonts w:eastAsia="SimSun" w:hint="eastAsia"/>
          <w:color w:val="222222"/>
          <w:szCs w:val="22"/>
          <w:lang w:eastAsia="zh-CN"/>
        </w:rPr>
        <w:t>Oct</w:t>
      </w:r>
      <w:r w:rsidRPr="00F57C22">
        <w:rPr>
          <w:rFonts w:eastAsia="SimSun"/>
          <w:color w:val="222222"/>
          <w:szCs w:val="22"/>
          <w:lang w:eastAsia="zh-CN"/>
        </w:rPr>
        <w:t>. 202</w:t>
      </w:r>
      <w:r>
        <w:rPr>
          <w:rFonts w:eastAsia="SimSun"/>
          <w:color w:val="222222"/>
          <w:szCs w:val="22"/>
          <w:lang w:eastAsia="zh-CN"/>
        </w:rPr>
        <w:t>3</w:t>
      </w:r>
      <w:r w:rsidRPr="00D442F8">
        <w:rPr>
          <w:lang w:val="en-CA"/>
        </w:rPr>
        <w:t>.</w:t>
      </w:r>
    </w:p>
    <w:p w14:paraId="6B2E1E5C" w14:textId="77777777" w:rsidR="00787005" w:rsidRPr="003C0ED1" w:rsidRDefault="00787005" w:rsidP="003C0ED1">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FDEBFD0" w:rsidR="00342FF4" w:rsidRPr="005B217D" w:rsidRDefault="003C0ED1" w:rsidP="009234A5">
      <w:pPr>
        <w:rPr>
          <w:szCs w:val="22"/>
          <w:lang w:val="en-CA"/>
        </w:rPr>
      </w:pPr>
      <w:proofErr w:type="spellStart"/>
      <w:r>
        <w:rPr>
          <w:b/>
          <w:szCs w:val="22"/>
          <w:lang w:val="en-CA"/>
        </w:rPr>
        <w:t>InterDigital</w:t>
      </w:r>
      <w:proofErr w:type="spellEnd"/>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AED0CFB" w14:textId="7D8D0A71" w:rsidR="00DD3FA7" w:rsidRPr="00F83A44" w:rsidRDefault="00DD3FA7" w:rsidP="0056717B">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287E835" w14:textId="7FE12247" w:rsidR="0056717B" w:rsidRDefault="0056717B" w:rsidP="0056717B">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B068BFA" w:rsidR="007F1F8B" w:rsidRPr="0056717B" w:rsidRDefault="0056717B" w:rsidP="00F83A44">
      <w:pPr>
        <w:rPr>
          <w:szCs w:val="22"/>
          <w:lang w:val="en-CA"/>
        </w:rPr>
      </w:pPr>
      <w:proofErr w:type="spellStart"/>
      <w:r>
        <w:rPr>
          <w:rFonts w:eastAsia="SimSun"/>
          <w:b/>
          <w:lang w:val="en-CA"/>
        </w:rPr>
        <w:t>Xidian</w:t>
      </w:r>
      <w:proofErr w:type="spellEnd"/>
      <w:r>
        <w:rPr>
          <w:rFonts w:eastAsia="SimSun"/>
          <w:b/>
          <w:lang w:val="en-CA"/>
        </w:rPr>
        <w:t xml:space="preserve"> University may have current or pending patent rights relating to the technology described in this contribution </w:t>
      </w:r>
      <w:proofErr w:type="gramStart"/>
      <w:r>
        <w:rPr>
          <w:rFonts w:eastAsia="SimSun"/>
          <w:b/>
          <w:lang w:val="en-CA"/>
        </w:rPr>
        <w:t>and,</w:t>
      </w:r>
      <w:proofErr w:type="gramEnd"/>
      <w:r>
        <w:rPr>
          <w:rFonts w:eastAsia="SimSun"/>
          <w:b/>
          <w:lang w:val="en-CA"/>
        </w:rPr>
        <w:t xml:space="preserve"> conditioned on reciprocity, is prepared to grant licenses under reasonable and non-discriminatory terms as necessary for the implementation of the resulting ITU-T Recommendation | ISO/IEC International Standard (per box 2 of the ITU-T/ITU-R/ISO/IEC patent statement and licensing declaration form).</w:t>
      </w:r>
    </w:p>
    <w:sectPr w:rsidR="007F1F8B" w:rsidRPr="0056717B" w:rsidSect="008A6A21">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8B5D8" w14:textId="77777777" w:rsidR="008A6A21" w:rsidRDefault="008A6A21">
      <w:r>
        <w:separator/>
      </w:r>
    </w:p>
  </w:endnote>
  <w:endnote w:type="continuationSeparator" w:id="0">
    <w:p w14:paraId="79EA5874" w14:textId="77777777" w:rsidR="008A6A21" w:rsidRDefault="008A6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7AA5C7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5046D">
      <w:rPr>
        <w:rStyle w:val="PageNumber"/>
        <w:noProof/>
      </w:rPr>
      <w:t>2024-04-12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A64F2" w14:textId="77777777" w:rsidR="008A6A21" w:rsidRDefault="008A6A21">
      <w:r>
        <w:separator/>
      </w:r>
    </w:p>
  </w:footnote>
  <w:footnote w:type="continuationSeparator" w:id="0">
    <w:p w14:paraId="0ED9A35C" w14:textId="77777777" w:rsidR="008A6A21" w:rsidRDefault="008A6A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396994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1550500">
    <w:abstractNumId w:val="9"/>
  </w:num>
  <w:num w:numId="3" w16cid:durableId="566258138">
    <w:abstractNumId w:val="8"/>
  </w:num>
  <w:num w:numId="4" w16cid:durableId="389033669">
    <w:abstractNumId w:val="6"/>
  </w:num>
  <w:num w:numId="5" w16cid:durableId="758599298">
    <w:abstractNumId w:val="7"/>
  </w:num>
  <w:num w:numId="6" w16cid:durableId="1982415279">
    <w:abstractNumId w:val="4"/>
  </w:num>
  <w:num w:numId="7" w16cid:durableId="2021084819">
    <w:abstractNumId w:val="5"/>
  </w:num>
  <w:num w:numId="8" w16cid:durableId="1760368267">
    <w:abstractNumId w:val="4"/>
  </w:num>
  <w:num w:numId="9" w16cid:durableId="980962187">
    <w:abstractNumId w:val="1"/>
  </w:num>
  <w:num w:numId="10" w16cid:durableId="819351624">
    <w:abstractNumId w:val="3"/>
  </w:num>
  <w:num w:numId="11" w16cid:durableId="567109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762"/>
    <w:rsid w:val="000308A3"/>
    <w:rsid w:val="00031C4B"/>
    <w:rsid w:val="0004543A"/>
    <w:rsid w:val="000458BC"/>
    <w:rsid w:val="00045C41"/>
    <w:rsid w:val="00046C03"/>
    <w:rsid w:val="00065039"/>
    <w:rsid w:val="0007614F"/>
    <w:rsid w:val="00081398"/>
    <w:rsid w:val="00084393"/>
    <w:rsid w:val="000865E1"/>
    <w:rsid w:val="00092AF4"/>
    <w:rsid w:val="00094479"/>
    <w:rsid w:val="0009534F"/>
    <w:rsid w:val="000962AC"/>
    <w:rsid w:val="000B0C0F"/>
    <w:rsid w:val="000B1C6B"/>
    <w:rsid w:val="000B4142"/>
    <w:rsid w:val="000B4FF9"/>
    <w:rsid w:val="000C09AC"/>
    <w:rsid w:val="000C228D"/>
    <w:rsid w:val="000C2BAA"/>
    <w:rsid w:val="000C5F4C"/>
    <w:rsid w:val="000D0DB4"/>
    <w:rsid w:val="000E00F3"/>
    <w:rsid w:val="000F158C"/>
    <w:rsid w:val="00102F3D"/>
    <w:rsid w:val="0011009B"/>
    <w:rsid w:val="00124E38"/>
    <w:rsid w:val="0012580B"/>
    <w:rsid w:val="00131F90"/>
    <w:rsid w:val="0013458C"/>
    <w:rsid w:val="0013526E"/>
    <w:rsid w:val="00146152"/>
    <w:rsid w:val="00155526"/>
    <w:rsid w:val="00171371"/>
    <w:rsid w:val="00171637"/>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1D8F"/>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52BD"/>
    <w:rsid w:val="00306206"/>
    <w:rsid w:val="00307FA4"/>
    <w:rsid w:val="00317D85"/>
    <w:rsid w:val="00327C56"/>
    <w:rsid w:val="003315A1"/>
    <w:rsid w:val="003373EC"/>
    <w:rsid w:val="00342FF4"/>
    <w:rsid w:val="00344E5A"/>
    <w:rsid w:val="00346148"/>
    <w:rsid w:val="003669EA"/>
    <w:rsid w:val="003706CC"/>
    <w:rsid w:val="00377710"/>
    <w:rsid w:val="003A25F5"/>
    <w:rsid w:val="003A2D8E"/>
    <w:rsid w:val="003A7CE6"/>
    <w:rsid w:val="003C0ED1"/>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A7C01"/>
    <w:rsid w:val="004B210C"/>
    <w:rsid w:val="004B6170"/>
    <w:rsid w:val="004D405F"/>
    <w:rsid w:val="004E4F4F"/>
    <w:rsid w:val="004E6789"/>
    <w:rsid w:val="004F61E3"/>
    <w:rsid w:val="00502E10"/>
    <w:rsid w:val="0050354E"/>
    <w:rsid w:val="0051015C"/>
    <w:rsid w:val="00516CF1"/>
    <w:rsid w:val="00531AE9"/>
    <w:rsid w:val="00536188"/>
    <w:rsid w:val="00550A66"/>
    <w:rsid w:val="005641A0"/>
    <w:rsid w:val="0056717B"/>
    <w:rsid w:val="00567EC7"/>
    <w:rsid w:val="00570013"/>
    <w:rsid w:val="005753EC"/>
    <w:rsid w:val="00577736"/>
    <w:rsid w:val="005801A2"/>
    <w:rsid w:val="00591E3B"/>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1650"/>
    <w:rsid w:val="00646707"/>
    <w:rsid w:val="00657F7E"/>
    <w:rsid w:val="00662E58"/>
    <w:rsid w:val="006637F2"/>
    <w:rsid w:val="006642A5"/>
    <w:rsid w:val="00664DCF"/>
    <w:rsid w:val="0067333D"/>
    <w:rsid w:val="006A0E5C"/>
    <w:rsid w:val="006A3596"/>
    <w:rsid w:val="006A48E6"/>
    <w:rsid w:val="006C5D39"/>
    <w:rsid w:val="006D6D9B"/>
    <w:rsid w:val="006E12A1"/>
    <w:rsid w:val="006E2810"/>
    <w:rsid w:val="006E5417"/>
    <w:rsid w:val="006F0794"/>
    <w:rsid w:val="006F2822"/>
    <w:rsid w:val="006F6E01"/>
    <w:rsid w:val="006F7528"/>
    <w:rsid w:val="007023DE"/>
    <w:rsid w:val="00712F60"/>
    <w:rsid w:val="007202F4"/>
    <w:rsid w:val="00720E3B"/>
    <w:rsid w:val="00735925"/>
    <w:rsid w:val="0074393F"/>
    <w:rsid w:val="00745F6B"/>
    <w:rsid w:val="0075175B"/>
    <w:rsid w:val="0075585E"/>
    <w:rsid w:val="00770571"/>
    <w:rsid w:val="007768FF"/>
    <w:rsid w:val="007824D3"/>
    <w:rsid w:val="00787005"/>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A6A21"/>
    <w:rsid w:val="008C239F"/>
    <w:rsid w:val="008E480C"/>
    <w:rsid w:val="00907757"/>
    <w:rsid w:val="009212B0"/>
    <w:rsid w:val="00921FA1"/>
    <w:rsid w:val="009234A5"/>
    <w:rsid w:val="00925CE2"/>
    <w:rsid w:val="00933453"/>
    <w:rsid w:val="009336F7"/>
    <w:rsid w:val="0093636C"/>
    <w:rsid w:val="009374A7"/>
    <w:rsid w:val="00937F03"/>
    <w:rsid w:val="009448FF"/>
    <w:rsid w:val="00955F6D"/>
    <w:rsid w:val="009749B4"/>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0C23"/>
    <w:rsid w:val="00AA6E84"/>
    <w:rsid w:val="00AB1A1C"/>
    <w:rsid w:val="00AB4721"/>
    <w:rsid w:val="00AB7405"/>
    <w:rsid w:val="00AD05A8"/>
    <w:rsid w:val="00AD3406"/>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97EF3"/>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B461C"/>
    <w:rsid w:val="00CC2AAE"/>
    <w:rsid w:val="00CC5A42"/>
    <w:rsid w:val="00CD0EAB"/>
    <w:rsid w:val="00CE5E02"/>
    <w:rsid w:val="00CF34DB"/>
    <w:rsid w:val="00CF3917"/>
    <w:rsid w:val="00CF558F"/>
    <w:rsid w:val="00D010C0"/>
    <w:rsid w:val="00D06B8B"/>
    <w:rsid w:val="00D073E2"/>
    <w:rsid w:val="00D1511D"/>
    <w:rsid w:val="00D1555A"/>
    <w:rsid w:val="00D35FBA"/>
    <w:rsid w:val="00D446EC"/>
    <w:rsid w:val="00D51BF0"/>
    <w:rsid w:val="00D531DB"/>
    <w:rsid w:val="00D55942"/>
    <w:rsid w:val="00D61B3D"/>
    <w:rsid w:val="00D807BF"/>
    <w:rsid w:val="00D82FCC"/>
    <w:rsid w:val="00DA17FC"/>
    <w:rsid w:val="00DA7887"/>
    <w:rsid w:val="00DB2C26"/>
    <w:rsid w:val="00DB45C3"/>
    <w:rsid w:val="00DD02F4"/>
    <w:rsid w:val="00DD3FA7"/>
    <w:rsid w:val="00DD6622"/>
    <w:rsid w:val="00DE1C7C"/>
    <w:rsid w:val="00DE6B43"/>
    <w:rsid w:val="00E041C6"/>
    <w:rsid w:val="00E11923"/>
    <w:rsid w:val="00E207D8"/>
    <w:rsid w:val="00E262D4"/>
    <w:rsid w:val="00E36250"/>
    <w:rsid w:val="00E36841"/>
    <w:rsid w:val="00E47F2D"/>
    <w:rsid w:val="00E5046D"/>
    <w:rsid w:val="00E54511"/>
    <w:rsid w:val="00E56C0E"/>
    <w:rsid w:val="00E60EDC"/>
    <w:rsid w:val="00E61DAC"/>
    <w:rsid w:val="00E72B80"/>
    <w:rsid w:val="00E75FE3"/>
    <w:rsid w:val="00E86C4C"/>
    <w:rsid w:val="00E907A3"/>
    <w:rsid w:val="00EA5AE0"/>
    <w:rsid w:val="00EB5295"/>
    <w:rsid w:val="00EB56E1"/>
    <w:rsid w:val="00EB7AB1"/>
    <w:rsid w:val="00EC32BD"/>
    <w:rsid w:val="00EC520A"/>
    <w:rsid w:val="00EC789A"/>
    <w:rsid w:val="00ED536F"/>
    <w:rsid w:val="00EE3D35"/>
    <w:rsid w:val="00EE7CD8"/>
    <w:rsid w:val="00EF15C7"/>
    <w:rsid w:val="00EF37F6"/>
    <w:rsid w:val="00EF48CC"/>
    <w:rsid w:val="00F00801"/>
    <w:rsid w:val="00F2488D"/>
    <w:rsid w:val="00F31EE9"/>
    <w:rsid w:val="00F601A0"/>
    <w:rsid w:val="00F712E9"/>
    <w:rsid w:val="00F73032"/>
    <w:rsid w:val="00F83A44"/>
    <w:rsid w:val="00F848FC"/>
    <w:rsid w:val="00F906F6"/>
    <w:rsid w:val="00F9282A"/>
    <w:rsid w:val="00F96BAD"/>
    <w:rsid w:val="00FA139D"/>
    <w:rsid w:val="00FA60F5"/>
    <w:rsid w:val="00FB0E84"/>
    <w:rsid w:val="00FB7E7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3C0ED1"/>
    <w:rPr>
      <w:color w:val="605E5C"/>
      <w:shd w:val="clear" w:color="auto" w:fill="E1DFDD"/>
    </w:rPr>
  </w:style>
  <w:style w:type="paragraph" w:styleId="ListParagraph">
    <w:name w:val="List Paragraph"/>
    <w:basedOn w:val="Normal"/>
    <w:uiPriority w:val="34"/>
    <w:qFormat/>
    <w:rsid w:val="005641A0"/>
    <w:pPr>
      <w:ind w:left="720"/>
      <w:contextualSpacing/>
    </w:pPr>
  </w:style>
  <w:style w:type="paragraph" w:customStyle="1" w:styleId="Normal-3-3">
    <w:name w:val="Normal-3-3"/>
    <w:basedOn w:val="Normal"/>
    <w:rsid w:val="00241D8F"/>
    <w:pPr>
      <w:tabs>
        <w:tab w:val="clear" w:pos="1800"/>
        <w:tab w:val="clear" w:pos="2160"/>
        <w:tab w:val="clear" w:pos="2520"/>
        <w:tab w:val="clear" w:pos="2880"/>
        <w:tab w:val="clear" w:pos="3240"/>
        <w:tab w:val="clear" w:pos="3600"/>
        <w:tab w:val="clear" w:pos="3960"/>
        <w:tab w:val="clear" w:pos="4320"/>
      </w:tabs>
      <w:spacing w:before="60" w:after="60"/>
      <w:jc w:val="left"/>
      <w:textAlignment w:val="auto"/>
    </w:pPr>
    <w:rPr>
      <w:rFonts w:eastAsia="PMingLiU"/>
    </w:rPr>
  </w:style>
  <w:style w:type="character" w:styleId="CommentReference">
    <w:name w:val="annotation reference"/>
    <w:basedOn w:val="DefaultParagraphFont"/>
    <w:rsid w:val="0056717B"/>
    <w:rPr>
      <w:sz w:val="16"/>
      <w:szCs w:val="16"/>
    </w:rPr>
  </w:style>
  <w:style w:type="paragraph" w:styleId="CommentText">
    <w:name w:val="annotation text"/>
    <w:basedOn w:val="Normal"/>
    <w:link w:val="CommentTextChar"/>
    <w:rsid w:val="0056717B"/>
    <w:rPr>
      <w:sz w:val="20"/>
    </w:rPr>
  </w:style>
  <w:style w:type="character" w:customStyle="1" w:styleId="CommentTextChar">
    <w:name w:val="Comment Text Char"/>
    <w:basedOn w:val="DefaultParagraphFont"/>
    <w:link w:val="CommentText"/>
    <w:rsid w:val="00567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29244">
      <w:bodyDiv w:val="1"/>
      <w:marLeft w:val="0"/>
      <w:marRight w:val="0"/>
      <w:marTop w:val="0"/>
      <w:marBottom w:val="0"/>
      <w:divBdr>
        <w:top w:val="none" w:sz="0" w:space="0" w:color="auto"/>
        <w:left w:val="none" w:sz="0" w:space="0" w:color="auto"/>
        <w:bottom w:val="none" w:sz="0" w:space="0" w:color="auto"/>
        <w:right w:val="none" w:sz="0" w:space="0" w:color="auto"/>
      </w:divBdr>
    </w:div>
    <w:div w:id="186141575">
      <w:bodyDiv w:val="1"/>
      <w:marLeft w:val="0"/>
      <w:marRight w:val="0"/>
      <w:marTop w:val="0"/>
      <w:marBottom w:val="0"/>
      <w:divBdr>
        <w:top w:val="none" w:sz="0" w:space="0" w:color="auto"/>
        <w:left w:val="none" w:sz="0" w:space="0" w:color="auto"/>
        <w:bottom w:val="none" w:sz="0" w:space="0" w:color="auto"/>
        <w:right w:val="none" w:sz="0" w:space="0" w:color="auto"/>
      </w:divBdr>
    </w:div>
    <w:div w:id="326326847">
      <w:bodyDiv w:val="1"/>
      <w:marLeft w:val="0"/>
      <w:marRight w:val="0"/>
      <w:marTop w:val="0"/>
      <w:marBottom w:val="0"/>
      <w:divBdr>
        <w:top w:val="none" w:sz="0" w:space="0" w:color="auto"/>
        <w:left w:val="none" w:sz="0" w:space="0" w:color="auto"/>
        <w:bottom w:val="none" w:sz="0" w:space="0" w:color="auto"/>
        <w:right w:val="none" w:sz="0" w:space="0" w:color="auto"/>
      </w:divBdr>
    </w:div>
    <w:div w:id="521284817">
      <w:bodyDiv w:val="1"/>
      <w:marLeft w:val="0"/>
      <w:marRight w:val="0"/>
      <w:marTop w:val="0"/>
      <w:marBottom w:val="0"/>
      <w:divBdr>
        <w:top w:val="none" w:sz="0" w:space="0" w:color="auto"/>
        <w:left w:val="none" w:sz="0" w:space="0" w:color="auto"/>
        <w:bottom w:val="none" w:sz="0" w:space="0" w:color="auto"/>
        <w:right w:val="none" w:sz="0" w:space="0" w:color="auto"/>
      </w:divBdr>
    </w:div>
    <w:div w:id="546181048">
      <w:bodyDiv w:val="1"/>
      <w:marLeft w:val="0"/>
      <w:marRight w:val="0"/>
      <w:marTop w:val="0"/>
      <w:marBottom w:val="0"/>
      <w:divBdr>
        <w:top w:val="none" w:sz="0" w:space="0" w:color="auto"/>
        <w:left w:val="none" w:sz="0" w:space="0" w:color="auto"/>
        <w:bottom w:val="none" w:sz="0" w:space="0" w:color="auto"/>
        <w:right w:val="none" w:sz="0" w:space="0" w:color="auto"/>
      </w:divBdr>
    </w:div>
    <w:div w:id="759906784">
      <w:bodyDiv w:val="1"/>
      <w:marLeft w:val="0"/>
      <w:marRight w:val="0"/>
      <w:marTop w:val="0"/>
      <w:marBottom w:val="0"/>
      <w:divBdr>
        <w:top w:val="none" w:sz="0" w:space="0" w:color="auto"/>
        <w:left w:val="none" w:sz="0" w:space="0" w:color="auto"/>
        <w:bottom w:val="none" w:sz="0" w:space="0" w:color="auto"/>
        <w:right w:val="none" w:sz="0" w:space="0" w:color="auto"/>
      </w:divBdr>
    </w:div>
    <w:div w:id="925457679">
      <w:bodyDiv w:val="1"/>
      <w:marLeft w:val="0"/>
      <w:marRight w:val="0"/>
      <w:marTop w:val="0"/>
      <w:marBottom w:val="0"/>
      <w:divBdr>
        <w:top w:val="none" w:sz="0" w:space="0" w:color="auto"/>
        <w:left w:val="none" w:sz="0" w:space="0" w:color="auto"/>
        <w:bottom w:val="none" w:sz="0" w:space="0" w:color="auto"/>
        <w:right w:val="none" w:sz="0" w:space="0" w:color="auto"/>
      </w:divBdr>
    </w:div>
    <w:div w:id="11326033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507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ecm/ECM/-/tags/ECM-12.0" TargetMode="External"/><Relationship Id="rId5" Type="http://schemas.openxmlformats.org/officeDocument/2006/relationships/footnotes" Target="footnotes.xml"/><Relationship Id="rId10" Type="http://schemas.openxmlformats.org/officeDocument/2006/relationships/hyperlink" Target="mailto:@kwai.com" TargetMode="External"/><Relationship Id="rId4" Type="http://schemas.openxmlformats.org/officeDocument/2006/relationships/webSettings" Target="webSettings.xml"/><Relationship Id="rId9" Type="http://schemas.openxmlformats.org/officeDocument/2006/relationships/hyperlink" Target="mailto:karam.naser@InterDigita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1367</Words>
  <Characters>7522</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8872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3</cp:revision>
  <cp:lastPrinted>1900-01-01T08:00:00Z</cp:lastPrinted>
  <dcterms:created xsi:type="dcterms:W3CDTF">2024-04-12T11:52:00Z</dcterms:created>
  <dcterms:modified xsi:type="dcterms:W3CDTF">2024-04-12T11:53:00Z</dcterms:modified>
</cp:coreProperties>
</file>