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0FC91B" w:rsidR="008A4B4C" w:rsidRPr="005B217D" w:rsidRDefault="00E61DAC" w:rsidP="005D266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5D2668">
              <w:rPr>
                <w:lang w:val="en-CA"/>
              </w:rPr>
              <w:t>267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E21FDC" w:rsidR="00E61DAC" w:rsidRPr="005B217D" w:rsidRDefault="004B19AF" w:rsidP="00F805A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AHG</w:t>
            </w:r>
            <w:r>
              <w:rPr>
                <w:b/>
                <w:szCs w:val="22"/>
                <w:lang w:val="en-CA"/>
              </w:rPr>
              <w:t>15</w:t>
            </w:r>
            <w:r w:rsidR="004F4D98">
              <w:rPr>
                <w:b/>
                <w:szCs w:val="22"/>
                <w:lang w:val="en-CA"/>
              </w:rPr>
              <w:t xml:space="preserve">: </w:t>
            </w:r>
            <w:r w:rsidR="00916892">
              <w:rPr>
                <w:b/>
                <w:szCs w:val="22"/>
                <w:lang w:val="en-CA"/>
              </w:rPr>
              <w:t xml:space="preserve">Cleanups </w:t>
            </w:r>
            <w:r w:rsidR="00F805A0">
              <w:rPr>
                <w:b/>
                <w:szCs w:val="22"/>
                <w:lang w:val="en-CA"/>
              </w:rPr>
              <w:t xml:space="preserve">for </w:t>
            </w:r>
            <w:r w:rsidR="00730969">
              <w:rPr>
                <w:b/>
                <w:szCs w:val="22"/>
                <w:lang w:val="en-CA"/>
              </w:rPr>
              <w:t>scaling</w:t>
            </w:r>
            <w:r w:rsidR="00586BF2">
              <w:rPr>
                <w:b/>
                <w:szCs w:val="22"/>
                <w:lang w:val="en-CA"/>
              </w:rPr>
              <w:t xml:space="preserve">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1308D0" w14:textId="77777777" w:rsidR="00586BF2" w:rsidRDefault="00586BF2" w:rsidP="00586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 Chen-Yen Lai,</w:t>
            </w:r>
            <w:r>
              <w:rPr>
                <w:szCs w:val="22"/>
                <w:lang w:val="en-CA"/>
              </w:rPr>
              <w:br/>
              <w:t>Ching-Yeh Chen,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B65DD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86BF2">
              <w:rPr>
                <w:szCs w:val="22"/>
                <w:lang w:val="en-CA"/>
              </w:rPr>
              <w:t>olena.chubach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jenny.lai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chingyeh.chen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peter.chuang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cw.hsu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yuwen.huang</w:t>
            </w:r>
            <w:proofErr w:type="spellEnd"/>
            <w:r w:rsidR="00586BF2">
              <w:rPr>
                <w:szCs w:val="22"/>
                <w:lang w:val="en-CA"/>
              </w:rPr>
              <w:t xml:space="preserve">, </w:t>
            </w:r>
            <w:proofErr w:type="spellStart"/>
            <w:r w:rsidR="00586BF2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7EDDC" w14:textId="12534453" w:rsidR="00204381" w:rsidRDefault="006605B7" w:rsidP="008D7069">
      <w:pPr>
        <w:rPr>
          <w:color w:val="000000"/>
          <w:szCs w:val="22"/>
          <w:lang w:eastAsia="zh-TW"/>
        </w:rPr>
      </w:pPr>
      <w:r>
        <w:rPr>
          <w:color w:val="000000"/>
          <w:szCs w:val="22"/>
        </w:rPr>
        <w:t xml:space="preserve">This contribution is related to scaling matrices support and </w:t>
      </w:r>
      <w:proofErr w:type="spellStart"/>
      <w:r>
        <w:rPr>
          <w:color w:val="000000"/>
          <w:szCs w:val="22"/>
        </w:rPr>
        <w:t>signal</w:t>
      </w:r>
      <w:r w:rsidR="00D05242">
        <w:rPr>
          <w:color w:val="000000"/>
          <w:szCs w:val="22"/>
        </w:rPr>
        <w:t>l</w:t>
      </w:r>
      <w:r>
        <w:rPr>
          <w:color w:val="000000"/>
          <w:szCs w:val="22"/>
        </w:rPr>
        <w:t>ing</w:t>
      </w:r>
      <w:proofErr w:type="spellEnd"/>
      <w:r>
        <w:rPr>
          <w:color w:val="000000"/>
          <w:szCs w:val="22"/>
        </w:rPr>
        <w:t xml:space="preserve"> cleanup. It is proposed to remove </w:t>
      </w:r>
      <w:proofErr w:type="spellStart"/>
      <w:r>
        <w:rPr>
          <w:color w:val="000000"/>
          <w:szCs w:val="22"/>
        </w:rPr>
        <w:t>signal</w:t>
      </w:r>
      <w:r w:rsidR="00D05242">
        <w:rPr>
          <w:color w:val="000000"/>
          <w:szCs w:val="22"/>
        </w:rPr>
        <w:t>l</w:t>
      </w:r>
      <w:r>
        <w:rPr>
          <w:color w:val="000000"/>
          <w:szCs w:val="22"/>
        </w:rPr>
        <w:t>ing</w:t>
      </w:r>
      <w:proofErr w:type="spellEnd"/>
      <w:r>
        <w:rPr>
          <w:color w:val="000000"/>
          <w:szCs w:val="22"/>
        </w:rPr>
        <w:t xml:space="preserve"> the flag for the default scaling</w:t>
      </w:r>
      <w:r>
        <w:rPr>
          <w:rFonts w:hint="eastAsia"/>
          <w:color w:val="000000"/>
          <w:szCs w:val="22"/>
        </w:rPr>
        <w:t xml:space="preserve"> matrices</w:t>
      </w:r>
      <w:r>
        <w:rPr>
          <w:color w:val="000000"/>
          <w:szCs w:val="22"/>
        </w:rPr>
        <w:t xml:space="preserve"> on top of VTM5.0</w:t>
      </w:r>
      <w:r w:rsidR="00265D6F">
        <w:rPr>
          <w:color w:val="000000"/>
          <w:szCs w:val="22"/>
        </w:rPr>
        <w:t xml:space="preserve"> and VVC Draft 5</w:t>
      </w:r>
      <w:r>
        <w:rPr>
          <w:color w:val="000000"/>
          <w:szCs w:val="22"/>
        </w:rPr>
        <w:t>, considering the fact that the default scaling matrices are assigned to flat</w:t>
      </w:r>
      <w:r w:rsidR="003339C4">
        <w:rPr>
          <w:color w:val="000000"/>
          <w:szCs w:val="22"/>
        </w:rPr>
        <w:t xml:space="preserve"> and the same as the case of not </w:t>
      </w:r>
      <w:proofErr w:type="spellStart"/>
      <w:r w:rsidR="003339C4">
        <w:rPr>
          <w:color w:val="000000"/>
          <w:szCs w:val="22"/>
        </w:rPr>
        <w:t>signa</w:t>
      </w:r>
      <w:r w:rsidR="00265D6F">
        <w:rPr>
          <w:color w:val="000000"/>
          <w:szCs w:val="22"/>
        </w:rPr>
        <w:t>l</w:t>
      </w:r>
      <w:r w:rsidR="003339C4">
        <w:rPr>
          <w:color w:val="000000"/>
          <w:szCs w:val="22"/>
        </w:rPr>
        <w:t>ling</w:t>
      </w:r>
      <w:proofErr w:type="spellEnd"/>
      <w:r w:rsidR="003339C4">
        <w:rPr>
          <w:color w:val="000000"/>
          <w:szCs w:val="22"/>
        </w:rPr>
        <w:t xml:space="preserve"> scaling matrices</w:t>
      </w:r>
      <w:r>
        <w:rPr>
          <w:color w:val="000000"/>
          <w:szCs w:val="22"/>
        </w:rPr>
        <w:t xml:space="preserve">. Also, it is proposed to modify the associated scaling matrices for </w:t>
      </w:r>
      <w:r>
        <w:t>i</w:t>
      </w:r>
      <w:r w:rsidRPr="007A28E0">
        <w:t>ntra block copy</w:t>
      </w:r>
      <w:r>
        <w:t xml:space="preserve"> </w:t>
      </w:r>
      <w:r w:rsidR="00D05242">
        <w:t xml:space="preserve">mode </w:t>
      </w:r>
      <w:r>
        <w:t>(IBC) to inter</w:t>
      </w:r>
      <w:r w:rsidR="00D05242">
        <w:t xml:space="preserve"> mode</w:t>
      </w:r>
      <w:r>
        <w:t>, instead of intra</w:t>
      </w:r>
      <w:r w:rsidR="00D05242">
        <w:t xml:space="preserve"> mode</w:t>
      </w:r>
      <w:r>
        <w:rPr>
          <w:rFonts w:hint="eastAsia"/>
          <w:color w:val="000000"/>
          <w:szCs w:val="22"/>
        </w:rPr>
        <w:t>.</w:t>
      </w:r>
      <w:r w:rsidR="00191581">
        <w:rPr>
          <w:color w:val="000000"/>
          <w:szCs w:val="22"/>
        </w:rPr>
        <w:t xml:space="preserve"> The two proposed cleanups do not change results under common test conditions (CTC)</w:t>
      </w:r>
      <w:r w:rsidR="00F14A74">
        <w:rPr>
          <w:rFonts w:hint="eastAsia"/>
          <w:color w:val="000000"/>
          <w:szCs w:val="22"/>
          <w:lang w:eastAsia="zh-TW"/>
        </w:rPr>
        <w:t>.</w:t>
      </w:r>
    </w:p>
    <w:p w14:paraId="52DD490C" w14:textId="77777777" w:rsidR="003A0F5C" w:rsidRPr="005B217D" w:rsidRDefault="003A0F5C" w:rsidP="008D7069">
      <w:pPr>
        <w:rPr>
          <w:szCs w:val="22"/>
          <w:lang w:val="en-CA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558D79" w14:textId="63244441" w:rsidR="006611F9" w:rsidRDefault="006611F9" w:rsidP="006611F9">
      <w:r>
        <w:rPr>
          <w:szCs w:val="22"/>
          <w:lang w:val="en-CA"/>
        </w:rPr>
        <w:t xml:space="preserve">In the JVET-N0847 </w:t>
      </w:r>
      <w:r w:rsidRPr="000264B9">
        <w:rPr>
          <w:szCs w:val="22"/>
        </w:rPr>
        <w:t>[1</w:t>
      </w:r>
      <w:r>
        <w:rPr>
          <w:szCs w:val="22"/>
        </w:rPr>
        <w:t>]</w:t>
      </w:r>
      <w:r>
        <w:rPr>
          <w:szCs w:val="22"/>
          <w:lang w:val="en-CA"/>
        </w:rPr>
        <w:t xml:space="preserve"> adopted at the previous JVET </w:t>
      </w:r>
      <w:r w:rsidR="00551555">
        <w:rPr>
          <w:szCs w:val="22"/>
          <w:lang w:val="en-CA"/>
        </w:rPr>
        <w:t>m</w:t>
      </w:r>
      <w:r>
        <w:rPr>
          <w:szCs w:val="22"/>
          <w:lang w:val="en-CA"/>
        </w:rPr>
        <w:t xml:space="preserve">eeting in Geneva, </w:t>
      </w:r>
      <w:r w:rsidR="00D05242">
        <w:t xml:space="preserve">there are three modes of scaling matrices supported: </w:t>
      </w:r>
      <w:r w:rsidR="00551555">
        <w:t xml:space="preserve">OFF, </w:t>
      </w:r>
      <w:r w:rsidR="00D05242">
        <w:t>DEFAULT, and USER_DEFINED</w:t>
      </w:r>
      <w:r w:rsidR="00551555">
        <w:t>.</w:t>
      </w:r>
      <w:r w:rsidR="00D05242">
        <w:rPr>
          <w:szCs w:val="22"/>
          <w:lang w:val="en-CA"/>
        </w:rPr>
        <w:t xml:space="preserve"> </w:t>
      </w:r>
      <w:r w:rsidR="00551555">
        <w:rPr>
          <w:szCs w:val="22"/>
          <w:lang w:val="en-CA"/>
        </w:rPr>
        <w:t>I</w:t>
      </w:r>
      <w:r>
        <w:rPr>
          <w:szCs w:val="22"/>
          <w:lang w:val="en-CA"/>
        </w:rPr>
        <w:t xml:space="preserve">t </w:t>
      </w:r>
      <w:r w:rsidR="00551555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suggested that </w:t>
      </w:r>
      <w:r>
        <w:t>the</w:t>
      </w:r>
      <w:r w:rsidRPr="00B75E49">
        <w:t xml:space="preserve"> DEFAULT mode </w:t>
      </w:r>
      <w:r>
        <w:t>scaling matrices are all assigned to flat, with elements equal to</w:t>
      </w:r>
      <w:r w:rsidRPr="00B75E49">
        <w:t xml:space="preserve"> 16 </w:t>
      </w:r>
      <w:r>
        <w:t xml:space="preserve">for </w:t>
      </w:r>
      <w:r w:rsidRPr="00B75E49">
        <w:t>all</w:t>
      </w:r>
      <w:r w:rsidR="00551555">
        <w:t xml:space="preserve"> transform block</w:t>
      </w:r>
      <w:r w:rsidRPr="00B75E49">
        <w:t xml:space="preserve"> </w:t>
      </w:r>
      <w:r w:rsidR="00551555">
        <w:t>(</w:t>
      </w:r>
      <w:r w:rsidRPr="00B75E49">
        <w:t>T</w:t>
      </w:r>
      <w:r>
        <w:t>B</w:t>
      </w:r>
      <w:r w:rsidR="00551555">
        <w:t>)</w:t>
      </w:r>
      <w:r w:rsidRPr="00B75E49">
        <w:t xml:space="preserve"> size</w:t>
      </w:r>
      <w:r>
        <w:t xml:space="preserve">s. This </w:t>
      </w:r>
      <w:r w:rsidR="00B47A34">
        <w:t xml:space="preserve">assignment </w:t>
      </w:r>
      <w:r>
        <w:t>is equivalent to having no DEFAULT scaling matrices</w:t>
      </w:r>
      <w:r w:rsidR="00B47A34">
        <w:t xml:space="preserve">. DEFAULT mode </w:t>
      </w:r>
      <w:r>
        <w:t xml:space="preserve">is the same as </w:t>
      </w:r>
      <w:r>
        <w:rPr>
          <w:szCs w:val="22"/>
        </w:rPr>
        <w:t>OFF mode</w:t>
      </w:r>
      <w:r w:rsidR="00B47A34">
        <w:rPr>
          <w:szCs w:val="22"/>
        </w:rPr>
        <w:t>, which is redundant.</w:t>
      </w:r>
    </w:p>
    <w:p w14:paraId="54952B21" w14:textId="536E939B" w:rsidR="005D6B97" w:rsidRDefault="006611F9" w:rsidP="006611F9">
      <w:pPr>
        <w:rPr>
          <w:szCs w:val="22"/>
        </w:rPr>
      </w:pPr>
      <w:r>
        <w:t xml:space="preserve">In addition, in the current </w:t>
      </w:r>
      <w:r w:rsidR="00B47A34">
        <w:t>VVC [2]</w:t>
      </w:r>
      <w:r>
        <w:t xml:space="preserve">, </w:t>
      </w:r>
      <w:r>
        <w:rPr>
          <w:szCs w:val="22"/>
        </w:rPr>
        <w:t>IBC</w:t>
      </w:r>
      <w:r w:rsidRPr="003E5232">
        <w:rPr>
          <w:szCs w:val="22"/>
        </w:rPr>
        <w:t xml:space="preserve"> and </w:t>
      </w:r>
      <w:r>
        <w:rPr>
          <w:szCs w:val="22"/>
        </w:rPr>
        <w:t>i</w:t>
      </w:r>
      <w:r w:rsidRPr="003E5232">
        <w:rPr>
          <w:szCs w:val="22"/>
        </w:rPr>
        <w:t xml:space="preserve">ntra </w:t>
      </w:r>
      <w:r>
        <w:rPr>
          <w:szCs w:val="22"/>
        </w:rPr>
        <w:t xml:space="preserve">prediction modes </w:t>
      </w:r>
      <w:r w:rsidRPr="003E5232">
        <w:rPr>
          <w:szCs w:val="22"/>
        </w:rPr>
        <w:t>share the same</w:t>
      </w:r>
      <w:r>
        <w:rPr>
          <w:szCs w:val="22"/>
        </w:rPr>
        <w:t xml:space="preserve"> scaling</w:t>
      </w:r>
      <w:r w:rsidRPr="003E5232">
        <w:rPr>
          <w:szCs w:val="22"/>
        </w:rPr>
        <w:t xml:space="preserve"> matri</w:t>
      </w:r>
      <w:r>
        <w:rPr>
          <w:szCs w:val="22"/>
        </w:rPr>
        <w:t xml:space="preserve">ces. However, since </w:t>
      </w:r>
      <w:r w:rsidR="00B47A34">
        <w:rPr>
          <w:szCs w:val="22"/>
        </w:rPr>
        <w:t xml:space="preserve">both </w:t>
      </w:r>
      <w:r>
        <w:rPr>
          <w:szCs w:val="22"/>
        </w:rPr>
        <w:t>IBC</w:t>
      </w:r>
      <w:r w:rsidR="00B47A34">
        <w:rPr>
          <w:szCs w:val="22"/>
        </w:rPr>
        <w:t xml:space="preserve"> and inter prediction modes perform </w:t>
      </w:r>
      <w:r>
        <w:rPr>
          <w:szCs w:val="22"/>
        </w:rPr>
        <w:t xml:space="preserve">prediction </w:t>
      </w:r>
      <w:r w:rsidR="00B47A34">
        <w:rPr>
          <w:szCs w:val="22"/>
        </w:rPr>
        <w:t>using</w:t>
      </w:r>
      <w:r w:rsidRPr="00DE0F0E">
        <w:rPr>
          <w:noProof/>
          <w:lang w:val="en-CA"/>
        </w:rPr>
        <w:t xml:space="preserve"> </w:t>
      </w:r>
      <w:r w:rsidR="00B47A34">
        <w:rPr>
          <w:noProof/>
          <w:lang w:val="en-CA"/>
        </w:rPr>
        <w:t xml:space="preserve">motion </w:t>
      </w:r>
      <w:r w:rsidRPr="00DE0F0E">
        <w:rPr>
          <w:noProof/>
          <w:lang w:val="en-CA"/>
        </w:rPr>
        <w:t>vectors</w:t>
      </w:r>
      <w:r>
        <w:rPr>
          <w:iCs/>
          <w:noProof/>
          <w:lang w:val="en-CA"/>
        </w:rPr>
        <w:t>,</w:t>
      </w:r>
      <w:r>
        <w:rPr>
          <w:noProof/>
          <w:lang w:val="en-CA"/>
        </w:rPr>
        <w:t xml:space="preserve"> IBC</w:t>
      </w:r>
      <w:r w:rsidR="00B47A34">
        <w:rPr>
          <w:noProof/>
          <w:lang w:val="en-CA"/>
        </w:rPr>
        <w:t xml:space="preserve"> prediction samples are</w:t>
      </w:r>
      <w:r>
        <w:rPr>
          <w:noProof/>
          <w:lang w:val="en-CA"/>
        </w:rPr>
        <w:t xml:space="preserve"> considered to be analogous to</w:t>
      </w:r>
      <w:r>
        <w:rPr>
          <w:szCs w:val="22"/>
        </w:rPr>
        <w:t xml:space="preserve"> inter prediction</w:t>
      </w:r>
      <w:r w:rsidR="00B47A34">
        <w:rPr>
          <w:szCs w:val="22"/>
        </w:rPr>
        <w:t xml:space="preserve"> samples</w:t>
      </w:r>
      <w:r>
        <w:rPr>
          <w:szCs w:val="22"/>
        </w:rPr>
        <w:t>, not intra</w:t>
      </w:r>
      <w:r w:rsidR="00D05242">
        <w:rPr>
          <w:szCs w:val="22"/>
        </w:rPr>
        <w:t xml:space="preserve"> </w:t>
      </w:r>
      <w:r w:rsidR="003339C4">
        <w:rPr>
          <w:szCs w:val="22"/>
        </w:rPr>
        <w:t>prediction</w:t>
      </w:r>
      <w:r w:rsidR="00B47A34">
        <w:rPr>
          <w:szCs w:val="22"/>
        </w:rPr>
        <w:t xml:space="preserve"> samples</w:t>
      </w:r>
      <w:r>
        <w:rPr>
          <w:szCs w:val="22"/>
        </w:rPr>
        <w:t>.</w:t>
      </w:r>
    </w:p>
    <w:p w14:paraId="43EA2303" w14:textId="77777777" w:rsidR="00B47A34" w:rsidRPr="00A25C2F" w:rsidRDefault="00B47A34" w:rsidP="006611F9"/>
    <w:p w14:paraId="5ADC6178" w14:textId="542173E1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D1FEC">
        <w:rPr>
          <w:lang w:val="en-CA"/>
        </w:rPr>
        <w:t>cleanups</w:t>
      </w:r>
    </w:p>
    <w:p w14:paraId="13EB4FD9" w14:textId="7638D7B0" w:rsidR="006611F9" w:rsidRDefault="006611F9" w:rsidP="006611F9">
      <w:pPr>
        <w:rPr>
          <w:lang w:val="en-CA"/>
        </w:rPr>
      </w:pPr>
      <w:r>
        <w:rPr>
          <w:lang w:val="en-CA"/>
        </w:rPr>
        <w:t xml:space="preserve">This proposal contains two cleanups. None of them is affecting CTC </w:t>
      </w:r>
      <w:r>
        <w:rPr>
          <w:szCs w:val="22"/>
        </w:rPr>
        <w:t>[3]</w:t>
      </w:r>
      <w:r>
        <w:rPr>
          <w:lang w:val="en-CA"/>
        </w:rPr>
        <w:t xml:space="preserve"> results.</w:t>
      </w:r>
    </w:p>
    <w:p w14:paraId="58DED0DD" w14:textId="77777777" w:rsidR="00FD1FEC" w:rsidRDefault="00FD1FEC" w:rsidP="006611F9">
      <w:pPr>
        <w:rPr>
          <w:lang w:val="en-CA"/>
        </w:rPr>
      </w:pPr>
    </w:p>
    <w:p w14:paraId="50A1B199" w14:textId="76FF88CC" w:rsidR="00FD1FEC" w:rsidRPr="00CA073C" w:rsidRDefault="00FD1FEC" w:rsidP="00026B8B">
      <w:pPr>
        <w:pStyle w:val="Heading2"/>
        <w:rPr>
          <w:lang w:val="en-CA"/>
        </w:rPr>
      </w:pPr>
      <w:r>
        <w:rPr>
          <w:lang w:val="en-CA"/>
        </w:rPr>
        <w:t>Cleanup 1</w:t>
      </w:r>
    </w:p>
    <w:p w14:paraId="7DE19344" w14:textId="2B71EFAD" w:rsidR="006611F9" w:rsidRDefault="006611F9" w:rsidP="00026B8B">
      <w:r w:rsidRPr="00FD1FEC">
        <w:rPr>
          <w:szCs w:val="22"/>
        </w:rPr>
        <w:t>It is proposed to eliminate the DEFAULT mode from the VVC and support two modes for scaling matrices</w:t>
      </w:r>
      <w:r w:rsidR="003339C4" w:rsidRPr="00FD1FEC">
        <w:rPr>
          <w:szCs w:val="22"/>
        </w:rPr>
        <w:t xml:space="preserve"> only</w:t>
      </w:r>
      <w:r w:rsidRPr="00FD1FEC">
        <w:rPr>
          <w:szCs w:val="22"/>
        </w:rPr>
        <w:t>: ON (which is equivalent to USER_DEFINED mode) and OFF.</w:t>
      </w:r>
    </w:p>
    <w:p w14:paraId="5BFD0746" w14:textId="77777777" w:rsidR="00FD1FEC" w:rsidRDefault="00FD1FEC" w:rsidP="00026B8B"/>
    <w:p w14:paraId="150CE1E6" w14:textId="2A42E363" w:rsidR="00FD1FEC" w:rsidRPr="00026B8B" w:rsidRDefault="00FD1FEC" w:rsidP="00026B8B">
      <w:pPr>
        <w:pStyle w:val="Heading2"/>
        <w:rPr>
          <w:lang w:eastAsia="zh-TW"/>
        </w:rPr>
      </w:pPr>
      <w:r>
        <w:rPr>
          <w:rFonts w:hint="eastAsia"/>
          <w:lang w:eastAsia="zh-TW"/>
        </w:rPr>
        <w:lastRenderedPageBreak/>
        <w:t>Cleanup 2</w:t>
      </w:r>
    </w:p>
    <w:p w14:paraId="51DB92F6" w14:textId="77777777" w:rsidR="006611F9" w:rsidRPr="00026B8B" w:rsidRDefault="006611F9" w:rsidP="00026B8B">
      <w:pPr>
        <w:tabs>
          <w:tab w:val="clear" w:pos="720"/>
        </w:tabs>
        <w:rPr>
          <w:szCs w:val="22"/>
        </w:rPr>
      </w:pPr>
      <w:r w:rsidRPr="00026B8B">
        <w:rPr>
          <w:szCs w:val="22"/>
        </w:rPr>
        <w:t xml:space="preserve">It is proposed that IBC and inter prediction modes share the same sets of scaling matrices. Thus, for the case of ON (which is equivalent to USER_DEFINED mode), the number of </w:t>
      </w:r>
      <w:proofErr w:type="spellStart"/>
      <w:r w:rsidRPr="00026B8B">
        <w:rPr>
          <w:szCs w:val="22"/>
        </w:rPr>
        <w:t>MatrixType</w:t>
      </w:r>
      <w:proofErr w:type="spellEnd"/>
      <w:r w:rsidRPr="00026B8B">
        <w:rPr>
          <w:szCs w:val="22"/>
        </w:rPr>
        <w:t xml:space="preserve"> and </w:t>
      </w:r>
      <w:proofErr w:type="spellStart"/>
      <w:r w:rsidRPr="00026B8B">
        <w:rPr>
          <w:szCs w:val="22"/>
        </w:rPr>
        <w:t>MatrixType_DC</w:t>
      </w:r>
      <w:proofErr w:type="spellEnd"/>
      <w:r w:rsidRPr="00026B8B">
        <w:rPr>
          <w:szCs w:val="22"/>
        </w:rPr>
        <w:t xml:space="preserve"> are as follows:</w:t>
      </w:r>
    </w:p>
    <w:p w14:paraId="6FA1B990" w14:textId="204D6D09" w:rsidR="006611F9" w:rsidRPr="006D40CF" w:rsidRDefault="006611F9" w:rsidP="006611F9">
      <w:pPr>
        <w:pStyle w:val="ListParagraph"/>
        <w:numPr>
          <w:ilvl w:val="0"/>
          <w:numId w:val="13"/>
        </w:numPr>
        <w:rPr>
          <w:szCs w:val="22"/>
        </w:r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Pr="00986A12">
        <w:rPr>
          <w:b/>
        </w:rPr>
        <w:t xml:space="preserve">30 = </w:t>
      </w:r>
      <w:r>
        <w:rPr>
          <w:b/>
        </w:rPr>
        <w:t>2</w:t>
      </w:r>
      <w:r w:rsidRPr="0056017E">
        <w:t xml:space="preserve"> (</w:t>
      </w:r>
      <w:r>
        <w:t>2</w:t>
      </w:r>
      <w:r w:rsidRPr="0056017E">
        <w:t xml:space="preserve"> </w:t>
      </w:r>
      <w:r>
        <w:t xml:space="preserve">for </w:t>
      </w:r>
      <w:proofErr w:type="spellStart"/>
      <w:r>
        <w:t>inter&amp;IBC</w:t>
      </w:r>
      <w:proofErr w:type="spellEnd"/>
      <w:r>
        <w:t>/intra</w:t>
      </w:r>
      <w:r w:rsidRPr="006D40CF">
        <w:rPr>
          <w:lang w:val="en-CA"/>
        </w:rPr>
        <w:t>)</w:t>
      </w:r>
      <w:r w:rsidRPr="0056017E">
        <w:t xml:space="preserve"> </w:t>
      </w:r>
      <w:r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</w:t>
      </w:r>
      <w:r>
        <w:t>(Y/</w:t>
      </w:r>
      <w:proofErr w:type="spellStart"/>
      <w:r>
        <w:t>Cb</w:t>
      </w:r>
      <w:proofErr w:type="spellEnd"/>
      <w:r>
        <w:t>/Cr</w:t>
      </w:r>
      <w:r w:rsidRPr="003E5232">
        <w:t xml:space="preserve"> components</w:t>
      </w:r>
      <w:r>
        <w:t>)</w:t>
      </w:r>
      <w:r w:rsidRPr="0056017E">
        <w:t xml:space="preserve"> </w:t>
      </w:r>
      <w:r w:rsidRPr="00986A12">
        <w:rPr>
          <w:b/>
          <w:color w:val="000000"/>
          <w:szCs w:val="22"/>
        </w:rPr>
        <w:t>×</w:t>
      </w:r>
      <w:r w:rsidRPr="0056017E">
        <w:t xml:space="preserve"> </w:t>
      </w:r>
      <w:r>
        <w:rPr>
          <w:b/>
        </w:rPr>
        <w:t>5</w:t>
      </w:r>
      <w:r w:rsidRPr="0056017E">
        <w:t xml:space="preserve"> </w:t>
      </w:r>
      <w:r>
        <w:t xml:space="preserve">(square </w:t>
      </w:r>
      <w:r w:rsidRPr="0056017E">
        <w:t>T</w:t>
      </w:r>
      <w:r>
        <w:t>B</w:t>
      </w:r>
      <w:r w:rsidRPr="0056017E">
        <w:t xml:space="preserve"> </w:t>
      </w:r>
      <w:r>
        <w:t>s</w:t>
      </w:r>
      <w:r w:rsidRPr="0056017E">
        <w:t>ize</w:t>
      </w:r>
      <w:r>
        <w:t xml:space="preserve">: </w:t>
      </w:r>
      <w:r w:rsidRPr="0056017E">
        <w:t xml:space="preserve">from </w:t>
      </w:r>
      <w:r>
        <w:t>4</w:t>
      </w:r>
      <w:r>
        <w:rPr>
          <w:color w:val="000000"/>
          <w:szCs w:val="22"/>
        </w:rPr>
        <w:t>×</w:t>
      </w:r>
      <w:r>
        <w:t>4</w:t>
      </w:r>
      <w:r w:rsidRPr="0056017E">
        <w:t xml:space="preserve"> to 64</w:t>
      </w:r>
      <w:r>
        <w:rPr>
          <w:color w:val="000000"/>
          <w:szCs w:val="22"/>
        </w:rPr>
        <w:t>×</w:t>
      </w:r>
      <w:r w:rsidRPr="0056017E">
        <w:t>6</w:t>
      </w:r>
      <w:r>
        <w:t xml:space="preserve">4 for </w:t>
      </w:r>
      <w:proofErr w:type="spellStart"/>
      <w:r>
        <w:t>luma</w:t>
      </w:r>
      <w:proofErr w:type="spellEnd"/>
      <w:r>
        <w:t xml:space="preserve">, </w:t>
      </w:r>
      <w:r w:rsidRPr="0056017E">
        <w:t xml:space="preserve">from </w:t>
      </w:r>
      <w:r>
        <w:t>2</w:t>
      </w:r>
      <w:r>
        <w:rPr>
          <w:color w:val="000000"/>
          <w:szCs w:val="22"/>
        </w:rPr>
        <w:t>×</w:t>
      </w:r>
      <w:r>
        <w:t>2</w:t>
      </w:r>
      <w:r w:rsidRPr="0056017E">
        <w:t xml:space="preserve"> to </w:t>
      </w:r>
      <w:r>
        <w:t>32</w:t>
      </w:r>
      <w:r>
        <w:rPr>
          <w:color w:val="000000"/>
          <w:szCs w:val="22"/>
        </w:rPr>
        <w:t>×</w:t>
      </w:r>
      <w:r>
        <w:t xml:space="preserve">32 for </w:t>
      </w:r>
      <w:proofErr w:type="spellStart"/>
      <w:r>
        <w:t>chroma</w:t>
      </w:r>
      <w:proofErr w:type="spellEnd"/>
      <w:r>
        <w:t>)</w:t>
      </w:r>
    </w:p>
    <w:p w14:paraId="2A58AD1E" w14:textId="1A6F5B22" w:rsidR="006611F9" w:rsidRDefault="006611F9" w:rsidP="006611F9">
      <w:pPr>
        <w:pStyle w:val="ListParagraph"/>
        <w:numPr>
          <w:ilvl w:val="0"/>
          <w:numId w:val="13"/>
        </w:numPr>
      </w:pPr>
      <w:proofErr w:type="spellStart"/>
      <w:r w:rsidRPr="006D40CF">
        <w:rPr>
          <w:b/>
        </w:rPr>
        <w:t>MatrixType_DC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Pr="00986A12">
        <w:rPr>
          <w:b/>
        </w:rPr>
        <w:t xml:space="preserve">14 = </w:t>
      </w:r>
      <w:r>
        <w:rPr>
          <w:b/>
        </w:rPr>
        <w:t>2</w:t>
      </w:r>
      <w:r w:rsidRPr="0056017E">
        <w:t xml:space="preserve"> (</w:t>
      </w:r>
      <w:r>
        <w:t>2</w:t>
      </w:r>
      <w:r w:rsidRPr="0056017E">
        <w:t xml:space="preserve"> </w:t>
      </w:r>
      <w:r>
        <w:t xml:space="preserve">for </w:t>
      </w:r>
      <w:proofErr w:type="spellStart"/>
      <w:r>
        <w:t>inter&amp;IBC</w:t>
      </w:r>
      <w:proofErr w:type="spellEnd"/>
      <w:r>
        <w:t xml:space="preserve">/intra </w:t>
      </w:r>
      <w:r>
        <w:rPr>
          <w:color w:val="000000"/>
          <w:szCs w:val="22"/>
        </w:rPr>
        <w:t>×</w:t>
      </w:r>
      <w:r>
        <w:t xml:space="preserve"> 1 for Y</w:t>
      </w:r>
      <w:r w:rsidRPr="003E5232">
        <w:t xml:space="preserve"> </w:t>
      </w:r>
      <w:r>
        <w:t>component</w:t>
      </w:r>
      <w:r w:rsidRPr="006D40CF">
        <w:rPr>
          <w:lang w:val="en-CA"/>
        </w:rPr>
        <w:t>)</w:t>
      </w:r>
      <w:r w:rsidRPr="0056017E">
        <w:t xml:space="preserve"> </w:t>
      </w:r>
      <w:r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(</w:t>
      </w:r>
      <w:r w:rsidRPr="006D40CF">
        <w:rPr>
          <w:szCs w:val="22"/>
        </w:rPr>
        <w:t>T</w:t>
      </w:r>
      <w:r>
        <w:rPr>
          <w:szCs w:val="22"/>
        </w:rPr>
        <w:t>B</w:t>
      </w:r>
      <w:r w:rsidRPr="006D40CF">
        <w:rPr>
          <w:szCs w:val="22"/>
        </w:rPr>
        <w:t xml:space="preserve"> size</w:t>
      </w:r>
      <w:r>
        <w:rPr>
          <w:szCs w:val="22"/>
        </w:rPr>
        <w:t>:</w:t>
      </w:r>
      <w:r w:rsidRPr="006D40CF">
        <w:rPr>
          <w:szCs w:val="22"/>
        </w:rPr>
        <w:t xml:space="preserve"> 16</w:t>
      </w:r>
      <w:r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>
        <w:rPr>
          <w:color w:val="000000"/>
          <w:szCs w:val="22"/>
        </w:rPr>
        <w:t>×</w:t>
      </w:r>
      <w:r w:rsidRPr="006D40CF">
        <w:rPr>
          <w:szCs w:val="22"/>
        </w:rPr>
        <w:t>32</w:t>
      </w:r>
      <w:r>
        <w:rPr>
          <w:szCs w:val="22"/>
        </w:rPr>
        <w:t>,</w:t>
      </w:r>
      <w:r w:rsidRPr="006D40CF">
        <w:rPr>
          <w:szCs w:val="22"/>
        </w:rPr>
        <w:t xml:space="preserve"> 64</w:t>
      </w:r>
      <w:r>
        <w:rPr>
          <w:color w:val="000000"/>
          <w:szCs w:val="22"/>
        </w:rPr>
        <w:t>×</w:t>
      </w:r>
      <w:r w:rsidRPr="006D40CF">
        <w:rPr>
          <w:szCs w:val="22"/>
        </w:rPr>
        <w:t>64</w:t>
      </w:r>
      <w:r w:rsidRPr="0056017E">
        <w:t>)</w:t>
      </w:r>
      <w:r>
        <w:t xml:space="preserve"> </w:t>
      </w:r>
      <w:r w:rsidRPr="00986A12">
        <w:rPr>
          <w:b/>
        </w:rPr>
        <w:t>+</w:t>
      </w:r>
      <w:r>
        <w:t xml:space="preserve"> </w:t>
      </w:r>
      <w:r>
        <w:rPr>
          <w:b/>
        </w:rPr>
        <w:t>4</w:t>
      </w:r>
      <w:r w:rsidRPr="0056017E">
        <w:t xml:space="preserve"> (</w:t>
      </w:r>
      <w:r>
        <w:t>2</w:t>
      </w:r>
      <w:r w:rsidRPr="0056017E">
        <w:t xml:space="preserve"> </w:t>
      </w:r>
      <w:r>
        <w:t xml:space="preserve">for </w:t>
      </w:r>
      <w:proofErr w:type="spellStart"/>
      <w:r>
        <w:t>intra&amp;IBC</w:t>
      </w:r>
      <w:proofErr w:type="spellEnd"/>
      <w:r>
        <w:t xml:space="preserve">/inter </w:t>
      </w:r>
      <w:r>
        <w:rPr>
          <w:color w:val="000000"/>
          <w:szCs w:val="22"/>
        </w:rPr>
        <w:t>×</w:t>
      </w:r>
      <w:r>
        <w:t xml:space="preserve"> 2 for </w:t>
      </w:r>
      <w:proofErr w:type="spellStart"/>
      <w:r>
        <w:t>Cb</w:t>
      </w:r>
      <w:proofErr w:type="spellEnd"/>
      <w:r>
        <w:t>/Cr</w:t>
      </w:r>
      <w:r w:rsidRPr="003E5232">
        <w:t xml:space="preserve"> </w:t>
      </w:r>
      <w:r>
        <w:t>components</w:t>
      </w:r>
      <w:r w:rsidRPr="006D40CF">
        <w:rPr>
          <w:lang w:val="en-CA"/>
        </w:rPr>
        <w:t>)</w:t>
      </w:r>
      <w:r w:rsidRPr="0056017E">
        <w:t xml:space="preserve"> </w:t>
      </w:r>
      <w:r w:rsidRPr="00A46B11">
        <w:rPr>
          <w:b/>
          <w:color w:val="000000"/>
          <w:szCs w:val="22"/>
        </w:rPr>
        <w:t>×</w:t>
      </w:r>
      <w:r w:rsidRPr="0056017E">
        <w:t xml:space="preserve"> </w:t>
      </w:r>
      <w:r>
        <w:rPr>
          <w:b/>
        </w:rPr>
        <w:t>2</w:t>
      </w:r>
      <w:r w:rsidRPr="0056017E">
        <w:t xml:space="preserve"> (</w:t>
      </w:r>
      <w:r w:rsidRPr="006D40CF">
        <w:rPr>
          <w:szCs w:val="22"/>
        </w:rPr>
        <w:t>T</w:t>
      </w:r>
      <w:r>
        <w:rPr>
          <w:szCs w:val="22"/>
        </w:rPr>
        <w:t>B</w:t>
      </w:r>
      <w:r w:rsidRPr="006D40CF">
        <w:rPr>
          <w:szCs w:val="22"/>
        </w:rPr>
        <w:t xml:space="preserve"> size</w:t>
      </w:r>
      <w:r>
        <w:rPr>
          <w:szCs w:val="22"/>
        </w:rPr>
        <w:t>:</w:t>
      </w:r>
      <w:r w:rsidRPr="006D40CF">
        <w:rPr>
          <w:szCs w:val="22"/>
        </w:rPr>
        <w:t xml:space="preserve"> 16</w:t>
      </w:r>
      <w:r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>
        <w:rPr>
          <w:color w:val="000000"/>
          <w:szCs w:val="22"/>
        </w:rPr>
        <w:t>×</w:t>
      </w:r>
      <w:r w:rsidRPr="006D40CF">
        <w:rPr>
          <w:szCs w:val="22"/>
        </w:rPr>
        <w:t>32</w:t>
      </w:r>
      <w:r w:rsidRPr="0056017E">
        <w:t>)</w:t>
      </w:r>
    </w:p>
    <w:p w14:paraId="4734C80D" w14:textId="77777777" w:rsidR="000D5854" w:rsidRDefault="000D5854" w:rsidP="00026B8B"/>
    <w:p w14:paraId="198EBE10" w14:textId="77777777" w:rsidR="00392CE7" w:rsidRDefault="00392CE7" w:rsidP="00392CE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41E2C1B" w14:textId="77777777" w:rsidR="00392CE7" w:rsidRDefault="00392CE7" w:rsidP="00392CE7">
      <w:pPr>
        <w:rPr>
          <w:bCs/>
          <w:szCs w:val="22"/>
        </w:rPr>
      </w:pPr>
      <w:r>
        <w:rPr>
          <w:lang w:val="en-CA"/>
        </w:rPr>
        <w:t>This document proposes two cleanups for signalling the scaling matrices in VVC which do not affect CTC results</w:t>
      </w:r>
      <w:r>
        <w:rPr>
          <w:bCs/>
          <w:szCs w:val="22"/>
        </w:rPr>
        <w:t>. It is proposed to:</w:t>
      </w:r>
    </w:p>
    <w:p w14:paraId="648EB570" w14:textId="77777777" w:rsidR="00392CE7" w:rsidRDefault="00392CE7" w:rsidP="00392CE7">
      <w:pPr>
        <w:pStyle w:val="ListParagraph"/>
        <w:numPr>
          <w:ilvl w:val="0"/>
          <w:numId w:val="15"/>
        </w:numPr>
        <w:rPr>
          <w:bCs/>
          <w:szCs w:val="22"/>
        </w:rPr>
      </w:pPr>
      <w:r>
        <w:rPr>
          <w:bCs/>
          <w:szCs w:val="22"/>
        </w:rPr>
        <w:t>Support two modes for scaling matrices: ON and OFF</w:t>
      </w:r>
    </w:p>
    <w:p w14:paraId="51D37B47" w14:textId="77777777" w:rsidR="00392CE7" w:rsidRPr="007C7850" w:rsidRDefault="00392CE7" w:rsidP="00392CE7">
      <w:pPr>
        <w:pStyle w:val="ListParagraph"/>
        <w:numPr>
          <w:ilvl w:val="0"/>
          <w:numId w:val="15"/>
        </w:numPr>
        <w:rPr>
          <w:bCs/>
          <w:szCs w:val="22"/>
        </w:rPr>
      </w:pPr>
      <w:r>
        <w:rPr>
          <w:szCs w:val="22"/>
        </w:rPr>
        <w:t xml:space="preserve">Update </w:t>
      </w:r>
      <w:r w:rsidRPr="00CA073C">
        <w:rPr>
          <w:szCs w:val="22"/>
        </w:rPr>
        <w:t>IBC and i</w:t>
      </w:r>
      <w:r>
        <w:rPr>
          <w:szCs w:val="22"/>
        </w:rPr>
        <w:t>nter</w:t>
      </w:r>
      <w:r w:rsidRPr="00CA073C">
        <w:rPr>
          <w:szCs w:val="22"/>
        </w:rPr>
        <w:t xml:space="preserve"> coding modes</w:t>
      </w:r>
      <w:r>
        <w:rPr>
          <w:szCs w:val="22"/>
        </w:rPr>
        <w:t xml:space="preserve"> to</w:t>
      </w:r>
      <w:r w:rsidRPr="00CA073C">
        <w:rPr>
          <w:szCs w:val="22"/>
        </w:rPr>
        <w:t xml:space="preserve"> share the same</w:t>
      </w:r>
      <w:r>
        <w:rPr>
          <w:szCs w:val="22"/>
        </w:rPr>
        <w:t xml:space="preserve"> sets of</w:t>
      </w:r>
      <w:r w:rsidRPr="00CA073C">
        <w:rPr>
          <w:szCs w:val="22"/>
        </w:rPr>
        <w:t xml:space="preserve"> scaling matrices</w:t>
      </w:r>
    </w:p>
    <w:p w14:paraId="392D3AB8" w14:textId="77777777" w:rsidR="00392CE7" w:rsidRPr="007C7850" w:rsidRDefault="00392CE7" w:rsidP="00392CE7">
      <w:pPr>
        <w:rPr>
          <w:bCs/>
          <w:szCs w:val="22"/>
        </w:rPr>
      </w:pPr>
    </w:p>
    <w:p w14:paraId="17327C37" w14:textId="77777777" w:rsidR="00392CE7" w:rsidRDefault="00392CE7" w:rsidP="00392C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D3F585" w14:textId="77777777" w:rsidR="00392CE7" w:rsidRPr="00240845" w:rsidRDefault="00392CE7" w:rsidP="00392CE7">
      <w:pPr>
        <w:rPr>
          <w:szCs w:val="22"/>
        </w:rPr>
      </w:pPr>
      <w:r>
        <w:rPr>
          <w:lang w:val="en-CA"/>
        </w:rPr>
        <w:t xml:space="preserve">[1] </w:t>
      </w:r>
      <w:r w:rsidRPr="000264B9">
        <w:rPr>
          <w:szCs w:val="22"/>
        </w:rPr>
        <w:t xml:space="preserve">O. Chubach, C.-Y. Lai, C.-Y. Chen, T.-D. Chuang, C.-W. Hsu, Y.-W. Huang, S.-M. Lei (MediaTek), T. </w:t>
      </w:r>
      <w:proofErr w:type="spellStart"/>
      <w:r w:rsidRPr="000264B9">
        <w:rPr>
          <w:szCs w:val="22"/>
        </w:rPr>
        <w:t>Toma</w:t>
      </w:r>
      <w:proofErr w:type="spellEnd"/>
      <w:r w:rsidRPr="000264B9">
        <w:rPr>
          <w:szCs w:val="22"/>
        </w:rPr>
        <w:t xml:space="preserve">, K. Abe (Panasonic), S.-C. Lim, J. Kang (ETRI) “CE7-related: Support of </w:t>
      </w:r>
      <w:proofErr w:type="spellStart"/>
      <w:r w:rsidRPr="000264B9">
        <w:rPr>
          <w:szCs w:val="22"/>
        </w:rPr>
        <w:t>signalling</w:t>
      </w:r>
      <w:proofErr w:type="spellEnd"/>
      <w:r w:rsidRPr="000264B9">
        <w:rPr>
          <w:szCs w:val="22"/>
        </w:rPr>
        <w:t xml:space="preserve"> default and user-defined scaling matrices,” Document of Joint Video Experts Team, JVET-N0847.</w:t>
      </w:r>
    </w:p>
    <w:p w14:paraId="0C7E90E3" w14:textId="77777777" w:rsidR="00392CE7" w:rsidRPr="00325396" w:rsidRDefault="00392CE7" w:rsidP="00392CE7">
      <w:pPr>
        <w:rPr>
          <w:lang w:val="en-CA"/>
        </w:rPr>
      </w:pPr>
      <w:r>
        <w:rPr>
          <w:lang w:val="en-CA"/>
        </w:rPr>
        <w:t xml:space="preserve">[2]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6E891653" w14:textId="77777777" w:rsidR="00392CE7" w:rsidRPr="007525E5" w:rsidRDefault="00392CE7" w:rsidP="00392CE7">
      <w:pPr>
        <w:rPr>
          <w:szCs w:val="22"/>
        </w:rPr>
      </w:pPr>
      <w:r>
        <w:rPr>
          <w:szCs w:val="22"/>
        </w:rPr>
        <w:t>[3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C2A6165" w14:textId="77777777" w:rsidR="00392CE7" w:rsidRPr="007525E5" w:rsidRDefault="00392CE7" w:rsidP="00392CE7"/>
    <w:p w14:paraId="20E72142" w14:textId="77777777" w:rsidR="00392CE7" w:rsidRPr="005B217D" w:rsidRDefault="00392CE7" w:rsidP="00392CE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3484C8C" w:rsidR="007F1F8B" w:rsidRDefault="00392CE7" w:rsidP="00026B8B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AD7738" w14:textId="77777777" w:rsidR="00B7133D" w:rsidRPr="005B217D" w:rsidRDefault="00B7133D" w:rsidP="00026B8B">
      <w:pPr>
        <w:rPr>
          <w:szCs w:val="22"/>
          <w:lang w:val="en-CA"/>
        </w:rPr>
      </w:pPr>
    </w:p>
    <w:sectPr w:rsidR="00B7133D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AD9D7" w14:textId="77777777" w:rsidR="00BD3360" w:rsidRDefault="00BD3360">
      <w:r>
        <w:separator/>
      </w:r>
    </w:p>
  </w:endnote>
  <w:endnote w:type="continuationSeparator" w:id="0">
    <w:p w14:paraId="41099127" w14:textId="77777777" w:rsidR="00BD3360" w:rsidRDefault="00BD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E399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3AB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3AB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3593E" w14:textId="77777777" w:rsidR="00BD3360" w:rsidRDefault="00BD3360">
      <w:r>
        <w:separator/>
      </w:r>
    </w:p>
  </w:footnote>
  <w:footnote w:type="continuationSeparator" w:id="0">
    <w:p w14:paraId="68C1BA89" w14:textId="77777777" w:rsidR="00BD3360" w:rsidRDefault="00BD3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C5BBD"/>
    <w:multiLevelType w:val="hybridMultilevel"/>
    <w:tmpl w:val="F7FAEC4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DE4AD2"/>
    <w:multiLevelType w:val="hybridMultilevel"/>
    <w:tmpl w:val="208262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FA8"/>
    <w:rsid w:val="00026B8B"/>
    <w:rsid w:val="000308A3"/>
    <w:rsid w:val="0003194D"/>
    <w:rsid w:val="000458BC"/>
    <w:rsid w:val="00045C41"/>
    <w:rsid w:val="00046C03"/>
    <w:rsid w:val="00065039"/>
    <w:rsid w:val="00070337"/>
    <w:rsid w:val="0007614F"/>
    <w:rsid w:val="00081398"/>
    <w:rsid w:val="00090D6C"/>
    <w:rsid w:val="00094479"/>
    <w:rsid w:val="00094F96"/>
    <w:rsid w:val="00095B4B"/>
    <w:rsid w:val="000962AC"/>
    <w:rsid w:val="000A2D15"/>
    <w:rsid w:val="000B0C0F"/>
    <w:rsid w:val="000B1C6B"/>
    <w:rsid w:val="000B4FF9"/>
    <w:rsid w:val="000C09AC"/>
    <w:rsid w:val="000C1A8E"/>
    <w:rsid w:val="000D4889"/>
    <w:rsid w:val="000D5854"/>
    <w:rsid w:val="000D6581"/>
    <w:rsid w:val="000E00F3"/>
    <w:rsid w:val="000E43CC"/>
    <w:rsid w:val="000F158C"/>
    <w:rsid w:val="00102F3D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675CB"/>
    <w:rsid w:val="00171371"/>
    <w:rsid w:val="00175A24"/>
    <w:rsid w:val="001800BA"/>
    <w:rsid w:val="00187E58"/>
    <w:rsid w:val="00191581"/>
    <w:rsid w:val="00197645"/>
    <w:rsid w:val="001A297E"/>
    <w:rsid w:val="001A368E"/>
    <w:rsid w:val="001A7329"/>
    <w:rsid w:val="001A792F"/>
    <w:rsid w:val="001B052C"/>
    <w:rsid w:val="001B4278"/>
    <w:rsid w:val="001B4E28"/>
    <w:rsid w:val="001C2412"/>
    <w:rsid w:val="001C3525"/>
    <w:rsid w:val="001C3AFB"/>
    <w:rsid w:val="001D1BD2"/>
    <w:rsid w:val="001E0248"/>
    <w:rsid w:val="001E02BE"/>
    <w:rsid w:val="001E3B37"/>
    <w:rsid w:val="001E3B41"/>
    <w:rsid w:val="001E4AC3"/>
    <w:rsid w:val="001F0ED8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5FA"/>
    <w:rsid w:val="00227BA7"/>
    <w:rsid w:val="0023011C"/>
    <w:rsid w:val="002375C1"/>
    <w:rsid w:val="00240845"/>
    <w:rsid w:val="002432D8"/>
    <w:rsid w:val="00247BB1"/>
    <w:rsid w:val="00263398"/>
    <w:rsid w:val="00263B99"/>
    <w:rsid w:val="00265D6F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D4F12"/>
    <w:rsid w:val="002E29CD"/>
    <w:rsid w:val="002E2D2D"/>
    <w:rsid w:val="002F164D"/>
    <w:rsid w:val="003020C1"/>
    <w:rsid w:val="003021BC"/>
    <w:rsid w:val="00304523"/>
    <w:rsid w:val="003048EB"/>
    <w:rsid w:val="00306206"/>
    <w:rsid w:val="003062B5"/>
    <w:rsid w:val="00306FDC"/>
    <w:rsid w:val="00317D85"/>
    <w:rsid w:val="003200EF"/>
    <w:rsid w:val="00325396"/>
    <w:rsid w:val="00327C56"/>
    <w:rsid w:val="003315A1"/>
    <w:rsid w:val="003339C4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80212"/>
    <w:rsid w:val="00392CE7"/>
    <w:rsid w:val="003A0F5C"/>
    <w:rsid w:val="003A2D8E"/>
    <w:rsid w:val="003A36E0"/>
    <w:rsid w:val="003A50F2"/>
    <w:rsid w:val="003A65DA"/>
    <w:rsid w:val="003A7CE6"/>
    <w:rsid w:val="003C20E4"/>
    <w:rsid w:val="003C3F03"/>
    <w:rsid w:val="003D6342"/>
    <w:rsid w:val="003E6F90"/>
    <w:rsid w:val="003E73ED"/>
    <w:rsid w:val="003F5D0F"/>
    <w:rsid w:val="00400D81"/>
    <w:rsid w:val="00410B73"/>
    <w:rsid w:val="0041164A"/>
    <w:rsid w:val="00414101"/>
    <w:rsid w:val="00417470"/>
    <w:rsid w:val="004219CF"/>
    <w:rsid w:val="004234F0"/>
    <w:rsid w:val="00430E41"/>
    <w:rsid w:val="00433DDB"/>
    <w:rsid w:val="00435A29"/>
    <w:rsid w:val="00437619"/>
    <w:rsid w:val="004426ED"/>
    <w:rsid w:val="00460A28"/>
    <w:rsid w:val="00463625"/>
    <w:rsid w:val="00465A1E"/>
    <w:rsid w:val="0049445A"/>
    <w:rsid w:val="004A2A63"/>
    <w:rsid w:val="004B19AF"/>
    <w:rsid w:val="004B210C"/>
    <w:rsid w:val="004C1040"/>
    <w:rsid w:val="004D405F"/>
    <w:rsid w:val="004D6D3B"/>
    <w:rsid w:val="004E4F4F"/>
    <w:rsid w:val="004E6789"/>
    <w:rsid w:val="004F493D"/>
    <w:rsid w:val="004F4D98"/>
    <w:rsid w:val="004F61E3"/>
    <w:rsid w:val="00502E10"/>
    <w:rsid w:val="0050662F"/>
    <w:rsid w:val="0051015C"/>
    <w:rsid w:val="00516CF1"/>
    <w:rsid w:val="00526C04"/>
    <w:rsid w:val="0053030C"/>
    <w:rsid w:val="00531AE9"/>
    <w:rsid w:val="00536188"/>
    <w:rsid w:val="005429F8"/>
    <w:rsid w:val="00550A66"/>
    <w:rsid w:val="00551555"/>
    <w:rsid w:val="00553AB4"/>
    <w:rsid w:val="00556AB1"/>
    <w:rsid w:val="00567EC7"/>
    <w:rsid w:val="00570013"/>
    <w:rsid w:val="005753EC"/>
    <w:rsid w:val="005801A2"/>
    <w:rsid w:val="00586BF2"/>
    <w:rsid w:val="005952A5"/>
    <w:rsid w:val="005952BA"/>
    <w:rsid w:val="005963FE"/>
    <w:rsid w:val="00596E47"/>
    <w:rsid w:val="005A0FC4"/>
    <w:rsid w:val="005A335B"/>
    <w:rsid w:val="005A33A1"/>
    <w:rsid w:val="005A7A15"/>
    <w:rsid w:val="005B217D"/>
    <w:rsid w:val="005C385F"/>
    <w:rsid w:val="005D07AC"/>
    <w:rsid w:val="005D2668"/>
    <w:rsid w:val="005D3AFE"/>
    <w:rsid w:val="005D6720"/>
    <w:rsid w:val="005D6B97"/>
    <w:rsid w:val="005E05BC"/>
    <w:rsid w:val="005E1AC6"/>
    <w:rsid w:val="005E3F2B"/>
    <w:rsid w:val="005F5988"/>
    <w:rsid w:val="005F6F1B"/>
    <w:rsid w:val="006054DF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05B7"/>
    <w:rsid w:val="006611F9"/>
    <w:rsid w:val="00662E58"/>
    <w:rsid w:val="006637F2"/>
    <w:rsid w:val="006642A5"/>
    <w:rsid w:val="00664DCF"/>
    <w:rsid w:val="00680203"/>
    <w:rsid w:val="00690FCC"/>
    <w:rsid w:val="006A08A6"/>
    <w:rsid w:val="006B64F4"/>
    <w:rsid w:val="006B7B96"/>
    <w:rsid w:val="006C212C"/>
    <w:rsid w:val="006C2315"/>
    <w:rsid w:val="006C5D39"/>
    <w:rsid w:val="006D166C"/>
    <w:rsid w:val="006D201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2465"/>
    <w:rsid w:val="00724B1F"/>
    <w:rsid w:val="00730969"/>
    <w:rsid w:val="007414D9"/>
    <w:rsid w:val="0074393F"/>
    <w:rsid w:val="00745F6B"/>
    <w:rsid w:val="0075175B"/>
    <w:rsid w:val="007525E5"/>
    <w:rsid w:val="0075585E"/>
    <w:rsid w:val="00765021"/>
    <w:rsid w:val="00770571"/>
    <w:rsid w:val="007768FF"/>
    <w:rsid w:val="00777EDC"/>
    <w:rsid w:val="007824D3"/>
    <w:rsid w:val="00796EE3"/>
    <w:rsid w:val="007A44AD"/>
    <w:rsid w:val="007A7D29"/>
    <w:rsid w:val="007A7E3C"/>
    <w:rsid w:val="007B4AB8"/>
    <w:rsid w:val="007C662C"/>
    <w:rsid w:val="007C7850"/>
    <w:rsid w:val="007D1181"/>
    <w:rsid w:val="007D6E69"/>
    <w:rsid w:val="007E01A3"/>
    <w:rsid w:val="007F1F8B"/>
    <w:rsid w:val="007F5C69"/>
    <w:rsid w:val="007F67A1"/>
    <w:rsid w:val="00806BCE"/>
    <w:rsid w:val="00811C05"/>
    <w:rsid w:val="008206C8"/>
    <w:rsid w:val="00823BC9"/>
    <w:rsid w:val="00844E57"/>
    <w:rsid w:val="0086387C"/>
    <w:rsid w:val="00874A6C"/>
    <w:rsid w:val="00876C65"/>
    <w:rsid w:val="00882F72"/>
    <w:rsid w:val="008A3511"/>
    <w:rsid w:val="008A3EF2"/>
    <w:rsid w:val="008A4B4C"/>
    <w:rsid w:val="008A5EB7"/>
    <w:rsid w:val="008A6BEB"/>
    <w:rsid w:val="008B4D8A"/>
    <w:rsid w:val="008C239F"/>
    <w:rsid w:val="008D7069"/>
    <w:rsid w:val="008E4183"/>
    <w:rsid w:val="008E480C"/>
    <w:rsid w:val="00907757"/>
    <w:rsid w:val="00916892"/>
    <w:rsid w:val="00920B81"/>
    <w:rsid w:val="009212B0"/>
    <w:rsid w:val="00921FA1"/>
    <w:rsid w:val="009234A5"/>
    <w:rsid w:val="009302CD"/>
    <w:rsid w:val="00933453"/>
    <w:rsid w:val="009336F7"/>
    <w:rsid w:val="00933FE6"/>
    <w:rsid w:val="00935558"/>
    <w:rsid w:val="0093636C"/>
    <w:rsid w:val="009374A7"/>
    <w:rsid w:val="00950E2B"/>
    <w:rsid w:val="00951428"/>
    <w:rsid w:val="00955F6D"/>
    <w:rsid w:val="0096501F"/>
    <w:rsid w:val="00976468"/>
    <w:rsid w:val="00977C16"/>
    <w:rsid w:val="0098551D"/>
    <w:rsid w:val="00985DCB"/>
    <w:rsid w:val="009873ED"/>
    <w:rsid w:val="009908A6"/>
    <w:rsid w:val="0099518F"/>
    <w:rsid w:val="009A43AD"/>
    <w:rsid w:val="009A523D"/>
    <w:rsid w:val="009B02A1"/>
    <w:rsid w:val="009B3361"/>
    <w:rsid w:val="009B7F3F"/>
    <w:rsid w:val="009C1C6E"/>
    <w:rsid w:val="009C24DC"/>
    <w:rsid w:val="009D7CE6"/>
    <w:rsid w:val="009F496B"/>
    <w:rsid w:val="009F73E9"/>
    <w:rsid w:val="00A01439"/>
    <w:rsid w:val="00A02E61"/>
    <w:rsid w:val="00A0408A"/>
    <w:rsid w:val="00A05CFF"/>
    <w:rsid w:val="00A13048"/>
    <w:rsid w:val="00A203F9"/>
    <w:rsid w:val="00A24438"/>
    <w:rsid w:val="00A25C2F"/>
    <w:rsid w:val="00A277CB"/>
    <w:rsid w:val="00A46843"/>
    <w:rsid w:val="00A50100"/>
    <w:rsid w:val="00A56B97"/>
    <w:rsid w:val="00A6093D"/>
    <w:rsid w:val="00A73921"/>
    <w:rsid w:val="00A767DC"/>
    <w:rsid w:val="00A76A6D"/>
    <w:rsid w:val="00A83253"/>
    <w:rsid w:val="00A87E78"/>
    <w:rsid w:val="00AA6E84"/>
    <w:rsid w:val="00AB1325"/>
    <w:rsid w:val="00AB1A1C"/>
    <w:rsid w:val="00AC009C"/>
    <w:rsid w:val="00AC20F0"/>
    <w:rsid w:val="00AD05A8"/>
    <w:rsid w:val="00AD064B"/>
    <w:rsid w:val="00AE341B"/>
    <w:rsid w:val="00AE433B"/>
    <w:rsid w:val="00B01905"/>
    <w:rsid w:val="00B07CA7"/>
    <w:rsid w:val="00B1279A"/>
    <w:rsid w:val="00B13BBA"/>
    <w:rsid w:val="00B259A3"/>
    <w:rsid w:val="00B3640F"/>
    <w:rsid w:val="00B41365"/>
    <w:rsid w:val="00B4194A"/>
    <w:rsid w:val="00B431F6"/>
    <w:rsid w:val="00B437E8"/>
    <w:rsid w:val="00B47A34"/>
    <w:rsid w:val="00B5222E"/>
    <w:rsid w:val="00B53179"/>
    <w:rsid w:val="00B57A23"/>
    <w:rsid w:val="00B600CD"/>
    <w:rsid w:val="00B61C96"/>
    <w:rsid w:val="00B65323"/>
    <w:rsid w:val="00B67F04"/>
    <w:rsid w:val="00B70286"/>
    <w:rsid w:val="00B7133D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BD097E"/>
    <w:rsid w:val="00BD24EC"/>
    <w:rsid w:val="00BD3360"/>
    <w:rsid w:val="00BD4D7A"/>
    <w:rsid w:val="00C00DDE"/>
    <w:rsid w:val="00C04F43"/>
    <w:rsid w:val="00C0609D"/>
    <w:rsid w:val="00C115AB"/>
    <w:rsid w:val="00C13FB1"/>
    <w:rsid w:val="00C2541C"/>
    <w:rsid w:val="00C26CCB"/>
    <w:rsid w:val="00C30249"/>
    <w:rsid w:val="00C32D7A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1919"/>
    <w:rsid w:val="00C97D78"/>
    <w:rsid w:val="00CB789D"/>
    <w:rsid w:val="00CC2AAE"/>
    <w:rsid w:val="00CC5A42"/>
    <w:rsid w:val="00CD0EAB"/>
    <w:rsid w:val="00CE5E02"/>
    <w:rsid w:val="00CF205F"/>
    <w:rsid w:val="00CF34DB"/>
    <w:rsid w:val="00CF3917"/>
    <w:rsid w:val="00CF558F"/>
    <w:rsid w:val="00D010C0"/>
    <w:rsid w:val="00D05242"/>
    <w:rsid w:val="00D073E2"/>
    <w:rsid w:val="00D142F8"/>
    <w:rsid w:val="00D3672C"/>
    <w:rsid w:val="00D446EC"/>
    <w:rsid w:val="00D51BF0"/>
    <w:rsid w:val="00D531DB"/>
    <w:rsid w:val="00D55942"/>
    <w:rsid w:val="00D62E4E"/>
    <w:rsid w:val="00D656C5"/>
    <w:rsid w:val="00D7025E"/>
    <w:rsid w:val="00D70C38"/>
    <w:rsid w:val="00D774F0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298F"/>
    <w:rsid w:val="00DC4114"/>
    <w:rsid w:val="00DD02F4"/>
    <w:rsid w:val="00DD586F"/>
    <w:rsid w:val="00DD6622"/>
    <w:rsid w:val="00DE1C7C"/>
    <w:rsid w:val="00DE2807"/>
    <w:rsid w:val="00DE5DD0"/>
    <w:rsid w:val="00DE6B43"/>
    <w:rsid w:val="00E11923"/>
    <w:rsid w:val="00E12732"/>
    <w:rsid w:val="00E14BC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A3F"/>
    <w:rsid w:val="00ED3809"/>
    <w:rsid w:val="00EE4A8F"/>
    <w:rsid w:val="00EE7CD8"/>
    <w:rsid w:val="00EF37F6"/>
    <w:rsid w:val="00EF48CC"/>
    <w:rsid w:val="00F00801"/>
    <w:rsid w:val="00F01E53"/>
    <w:rsid w:val="00F043FA"/>
    <w:rsid w:val="00F079A2"/>
    <w:rsid w:val="00F14A74"/>
    <w:rsid w:val="00F205B7"/>
    <w:rsid w:val="00F2400E"/>
    <w:rsid w:val="00F2488D"/>
    <w:rsid w:val="00F2799B"/>
    <w:rsid w:val="00F30834"/>
    <w:rsid w:val="00F316B9"/>
    <w:rsid w:val="00F36586"/>
    <w:rsid w:val="00F416EA"/>
    <w:rsid w:val="00F43C06"/>
    <w:rsid w:val="00F574C8"/>
    <w:rsid w:val="00F601A0"/>
    <w:rsid w:val="00F712E9"/>
    <w:rsid w:val="00F73032"/>
    <w:rsid w:val="00F7796B"/>
    <w:rsid w:val="00F805A0"/>
    <w:rsid w:val="00F848FC"/>
    <w:rsid w:val="00F8601E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1FEC"/>
    <w:rsid w:val="00FE595C"/>
    <w:rsid w:val="00FE787F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78973-4046-4EBA-AD4A-7F0935BF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2019-06-23T08:52:00Z</dcterms:created>
  <dcterms:modified xsi:type="dcterms:W3CDTF">2019-06-24T22:26:00Z</dcterms:modified>
</cp:coreProperties>
</file>