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bookmarkStart w:id="0" w:name="_GoBack"/>
      <w:bookmarkEnd w:id="0"/>
      <w:r>
        <w:rPr>
          <w:rFonts w:ascii="Calibri" w:hAnsi="Calibri" w:cs="Calibri"/>
          <w:sz w:val="34"/>
          <w:szCs w:val="34"/>
        </w:rPr>
        <w:t>2011-05-31 Meeting Minutes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Tuesday, May 31, 2011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11:00 PM</w:t>
      </w:r>
    </w:p>
    <w:p w:rsidR="00505C21" w:rsidRDefault="00C2228B">
      <w:pPr>
        <w:pStyle w:val="NormalWeb"/>
        <w:spacing w:before="0" w:beforeAutospacing="0" w:after="0" w:afterAutospacing="0"/>
      </w:pPr>
      <w:r>
        <w:t> 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Attendees:</w:t>
      </w:r>
      <w:r>
        <w:rPr>
          <w:rFonts w:ascii="Calibri" w:hAnsi="Calibri" w:cs="Calibri"/>
          <w:sz w:val="22"/>
          <w:szCs w:val="22"/>
        </w:rPr>
        <w:t xml:space="preserve"> Sakae OKUBO, Youichi TAKASHIMA, Brody Kenrick, Paul Jones, Ram Mohan R, Muthu Arul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AMS-0029 - An update of the AMS information flow [Waseda]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During this meeting, we reviewed the application handover call flow presented in section 3.  We discussed how we would perform an application handover between applications where there is a need to exchange a high volume of data.  For example, two local whiteboard applications may need to exchange a lot of data as a part of the application handover process.  Do we need a local media interface between applications (like interface C between two assemblages)?  This local media interface will be needed for the “personal network” as well.  We also need to look into procedures for closing the connection between A-3 and B-3.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AMS-0031 - Invocation of Applications [Waseda]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contribution formally proposes to introduce the concept of "pre-invoke", which essentially tries to "reserve" the application and resources without actually causing those application to be fully engaged in bi-directional communication.  With this introduction, though, the document presents scenarios that show where it is necessary to cancel a pre-invocation request.  Hence, the document also introduces the notion of a "cancel pre-invoke".  It was agreed to introduce both concepts.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05C21" w:rsidRDefault="00C2228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50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2228B"/>
    <w:rsid w:val="00505C21"/>
    <w:rsid w:val="00C2228B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E. Jones</dc:creator>
  <cp:keywords/>
  <dc:description/>
  <cp:lastModifiedBy>Paul E. Jones</cp:lastModifiedBy>
  <cp:revision>3</cp:revision>
  <dcterms:created xsi:type="dcterms:W3CDTF">2011-06-12T21:06:00Z</dcterms:created>
  <dcterms:modified xsi:type="dcterms:W3CDTF">2011-06-12T21:07:00Z</dcterms:modified>
</cp:coreProperties>
</file>