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CD4CA3" w:rsidRPr="00CD4CA3" w:rsidTr="004D78BD">
        <w:trPr>
          <w:cantSplit/>
        </w:trPr>
        <w:tc>
          <w:tcPr>
            <w:tcW w:w="6297" w:type="dxa"/>
            <w:gridSpan w:val="4"/>
            <w:vAlign w:val="center"/>
          </w:tcPr>
          <w:p w:rsidR="00CD4CA3" w:rsidRPr="00CD4CA3" w:rsidRDefault="00CD4CA3" w:rsidP="00CD4CA3">
            <w:pPr>
              <w:spacing w:before="0"/>
              <w:rPr>
                <w:rFonts w:eastAsia="MS Mincho"/>
                <w:b/>
                <w:smallCaps/>
                <w:sz w:val="20"/>
              </w:rPr>
            </w:pPr>
            <w:bookmarkStart w:id="0" w:name="dsg" w:colFirst="1" w:colLast="1"/>
            <w:bookmarkStart w:id="1" w:name="dtableau"/>
            <w:r w:rsidRPr="00CD4CA3">
              <w:rPr>
                <w:rFonts w:eastAsia="MS Mincho"/>
                <w:b/>
                <w:smallCaps/>
                <w:sz w:val="20"/>
                <w:szCs w:val="19"/>
              </w:rPr>
              <w:t>Rapporteur Meeting of Questions 2, 3, 5, 12, 21 and 22/16</w:t>
            </w:r>
          </w:p>
        </w:tc>
        <w:tc>
          <w:tcPr>
            <w:tcW w:w="3626" w:type="dxa"/>
            <w:vAlign w:val="center"/>
          </w:tcPr>
          <w:p w:rsidR="00CD4CA3" w:rsidRPr="00CD4CA3" w:rsidRDefault="00CD4CA3" w:rsidP="00CD4CA3">
            <w:pPr>
              <w:spacing w:before="0"/>
              <w:jc w:val="right"/>
              <w:rPr>
                <w:rFonts w:eastAsia="MS Mincho"/>
                <w:b/>
                <w:bCs/>
                <w:sz w:val="40"/>
              </w:rPr>
            </w:pPr>
            <w:bookmarkStart w:id="2" w:name="docnumber"/>
            <w:r w:rsidRPr="00CD4CA3">
              <w:rPr>
                <w:rFonts w:eastAsia="MS Mincho"/>
                <w:b/>
                <w:bCs/>
                <w:sz w:val="40"/>
              </w:rPr>
              <w:t>AVD-42</w:t>
            </w:r>
            <w:bookmarkEnd w:id="2"/>
            <w:r>
              <w:rPr>
                <w:rFonts w:eastAsia="MS Mincho"/>
                <w:b/>
                <w:bCs/>
                <w:sz w:val="40"/>
              </w:rPr>
              <w:t>45</w:t>
            </w:r>
          </w:p>
        </w:tc>
      </w:tr>
      <w:tr w:rsidR="00CD4CA3" w:rsidRPr="00CD4CA3" w:rsidTr="004D78BD">
        <w:trPr>
          <w:cantSplit/>
          <w:trHeight w:val="461"/>
        </w:trPr>
        <w:tc>
          <w:tcPr>
            <w:tcW w:w="4857" w:type="dxa"/>
            <w:gridSpan w:val="3"/>
            <w:vMerge w:val="restart"/>
            <w:tcBorders>
              <w:bottom w:val="nil"/>
            </w:tcBorders>
          </w:tcPr>
          <w:p w:rsidR="00CD4CA3" w:rsidRPr="00CD4CA3" w:rsidRDefault="00CD4CA3" w:rsidP="00CD4CA3">
            <w:pPr>
              <w:rPr>
                <w:rFonts w:eastAsia="MS Mincho"/>
                <w:b/>
                <w:bCs/>
                <w:sz w:val="26"/>
              </w:rPr>
            </w:pPr>
            <w:bookmarkStart w:id="3" w:name="dnum" w:colFirst="1" w:colLast="1"/>
            <w:bookmarkEnd w:id="0"/>
            <w:r w:rsidRPr="00CD4CA3">
              <w:rPr>
                <w:rFonts w:eastAsia="MS Mincho"/>
                <w:b/>
                <w:bCs/>
                <w:sz w:val="26"/>
              </w:rPr>
              <w:t>TELECOMMUNICATION</w:t>
            </w:r>
            <w:r w:rsidRPr="00CD4CA3">
              <w:rPr>
                <w:rFonts w:eastAsia="MS Mincho"/>
                <w:b/>
                <w:bCs/>
                <w:sz w:val="26"/>
              </w:rPr>
              <w:br/>
              <w:t>STANDARDIZATION SECTOR</w:t>
            </w:r>
          </w:p>
          <w:p w:rsidR="00CD4CA3" w:rsidRPr="00CD4CA3" w:rsidRDefault="00CD4CA3" w:rsidP="00CD4CA3">
            <w:pPr>
              <w:rPr>
                <w:rFonts w:eastAsia="MS Mincho"/>
                <w:smallCaps/>
                <w:sz w:val="20"/>
              </w:rPr>
            </w:pPr>
            <w:r w:rsidRPr="00CD4CA3">
              <w:rPr>
                <w:rFonts w:eastAsia="MS Mincho"/>
                <w:sz w:val="20"/>
              </w:rPr>
              <w:t>STUDY PERIOD 2009-2012</w:t>
            </w:r>
          </w:p>
        </w:tc>
        <w:tc>
          <w:tcPr>
            <w:tcW w:w="5066" w:type="dxa"/>
            <w:gridSpan w:val="2"/>
            <w:tcBorders>
              <w:bottom w:val="nil"/>
            </w:tcBorders>
          </w:tcPr>
          <w:p w:rsidR="00CD4CA3" w:rsidRPr="00CD4CA3" w:rsidRDefault="00CD4CA3" w:rsidP="00CD4CA3">
            <w:pPr>
              <w:jc w:val="right"/>
              <w:rPr>
                <w:rFonts w:eastAsia="MS Mincho"/>
                <w:b/>
                <w:bCs/>
                <w:sz w:val="40"/>
              </w:rPr>
            </w:pPr>
            <w:r w:rsidRPr="00CD4CA3">
              <w:rPr>
                <w:rFonts w:eastAsia="MS Mincho"/>
                <w:b/>
                <w:bCs/>
                <w:smallCaps/>
                <w:sz w:val="32"/>
              </w:rPr>
              <w:t>STUDY GROUP 16</w:t>
            </w:r>
          </w:p>
        </w:tc>
      </w:tr>
      <w:tr w:rsidR="00CD4CA3" w:rsidRPr="00CD4CA3" w:rsidTr="004D78BD">
        <w:trPr>
          <w:cantSplit/>
          <w:trHeight w:val="355"/>
        </w:trPr>
        <w:tc>
          <w:tcPr>
            <w:tcW w:w="4857" w:type="dxa"/>
            <w:gridSpan w:val="3"/>
            <w:vMerge/>
            <w:tcBorders>
              <w:bottom w:val="single" w:sz="12" w:space="0" w:color="auto"/>
            </w:tcBorders>
          </w:tcPr>
          <w:p w:rsidR="00CD4CA3" w:rsidRPr="00CD4CA3" w:rsidRDefault="00CD4CA3" w:rsidP="00CD4CA3">
            <w:pPr>
              <w:rPr>
                <w:rFonts w:eastAsia="MS Mincho"/>
                <w:b/>
                <w:bCs/>
                <w:sz w:val="26"/>
              </w:rPr>
            </w:pPr>
            <w:bookmarkStart w:id="4" w:name="dorlang" w:colFirst="1" w:colLast="1"/>
            <w:bookmarkEnd w:id="3"/>
          </w:p>
        </w:tc>
        <w:tc>
          <w:tcPr>
            <w:tcW w:w="5066" w:type="dxa"/>
            <w:gridSpan w:val="2"/>
            <w:tcBorders>
              <w:bottom w:val="single" w:sz="12" w:space="0" w:color="auto"/>
            </w:tcBorders>
          </w:tcPr>
          <w:p w:rsidR="00CD4CA3" w:rsidRPr="00CD4CA3" w:rsidRDefault="00CD4CA3" w:rsidP="00CD4CA3">
            <w:pPr>
              <w:jc w:val="right"/>
              <w:rPr>
                <w:rFonts w:eastAsia="MS Mincho"/>
                <w:b/>
                <w:bCs/>
                <w:sz w:val="28"/>
              </w:rPr>
            </w:pPr>
            <w:r w:rsidRPr="00CD4CA3">
              <w:rPr>
                <w:rFonts w:eastAsia="MS Mincho"/>
                <w:b/>
                <w:bCs/>
                <w:sz w:val="28"/>
              </w:rPr>
              <w:t>Original: English</w:t>
            </w:r>
          </w:p>
        </w:tc>
      </w:tr>
      <w:bookmarkEnd w:id="1"/>
      <w:bookmarkEnd w:id="4"/>
      <w:tr w:rsidR="00CD4CA3" w:rsidRPr="00CD4CA3" w:rsidTr="004D78BD">
        <w:trPr>
          <w:cantSplit/>
          <w:trHeight w:val="357"/>
        </w:trPr>
        <w:tc>
          <w:tcPr>
            <w:tcW w:w="1617" w:type="dxa"/>
          </w:tcPr>
          <w:p w:rsidR="00CD4CA3" w:rsidRPr="00CD4CA3" w:rsidRDefault="00CD4CA3" w:rsidP="00CD4CA3">
            <w:pPr>
              <w:rPr>
                <w:rFonts w:eastAsia="MS Mincho"/>
                <w:b/>
                <w:bCs/>
              </w:rPr>
            </w:pPr>
            <w:r w:rsidRPr="00CD4CA3">
              <w:rPr>
                <w:rFonts w:eastAsia="MS Mincho"/>
                <w:b/>
                <w:bCs/>
              </w:rPr>
              <w:t>Question(s):</w:t>
            </w:r>
          </w:p>
        </w:tc>
        <w:tc>
          <w:tcPr>
            <w:tcW w:w="3030" w:type="dxa"/>
          </w:tcPr>
          <w:p w:rsidR="00CD4CA3" w:rsidRPr="00CD4CA3" w:rsidRDefault="00CD4CA3" w:rsidP="00CD4CA3">
            <w:pPr>
              <w:rPr>
                <w:rFonts w:eastAsia="MS Mincho"/>
              </w:rPr>
            </w:pPr>
            <w:r w:rsidRPr="00CD4CA3">
              <w:rPr>
                <w:rFonts w:eastAsia="MS Mincho"/>
              </w:rPr>
              <w:t>3</w:t>
            </w:r>
          </w:p>
        </w:tc>
        <w:tc>
          <w:tcPr>
            <w:tcW w:w="5276" w:type="dxa"/>
            <w:gridSpan w:val="3"/>
          </w:tcPr>
          <w:p w:rsidR="00CD4CA3" w:rsidRPr="00CD4CA3" w:rsidRDefault="00CD4CA3" w:rsidP="00CD4CA3">
            <w:pPr>
              <w:wordWrap w:val="0"/>
              <w:jc w:val="right"/>
              <w:rPr>
                <w:rFonts w:eastAsia="MS Mincho"/>
                <w:sz w:val="22"/>
              </w:rPr>
            </w:pPr>
            <w:r w:rsidRPr="00CD4CA3">
              <w:rPr>
                <w:rFonts w:eastAsia="Malgun Gothic"/>
                <w:sz w:val="22"/>
                <w:lang w:eastAsia="ko-KR"/>
              </w:rPr>
              <w:t>Brisbane</w:t>
            </w:r>
            <w:r w:rsidRPr="00CD4CA3">
              <w:rPr>
                <w:rFonts w:eastAsia="MS Mincho"/>
                <w:sz w:val="22"/>
              </w:rPr>
              <w:t xml:space="preserve">, AUS, </w:t>
            </w:r>
            <w:r w:rsidRPr="00CD4CA3">
              <w:rPr>
                <w:rFonts w:eastAsia="Malgun Gothic"/>
                <w:sz w:val="22"/>
                <w:lang w:eastAsia="ko-KR"/>
              </w:rPr>
              <w:t>24 - 28</w:t>
            </w:r>
            <w:r w:rsidRPr="00CD4CA3">
              <w:rPr>
                <w:rFonts w:eastAsia="MS Mincho"/>
                <w:sz w:val="22"/>
              </w:rPr>
              <w:t xml:space="preserve"> </w:t>
            </w:r>
            <w:r w:rsidRPr="00CD4CA3">
              <w:rPr>
                <w:rFonts w:eastAsia="Malgun Gothic"/>
                <w:sz w:val="22"/>
                <w:lang w:eastAsia="ko-KR"/>
              </w:rPr>
              <w:t>September,</w:t>
            </w:r>
            <w:r w:rsidRPr="00CD4CA3">
              <w:rPr>
                <w:rFonts w:eastAsia="MS Mincho"/>
                <w:sz w:val="22"/>
              </w:rPr>
              <w:t xml:space="preserve"> 20</w:t>
            </w:r>
            <w:r w:rsidRPr="00CD4CA3">
              <w:rPr>
                <w:rFonts w:eastAsia="Malgun Gothic" w:hint="eastAsia"/>
                <w:sz w:val="22"/>
                <w:lang w:eastAsia="ko-KR"/>
              </w:rPr>
              <w:t>1</w:t>
            </w:r>
            <w:r w:rsidRPr="00CD4CA3">
              <w:rPr>
                <w:rFonts w:eastAsia="Malgun Gothic"/>
                <w:sz w:val="22"/>
                <w:lang w:eastAsia="ko-KR"/>
              </w:rPr>
              <w:t>2</w:t>
            </w:r>
          </w:p>
        </w:tc>
      </w:tr>
      <w:tr w:rsidR="00CD4CA3" w:rsidRPr="00CD4CA3" w:rsidTr="004D78BD">
        <w:trPr>
          <w:cantSplit/>
          <w:trHeight w:val="357"/>
        </w:trPr>
        <w:tc>
          <w:tcPr>
            <w:tcW w:w="9923" w:type="dxa"/>
            <w:gridSpan w:val="5"/>
          </w:tcPr>
          <w:p w:rsidR="00CD4CA3" w:rsidRPr="00CD4CA3" w:rsidRDefault="00CD4CA3" w:rsidP="00CD4CA3">
            <w:pPr>
              <w:jc w:val="center"/>
              <w:rPr>
                <w:rFonts w:eastAsia="MS Mincho"/>
                <w:b/>
                <w:bCs/>
              </w:rPr>
            </w:pPr>
            <w:r w:rsidRPr="00CD4CA3">
              <w:rPr>
                <w:rFonts w:eastAsia="MS Mincho"/>
                <w:b/>
                <w:bCs/>
              </w:rPr>
              <w:t>RAPPORTEUR MEETING DOCUMENT</w:t>
            </w:r>
          </w:p>
        </w:tc>
      </w:tr>
      <w:tr w:rsidR="00CD4CA3" w:rsidRPr="00CD4CA3" w:rsidTr="004D78BD">
        <w:trPr>
          <w:cantSplit/>
          <w:trHeight w:val="357"/>
        </w:trPr>
        <w:tc>
          <w:tcPr>
            <w:tcW w:w="1617" w:type="dxa"/>
          </w:tcPr>
          <w:p w:rsidR="00CD4CA3" w:rsidRPr="00CD4CA3" w:rsidRDefault="00CD4CA3" w:rsidP="00CD4CA3">
            <w:pPr>
              <w:rPr>
                <w:rFonts w:eastAsia="MS Mincho"/>
                <w:b/>
                <w:bCs/>
              </w:rPr>
            </w:pPr>
            <w:r w:rsidRPr="00CD4CA3">
              <w:rPr>
                <w:rFonts w:eastAsia="MS Mincho"/>
                <w:b/>
                <w:bCs/>
              </w:rPr>
              <w:t>Source:</w:t>
            </w:r>
          </w:p>
        </w:tc>
        <w:tc>
          <w:tcPr>
            <w:tcW w:w="8306" w:type="dxa"/>
            <w:gridSpan w:val="4"/>
          </w:tcPr>
          <w:p w:rsidR="00CD4CA3" w:rsidRPr="00CD4CA3" w:rsidRDefault="00CD4CA3" w:rsidP="00CD4CA3">
            <w:pPr>
              <w:rPr>
                <w:rFonts w:eastAsia="MS Mincho"/>
              </w:rPr>
            </w:pPr>
            <w:r w:rsidRPr="00CD4CA3">
              <w:rPr>
                <w:rFonts w:eastAsia="MS Mincho"/>
              </w:rPr>
              <w:t>ALCATEL-LUCENT</w:t>
            </w:r>
          </w:p>
        </w:tc>
      </w:tr>
      <w:tr w:rsidR="00CD4CA3" w:rsidRPr="00CD4CA3" w:rsidTr="004D78BD">
        <w:trPr>
          <w:cantSplit/>
          <w:trHeight w:val="357"/>
        </w:trPr>
        <w:tc>
          <w:tcPr>
            <w:tcW w:w="1617" w:type="dxa"/>
          </w:tcPr>
          <w:p w:rsidR="00CD4CA3" w:rsidRPr="00CD4CA3" w:rsidRDefault="00CD4CA3" w:rsidP="00CD4CA3">
            <w:pPr>
              <w:spacing w:after="120"/>
              <w:rPr>
                <w:rFonts w:eastAsia="MS Mincho"/>
              </w:rPr>
            </w:pPr>
            <w:r w:rsidRPr="00CD4CA3">
              <w:rPr>
                <w:rFonts w:eastAsia="MS Mincho"/>
                <w:b/>
                <w:bCs/>
              </w:rPr>
              <w:t>Title:</w:t>
            </w:r>
          </w:p>
        </w:tc>
        <w:tc>
          <w:tcPr>
            <w:tcW w:w="8306" w:type="dxa"/>
            <w:gridSpan w:val="4"/>
          </w:tcPr>
          <w:p w:rsidR="00CD4CA3" w:rsidRPr="00CD4CA3" w:rsidRDefault="00CD4CA3" w:rsidP="004D78BD">
            <w:pPr>
              <w:spacing w:after="120"/>
              <w:rPr>
                <w:rFonts w:eastAsia="MS Mincho"/>
              </w:rPr>
            </w:pPr>
            <w:bookmarkStart w:id="5" w:name="_GoBack"/>
            <w:r w:rsidRPr="00CD4CA3">
              <w:rPr>
                <w:rFonts w:eastAsia="MS Mincho"/>
              </w:rPr>
              <w:t>H.248.DPI: DPI Policy Rule Emulation Package</w:t>
            </w:r>
            <w:bookmarkEnd w:id="5"/>
          </w:p>
        </w:tc>
      </w:tr>
      <w:tr w:rsidR="00CD4CA3" w:rsidRPr="00CD4CA3" w:rsidTr="004D78BD">
        <w:trPr>
          <w:cantSplit/>
          <w:trHeight w:val="357"/>
        </w:trPr>
        <w:tc>
          <w:tcPr>
            <w:tcW w:w="1617" w:type="dxa"/>
            <w:tcBorders>
              <w:bottom w:val="single" w:sz="12" w:space="0" w:color="auto"/>
            </w:tcBorders>
          </w:tcPr>
          <w:p w:rsidR="00CD4CA3" w:rsidRPr="00CD4CA3" w:rsidRDefault="00CD4CA3" w:rsidP="00CD4CA3">
            <w:pPr>
              <w:spacing w:after="120"/>
              <w:rPr>
                <w:rFonts w:eastAsia="MS Mincho"/>
              </w:rPr>
            </w:pPr>
            <w:r w:rsidRPr="00CD4CA3">
              <w:rPr>
                <w:rFonts w:eastAsia="MS Mincho"/>
                <w:b/>
                <w:bCs/>
              </w:rPr>
              <w:t>Purpose:</w:t>
            </w:r>
          </w:p>
        </w:tc>
        <w:tc>
          <w:tcPr>
            <w:tcW w:w="8306" w:type="dxa"/>
            <w:gridSpan w:val="4"/>
            <w:tcBorders>
              <w:bottom w:val="single" w:sz="12" w:space="0" w:color="auto"/>
            </w:tcBorders>
          </w:tcPr>
          <w:p w:rsidR="00CD4CA3" w:rsidRPr="00CD4CA3" w:rsidRDefault="004C3F69" w:rsidP="00CD4CA3">
            <w:pPr>
              <w:spacing w:after="120"/>
              <w:rPr>
                <w:rFonts w:eastAsia="MS Mincho"/>
                <w:lang w:val="fr-FR"/>
              </w:rPr>
            </w:pPr>
            <w:r>
              <w:rPr>
                <w:rFonts w:eastAsia="MS Mincho"/>
                <w:lang w:val="fr-FR"/>
              </w:rPr>
              <w:t>Information</w:t>
            </w:r>
          </w:p>
        </w:tc>
      </w:tr>
    </w:tbl>
    <w:p w:rsidR="00CD4CA3" w:rsidRPr="00CD4CA3" w:rsidRDefault="00CD4CA3" w:rsidP="00CD4CA3">
      <w:pPr>
        <w:rPr>
          <w:rFonts w:eastAsia="MS Mincho"/>
          <w:lang w:val="fr-FR"/>
        </w:rPr>
      </w:pPr>
    </w:p>
    <w:p w:rsidR="001B30B9" w:rsidRDefault="001B30B9" w:rsidP="001B30B9">
      <w:pPr>
        <w:pStyle w:val="Headingb"/>
      </w:pPr>
      <w:r>
        <w:t>Summary</w:t>
      </w:r>
    </w:p>
    <w:p w:rsidR="00106415" w:rsidRDefault="00733B02" w:rsidP="001B30B9">
      <w:r>
        <w:t>There are other policy control protocol</w:t>
      </w:r>
      <w:r w:rsidR="0055147B">
        <w:t xml:space="preserve"> alternative</w:t>
      </w:r>
      <w:r>
        <w:t xml:space="preserve">s besides H.248. However, present support of DPI </w:t>
      </w:r>
      <w:r w:rsidR="0055147B">
        <w:t xml:space="preserve">between these protocols </w:t>
      </w:r>
      <w:r>
        <w:t xml:space="preserve">is different. The ITU-T </w:t>
      </w:r>
      <w:proofErr w:type="spellStart"/>
      <w:r w:rsidRPr="00733B02">
        <w:rPr>
          <w:i/>
        </w:rPr>
        <w:t>Rw</w:t>
      </w:r>
      <w:proofErr w:type="spellEnd"/>
      <w:r>
        <w:t xml:space="preserve"> policy control interface should provide functional parity between different protocol alternative</w:t>
      </w:r>
      <w:r w:rsidR="00701FB2">
        <w:t>s</w:t>
      </w:r>
      <w:r>
        <w:t>.</w:t>
      </w:r>
      <w:r w:rsidR="00701FB2">
        <w:t xml:space="preserve"> A correspondent H.248 package is considered for alignment with the Diameter </w:t>
      </w:r>
      <w:proofErr w:type="spellStart"/>
      <w:r w:rsidR="00701FB2" w:rsidRPr="00701FB2">
        <w:rPr>
          <w:i/>
        </w:rPr>
        <w:t>Rw</w:t>
      </w:r>
      <w:proofErr w:type="spellEnd"/>
      <w:r w:rsidR="00701FB2">
        <w:t xml:space="preserve"> profile.</w:t>
      </w:r>
    </w:p>
    <w:p w:rsidR="00371352" w:rsidRDefault="00371352" w:rsidP="00371352"/>
    <w:p w:rsidR="00371352" w:rsidRPr="003051FE" w:rsidRDefault="00371352" w:rsidP="00371352">
      <w:pPr>
        <w:pBdr>
          <w:top w:val="single" w:sz="4" w:space="1" w:color="auto"/>
          <w:left w:val="single" w:sz="4" w:space="4" w:color="auto"/>
          <w:bottom w:val="single" w:sz="4" w:space="1" w:color="auto"/>
          <w:right w:val="single" w:sz="4" w:space="4" w:color="auto"/>
        </w:pBdr>
        <w:ind w:left="567" w:hanging="567"/>
        <w:rPr>
          <w:sz w:val="22"/>
          <w:szCs w:val="22"/>
        </w:rPr>
      </w:pPr>
      <w:r w:rsidRPr="003051FE">
        <w:rPr>
          <w:sz w:val="22"/>
          <w:szCs w:val="22"/>
        </w:rPr>
        <w:t xml:space="preserve">NOTE: This contribution couldn’t be prepared in due time because of the amount of other contributions. The package design is not yet fully complete. However, we want at least provide the motivation behind this activity. </w:t>
      </w:r>
    </w:p>
    <w:p w:rsidR="00106415" w:rsidRDefault="00106415" w:rsidP="001B30B9"/>
    <w:p w:rsidR="0053323B" w:rsidRDefault="0053323B">
      <w:pPr>
        <w:tabs>
          <w:tab w:val="clear" w:pos="794"/>
          <w:tab w:val="clear" w:pos="1191"/>
          <w:tab w:val="clear" w:pos="1588"/>
          <w:tab w:val="clear" w:pos="1985"/>
        </w:tabs>
        <w:overflowPunct/>
        <w:autoSpaceDE/>
        <w:autoSpaceDN/>
        <w:adjustRightInd/>
        <w:spacing w:before="0"/>
        <w:textAlignment w:val="auto"/>
        <w:rPr>
          <w:b/>
        </w:rPr>
      </w:pPr>
      <w:r>
        <w:br w:type="page"/>
      </w:r>
    </w:p>
    <w:p w:rsidR="00106415" w:rsidRDefault="004D78BD" w:rsidP="00106415">
      <w:pPr>
        <w:pStyle w:val="Headingb"/>
      </w:pPr>
      <w:r>
        <w:lastRenderedPageBreak/>
        <w:t>Motivatio</w:t>
      </w:r>
      <w:r w:rsidR="00106415">
        <w:t>n</w:t>
      </w:r>
    </w:p>
    <w:p w:rsidR="00106415" w:rsidRDefault="00A9091B" w:rsidP="001B30B9">
      <w:r>
        <w:t xml:space="preserve">There are different protocol solutions for policy control interfaces, see Fig. 1 for the example of ITU-T RACF </w:t>
      </w:r>
      <w:proofErr w:type="spellStart"/>
      <w:r w:rsidRPr="00A9091B">
        <w:rPr>
          <w:i/>
        </w:rPr>
        <w:t>Rw</w:t>
      </w:r>
      <w:proofErr w:type="spellEnd"/>
      <w:r>
        <w:t xml:space="preserve"> reference point. Diameter (Q.3303.3) is one option besides the H.248 </w:t>
      </w:r>
      <w:proofErr w:type="spellStart"/>
      <w:r w:rsidRPr="00A9091B">
        <w:rPr>
          <w:i/>
        </w:rPr>
        <w:t>Rw</w:t>
      </w:r>
      <w:proofErr w:type="spellEnd"/>
      <w:r>
        <w:t xml:space="preserve"> profile (Q.3303.2). The H.248 </w:t>
      </w:r>
      <w:proofErr w:type="spellStart"/>
      <w:r w:rsidRPr="0055147B">
        <w:rPr>
          <w:i/>
        </w:rPr>
        <w:t>Rw</w:t>
      </w:r>
      <w:proofErr w:type="spellEnd"/>
      <w:r>
        <w:t xml:space="preserve"> profile is derived and aligned </w:t>
      </w:r>
      <w:proofErr w:type="gramStart"/>
      <w:r>
        <w:t>to a</w:t>
      </w:r>
      <w:proofErr w:type="gramEnd"/>
      <w:r>
        <w:t xml:space="preserve"> certain extend with the ETSI TISPAN H.248 </w:t>
      </w:r>
      <w:proofErr w:type="spellStart"/>
      <w:r w:rsidRPr="00A9091B">
        <w:rPr>
          <w:i/>
        </w:rPr>
        <w:t>Ia</w:t>
      </w:r>
      <w:proofErr w:type="spellEnd"/>
      <w:r>
        <w:t xml:space="preserve"> profile. The Diameter </w:t>
      </w:r>
      <w:proofErr w:type="spellStart"/>
      <w:r w:rsidRPr="00A9091B">
        <w:rPr>
          <w:i/>
        </w:rPr>
        <w:t>Rw</w:t>
      </w:r>
      <w:proofErr w:type="spellEnd"/>
      <w:r>
        <w:t xml:space="preserve"> profile is not related to TISPAN, but tightly coupled with the 3GPP pendant of a policy control interface, the 3GPP </w:t>
      </w:r>
      <w:proofErr w:type="spellStart"/>
      <w:r w:rsidRPr="00A9091B">
        <w:rPr>
          <w:i/>
        </w:rPr>
        <w:t>Gx</w:t>
      </w:r>
      <w:proofErr w:type="spellEnd"/>
      <w:r>
        <w:t xml:space="preserve"> reference point of the PCC</w:t>
      </w:r>
      <w:r w:rsidR="0055147B">
        <w:t xml:space="preserve"> (Policy Control &amp; Charging (</w:t>
      </w:r>
      <w:proofErr w:type="spellStart"/>
      <w:r w:rsidR="0055147B">
        <w:t>susbsystem</w:t>
      </w:r>
      <w:proofErr w:type="spellEnd"/>
      <w:r w:rsidR="0055147B">
        <w:t>))</w:t>
      </w:r>
      <w:r>
        <w:t>.</w:t>
      </w:r>
    </w:p>
    <w:p w:rsidR="003051FE" w:rsidRPr="004D78BD" w:rsidRDefault="003051FE" w:rsidP="003051FE">
      <w:pPr>
        <w:keepNext/>
        <w:keepLines/>
        <w:spacing w:before="240" w:after="120"/>
        <w:jc w:val="center"/>
        <w:rPr>
          <w:rFonts w:eastAsia="SimSun"/>
        </w:rPr>
      </w:pPr>
      <w:r w:rsidRPr="004D78BD">
        <w:rPr>
          <w:rFonts w:eastAsia="SimSun"/>
          <w:noProof/>
          <w:lang w:val="en-US"/>
        </w:rPr>
        <w:drawing>
          <wp:inline distT="0" distB="0" distL="0" distR="0">
            <wp:extent cx="5466736" cy="2733090"/>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470746" cy="2735095"/>
                    </a:xfrm>
                    <a:prstGeom prst="rect">
                      <a:avLst/>
                    </a:prstGeom>
                    <a:noFill/>
                    <a:ln w="9525">
                      <a:noFill/>
                      <a:miter lim="800000"/>
                      <a:headEnd/>
                      <a:tailEnd/>
                    </a:ln>
                  </pic:spPr>
                </pic:pic>
              </a:graphicData>
            </a:graphic>
          </wp:inline>
        </w:drawing>
      </w:r>
    </w:p>
    <w:p w:rsidR="003051FE" w:rsidRPr="004D78BD" w:rsidRDefault="003051FE" w:rsidP="003051FE">
      <w:pPr>
        <w:keepLines/>
        <w:spacing w:before="240" w:after="120"/>
        <w:jc w:val="center"/>
        <w:rPr>
          <w:rFonts w:eastAsia="MS Mincho"/>
          <w:b/>
          <w:color w:val="000000" w:themeColor="text1"/>
        </w:rPr>
      </w:pPr>
      <w:r w:rsidRPr="004D78BD">
        <w:rPr>
          <w:rFonts w:eastAsia="MS Mincho"/>
          <w:b/>
          <w:color w:val="000000" w:themeColor="text1"/>
        </w:rPr>
        <w:t xml:space="preserve">Figure 1 – Protocol alternatives for policy control interfaces (here: </w:t>
      </w:r>
      <w:proofErr w:type="spellStart"/>
      <w:r w:rsidRPr="004D78BD">
        <w:rPr>
          <w:rFonts w:eastAsia="MS Mincho"/>
          <w:b/>
          <w:i/>
          <w:color w:val="000000" w:themeColor="text1"/>
        </w:rPr>
        <w:t>Rw</w:t>
      </w:r>
      <w:proofErr w:type="spellEnd"/>
      <w:r w:rsidRPr="004D78BD">
        <w:rPr>
          <w:rFonts w:eastAsia="MS Mincho"/>
          <w:b/>
          <w:color w:val="000000" w:themeColor="text1"/>
        </w:rPr>
        <w:t xml:space="preserve"> from RACS)</w:t>
      </w:r>
    </w:p>
    <w:p w:rsidR="00371352" w:rsidRDefault="00371352" w:rsidP="00371352">
      <w:r>
        <w:t xml:space="preserve">The </w:t>
      </w:r>
      <w:proofErr w:type="spellStart"/>
      <w:r w:rsidRPr="00BA10D7">
        <w:rPr>
          <w:i/>
        </w:rPr>
        <w:t>Rw</w:t>
      </w:r>
      <w:proofErr w:type="spellEnd"/>
      <w:r>
        <w:t xml:space="preserve"> protocol alternatives should provide functional parity, i.e., any policy control application should not be dependent or limited by the selected protocol. However, the initial protocol design between all alternatives was not really equivalent, primarily due the different originating of each protocol (here: Diameter as an AAA related protocol</w:t>
      </w:r>
      <w:r>
        <w:rPr>
          <w:rStyle w:val="FootnoteReference"/>
        </w:rPr>
        <w:footnoteReference w:id="1"/>
      </w:r>
      <w:r>
        <w:t xml:space="preserve"> without any bearer scope; H.248 as a gateway control protocol with scope on network protocol stack of bearer traffic).</w:t>
      </w:r>
    </w:p>
    <w:p w:rsidR="00BA10D7" w:rsidRDefault="00BA10D7" w:rsidP="001B30B9">
      <w:r>
        <w:t xml:space="preserve">The Diameter </w:t>
      </w:r>
      <w:proofErr w:type="spellStart"/>
      <w:r w:rsidRPr="00BB754F">
        <w:rPr>
          <w:i/>
        </w:rPr>
        <w:t>Rw</w:t>
      </w:r>
      <w:proofErr w:type="spellEnd"/>
      <w:r>
        <w:t xml:space="preserve"> profile did consider (future) DPI policy rules from the beginning (see </w:t>
      </w:r>
      <w:r w:rsidRPr="00BA10D7">
        <w:rPr>
          <w:i/>
        </w:rPr>
        <w:t>Dynamic-Firewall-Working-Mode</w:t>
      </w:r>
      <w:r w:rsidRPr="00BA10D7">
        <w:t xml:space="preserve"> AVP</w:t>
      </w:r>
      <w:r>
        <w:t>)</w:t>
      </w:r>
      <w:r w:rsidR="0055147B">
        <w:rPr>
          <w:rStyle w:val="FootnoteReference"/>
        </w:rPr>
        <w:footnoteReference w:id="2"/>
      </w:r>
      <w:r w:rsidR="00BB754F">
        <w:t xml:space="preserve">, whereas the H.248 </w:t>
      </w:r>
      <w:proofErr w:type="spellStart"/>
      <w:r w:rsidR="00BB754F" w:rsidRPr="00733B02">
        <w:rPr>
          <w:i/>
        </w:rPr>
        <w:t>Rw</w:t>
      </w:r>
      <w:proofErr w:type="spellEnd"/>
      <w:r w:rsidR="00BB754F">
        <w:t xml:space="preserve"> profile did focus on the non-DPI policy rule part firstly (such as H.248.43 defined filter rules or H.248.53 traffic policing rules).</w:t>
      </w:r>
    </w:p>
    <w:p w:rsidR="004D78BD" w:rsidRDefault="000340CF" w:rsidP="001B30B9">
      <w:r>
        <w:t>An option for concrete DPI support in Diameter is the 3GPP defined PCC/</w:t>
      </w:r>
      <w:proofErr w:type="spellStart"/>
      <w:r>
        <w:t>QoS</w:t>
      </w:r>
      <w:proofErr w:type="spellEnd"/>
      <w:r>
        <w:t xml:space="preserve"> rule extensions for </w:t>
      </w:r>
      <w:r w:rsidRPr="0055147B">
        <w:rPr>
          <w:i/>
        </w:rPr>
        <w:t>application detection and control</w:t>
      </w:r>
      <w:r>
        <w:t xml:space="preserve"> (the “ADC rules”), as already elaborated in the 2012-02 meeting (see </w:t>
      </w:r>
      <w:r w:rsidRPr="009E1833">
        <w:rPr>
          <w:b/>
        </w:rPr>
        <w:t>AVD-4168</w:t>
      </w:r>
      <w:r>
        <w:t xml:space="preserve">). </w:t>
      </w:r>
    </w:p>
    <w:p w:rsidR="000340CF" w:rsidRDefault="000340CF" w:rsidP="001B30B9">
      <w:r>
        <w:t xml:space="preserve">Policy control alignment, with respect to a DPI capable </w:t>
      </w:r>
      <w:proofErr w:type="spellStart"/>
      <w:r w:rsidRPr="009E1833">
        <w:rPr>
          <w:i/>
        </w:rPr>
        <w:t>Rw</w:t>
      </w:r>
      <w:proofErr w:type="spellEnd"/>
      <w:r>
        <w:t xml:space="preserve">, could be for instance achieved by an H.248 </w:t>
      </w:r>
      <w:r w:rsidRPr="000340CF">
        <w:rPr>
          <w:rFonts w:eastAsia="MS Mincho"/>
          <w:i/>
        </w:rPr>
        <w:t>DPI policy rule emulation</w:t>
      </w:r>
      <w:r w:rsidRPr="00CD4CA3">
        <w:rPr>
          <w:rFonts w:eastAsia="MS Mincho"/>
        </w:rPr>
        <w:t xml:space="preserve"> </w:t>
      </w:r>
      <w:r>
        <w:rPr>
          <w:rFonts w:eastAsia="MS Mincho"/>
        </w:rPr>
        <w:t>p</w:t>
      </w:r>
      <w:r w:rsidRPr="00CD4CA3">
        <w:rPr>
          <w:rFonts w:eastAsia="MS Mincho"/>
        </w:rPr>
        <w:t>ackage</w:t>
      </w:r>
      <w:r>
        <w:rPr>
          <w:rFonts w:eastAsia="MS Mincho"/>
        </w:rPr>
        <w:t xml:space="preserve">, considering Diameter </w:t>
      </w:r>
      <w:proofErr w:type="spellStart"/>
      <w:r w:rsidRPr="000340CF">
        <w:rPr>
          <w:rFonts w:eastAsia="MS Mincho"/>
          <w:i/>
        </w:rPr>
        <w:t>Gx</w:t>
      </w:r>
      <w:proofErr w:type="spellEnd"/>
      <w:r>
        <w:rPr>
          <w:rFonts w:eastAsia="MS Mincho"/>
        </w:rPr>
        <w:t xml:space="preserve"> DPI support.</w:t>
      </w:r>
      <w:r>
        <w:t xml:space="preserve"> </w:t>
      </w:r>
    </w:p>
    <w:p w:rsidR="004D78BD" w:rsidRDefault="00536794" w:rsidP="001B30B9">
      <w:r>
        <w:t xml:space="preserve">Figure 2 indicates a typical use case for such an H.248 package: the operation of </w:t>
      </w:r>
      <w:r w:rsidRPr="00536794">
        <w:t>harmonized “policy control systems”</w:t>
      </w:r>
      <w:r>
        <w:t xml:space="preserve"> by service/network </w:t>
      </w:r>
      <w:proofErr w:type="gramStart"/>
      <w:r>
        <w:t>providers</w:t>
      </w:r>
      <w:proofErr w:type="gramEnd"/>
      <w:r>
        <w:t xml:space="preserve"> demands for aligned protocol solutions for policy control. </w:t>
      </w:r>
    </w:p>
    <w:p w:rsidR="007B35A2" w:rsidRPr="004D78BD" w:rsidRDefault="007B35A2" w:rsidP="007B35A2">
      <w:pPr>
        <w:keepNext/>
        <w:keepLines/>
        <w:spacing w:before="240" w:after="120"/>
        <w:jc w:val="center"/>
        <w:rPr>
          <w:rFonts w:eastAsia="SimSun"/>
        </w:rPr>
      </w:pPr>
      <w:r>
        <w:rPr>
          <w:rFonts w:eastAsia="SimSun"/>
          <w:noProof/>
          <w:lang w:val="en-US"/>
        </w:rPr>
        <w:lastRenderedPageBreak/>
        <w:drawing>
          <wp:inline distT="0" distB="0" distL="0" distR="0">
            <wp:extent cx="3466544" cy="3796146"/>
            <wp:effectExtent l="19050" t="0" r="556"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474955" cy="3805356"/>
                    </a:xfrm>
                    <a:prstGeom prst="rect">
                      <a:avLst/>
                    </a:prstGeom>
                    <a:noFill/>
                  </pic:spPr>
                </pic:pic>
              </a:graphicData>
            </a:graphic>
          </wp:inline>
        </w:drawing>
      </w:r>
    </w:p>
    <w:p w:rsidR="007B35A2" w:rsidRPr="004D78BD" w:rsidRDefault="007B35A2" w:rsidP="007B35A2">
      <w:pPr>
        <w:keepLines/>
        <w:spacing w:before="240" w:after="120"/>
        <w:jc w:val="center"/>
        <w:rPr>
          <w:rFonts w:eastAsia="MS Mincho"/>
          <w:b/>
          <w:color w:val="000000" w:themeColor="text1"/>
        </w:rPr>
      </w:pPr>
      <w:r w:rsidRPr="004D78BD">
        <w:rPr>
          <w:rFonts w:eastAsia="MS Mincho"/>
          <w:b/>
          <w:color w:val="000000" w:themeColor="text1"/>
        </w:rPr>
        <w:t xml:space="preserve">Figure </w:t>
      </w:r>
      <w:r>
        <w:rPr>
          <w:rFonts w:eastAsia="MS Mincho"/>
          <w:b/>
          <w:color w:val="000000" w:themeColor="text1"/>
        </w:rPr>
        <w:t>2</w:t>
      </w:r>
      <w:r w:rsidRPr="004D78BD">
        <w:rPr>
          <w:rFonts w:eastAsia="MS Mincho"/>
          <w:b/>
          <w:color w:val="000000" w:themeColor="text1"/>
        </w:rPr>
        <w:t xml:space="preserve"> – </w:t>
      </w:r>
      <w:r>
        <w:rPr>
          <w:rFonts w:eastAsia="MS Mincho"/>
          <w:b/>
          <w:color w:val="000000" w:themeColor="text1"/>
        </w:rPr>
        <w:t>Chain of vertical policy control interfaces – Need for protocol alignment in case of harmonized “policy control systems” (such as defined by ETSI, ITU-T, 3GPP or MSF)</w:t>
      </w:r>
    </w:p>
    <w:p w:rsidR="007B35A2" w:rsidRDefault="009E1833" w:rsidP="001B30B9">
      <w:r>
        <w:t xml:space="preserve">It may be noticed that the session-based policy decision function (SPDF in Fig. 2) provides a mapping between received policy rules from the vertical northbound interface to the pushed/pulled policy rules at the southbound interface. Such a rule mapping may imply a protocol mapping between </w:t>
      </w:r>
      <w:proofErr w:type="gramStart"/>
      <w:r>
        <w:t>Diameter</w:t>
      </w:r>
      <w:proofErr w:type="gramEnd"/>
      <w:r>
        <w:t xml:space="preserve"> to H.248.</w:t>
      </w:r>
    </w:p>
    <w:p w:rsidR="0091291C" w:rsidRDefault="0091291C" w:rsidP="001B30B9">
      <w:r>
        <w:t>Protocol alignment might be achieved by e.g. an emulation approach: the H.248 protocol emulates Diameter (</w:t>
      </w:r>
      <w:proofErr w:type="gramStart"/>
      <w:r>
        <w:t>to a</w:t>
      </w:r>
      <w:proofErr w:type="gramEnd"/>
      <w:r>
        <w:t xml:space="preserve"> certain extend) in order to simply and minimize any (additional) mapping effort (here: by SPDF).</w:t>
      </w:r>
    </w:p>
    <w:p w:rsidR="007B35A2" w:rsidRDefault="0091291C" w:rsidP="001B30B9">
      <w:pPr>
        <w:rPr>
          <w:rFonts w:eastAsia="MS Mincho"/>
        </w:rPr>
      </w:pPr>
      <w:r>
        <w:rPr>
          <w:rFonts w:eastAsia="MS Mincho"/>
        </w:rPr>
        <w:t xml:space="preserve">A H.248 </w:t>
      </w:r>
      <w:r w:rsidRPr="00CD4CA3">
        <w:rPr>
          <w:rFonts w:eastAsia="MS Mincho"/>
        </w:rPr>
        <w:t xml:space="preserve">DPI </w:t>
      </w:r>
      <w:r>
        <w:rPr>
          <w:rFonts w:eastAsia="MS Mincho"/>
        </w:rPr>
        <w:t>p</w:t>
      </w:r>
      <w:r w:rsidRPr="00CD4CA3">
        <w:rPr>
          <w:rFonts w:eastAsia="MS Mincho"/>
        </w:rPr>
        <w:t xml:space="preserve">olicy </w:t>
      </w:r>
      <w:r>
        <w:rPr>
          <w:rFonts w:eastAsia="MS Mincho"/>
        </w:rPr>
        <w:t>r</w:t>
      </w:r>
      <w:r w:rsidRPr="00CD4CA3">
        <w:rPr>
          <w:rFonts w:eastAsia="MS Mincho"/>
        </w:rPr>
        <w:t xml:space="preserve">ule </w:t>
      </w:r>
      <w:r>
        <w:rPr>
          <w:rFonts w:eastAsia="MS Mincho"/>
        </w:rPr>
        <w:t>e</w:t>
      </w:r>
      <w:r w:rsidRPr="00CD4CA3">
        <w:rPr>
          <w:rFonts w:eastAsia="MS Mincho"/>
        </w:rPr>
        <w:t xml:space="preserve">mulation </w:t>
      </w:r>
      <w:r>
        <w:rPr>
          <w:rFonts w:eastAsia="MS Mincho"/>
        </w:rPr>
        <w:t>p</w:t>
      </w:r>
      <w:r w:rsidRPr="00CD4CA3">
        <w:rPr>
          <w:rFonts w:eastAsia="MS Mincho"/>
        </w:rPr>
        <w:t>ackage</w:t>
      </w:r>
      <w:r>
        <w:rPr>
          <w:rFonts w:eastAsia="MS Mincho"/>
        </w:rPr>
        <w:t xml:space="preserve"> would have to provide a signalling object for a DPI policy rule, similar to a correspondent signalling object from Diameter.</w:t>
      </w:r>
    </w:p>
    <w:p w:rsidR="004D78BD" w:rsidRDefault="00536794" w:rsidP="004D78BD">
      <w:pPr>
        <w:pStyle w:val="Headingb"/>
      </w:pPr>
      <w:r>
        <w:t xml:space="preserve">H.248 package design – </w:t>
      </w:r>
      <w:r w:rsidR="004D78BD">
        <w:t>Discussion</w:t>
      </w:r>
    </w:p>
    <w:p w:rsidR="004D78BD" w:rsidRDefault="00435A1E" w:rsidP="001B30B9">
      <w:r>
        <w:t xml:space="preserve">The Diameter signalling object of a so called ADC rule is attached to this contribution. The rule structure as such was already evaluated by AVD-4168. It contains primarily a set of possible rule actions, without any </w:t>
      </w:r>
      <w:r w:rsidR="00B15605">
        <w:t xml:space="preserve">support of </w:t>
      </w:r>
      <w:r>
        <w:t>explicit rule conditions</w:t>
      </w:r>
      <w:r w:rsidR="00B15605">
        <w:t>, which are referred by a pointer mechanism.</w:t>
      </w:r>
    </w:p>
    <w:p w:rsidR="00B15605" w:rsidRDefault="00B15605" w:rsidP="001B30B9">
      <w:r>
        <w:t xml:space="preserve">There are at least two basic package design options: using H.248 </w:t>
      </w:r>
      <w:r w:rsidRPr="00B15605">
        <w:rPr>
          <w:i/>
        </w:rPr>
        <w:t>Properties</w:t>
      </w:r>
      <w:r>
        <w:t xml:space="preserve"> per signalling </w:t>
      </w:r>
      <w:r w:rsidR="006A23E0">
        <w:t xml:space="preserve">information </w:t>
      </w:r>
      <w:r>
        <w:t xml:space="preserve">element; or using H.248 </w:t>
      </w:r>
      <w:r w:rsidRPr="00B15605">
        <w:rPr>
          <w:i/>
        </w:rPr>
        <w:t>Events</w:t>
      </w:r>
      <w:r>
        <w:t xml:space="preserve"> (or </w:t>
      </w:r>
      <w:r w:rsidRPr="00B15605">
        <w:rPr>
          <w:i/>
        </w:rPr>
        <w:t>Signals</w:t>
      </w:r>
      <w:r>
        <w:t>?)</w:t>
      </w:r>
      <w:r>
        <w:rPr>
          <w:rStyle w:val="FootnoteReference"/>
        </w:rPr>
        <w:footnoteReference w:id="3"/>
      </w:r>
      <w:r>
        <w:t>. We’ve selected the Event type of package, mainly due to following two aspects:</w:t>
      </w:r>
    </w:p>
    <w:p w:rsidR="00B15605" w:rsidRDefault="00B15605" w:rsidP="00B15605">
      <w:pPr>
        <w:pStyle w:val="ListParagraph"/>
        <w:numPr>
          <w:ilvl w:val="0"/>
          <w:numId w:val="12"/>
        </w:numPr>
      </w:pPr>
      <w:r w:rsidRPr="00B15605">
        <w:rPr>
          <w:i/>
        </w:rPr>
        <w:t>Events</w:t>
      </w:r>
      <w:r>
        <w:t xml:space="preserve"> define </w:t>
      </w:r>
      <w:r w:rsidRPr="00B15605">
        <w:rPr>
          <w:i/>
        </w:rPr>
        <w:t>conditions</w:t>
      </w:r>
      <w:r>
        <w:t xml:space="preserve"> for traffic detection</w:t>
      </w:r>
      <w:r w:rsidR="006A23E0">
        <w:t xml:space="preserve"> in general</w:t>
      </w:r>
      <w:r>
        <w:t xml:space="preserve">, - and </w:t>
      </w:r>
      <w:r w:rsidRPr="00B15605">
        <w:rPr>
          <w:i/>
        </w:rPr>
        <w:t>policy rule conditions</w:t>
      </w:r>
      <w:r>
        <w:t xml:space="preserve"> would exactly match </w:t>
      </w:r>
      <w:r w:rsidR="006A23E0">
        <w:t xml:space="preserve">that </w:t>
      </w:r>
      <w:r>
        <w:t>aspect; and</w:t>
      </w:r>
    </w:p>
    <w:p w:rsidR="00B15605" w:rsidRDefault="00B15605" w:rsidP="00B15605">
      <w:pPr>
        <w:pStyle w:val="ListParagraph"/>
        <w:numPr>
          <w:ilvl w:val="0"/>
          <w:numId w:val="12"/>
        </w:numPr>
      </w:pPr>
      <w:proofErr w:type="gramStart"/>
      <w:r>
        <w:lastRenderedPageBreak/>
        <w:t>the</w:t>
      </w:r>
      <w:proofErr w:type="gramEnd"/>
      <w:r>
        <w:t xml:space="preserve"> </w:t>
      </w:r>
      <w:proofErr w:type="spellStart"/>
      <w:r w:rsidRPr="00B15605">
        <w:rPr>
          <w:rFonts w:eastAsia="MS Mincho"/>
          <w:i/>
        </w:rPr>
        <w:t>ObservedEventsDescriptor</w:t>
      </w:r>
      <w:proofErr w:type="spellEnd"/>
      <w:r>
        <w:rPr>
          <w:rFonts w:eastAsia="MS Mincho"/>
        </w:rPr>
        <w:t xml:space="preserve"> could be a means for </w:t>
      </w:r>
      <w:r w:rsidR="006A23E0">
        <w:rPr>
          <w:rFonts w:eastAsia="MS Mincho"/>
        </w:rPr>
        <w:t>directly binding</w:t>
      </w:r>
      <w:r>
        <w:rPr>
          <w:rFonts w:eastAsia="MS Mincho"/>
        </w:rPr>
        <w:t xml:space="preserve"> actions to the rule conditions.</w:t>
      </w:r>
    </w:p>
    <w:p w:rsidR="006D6332" w:rsidRDefault="00B15605" w:rsidP="006D6332">
      <w:r>
        <w:t xml:space="preserve">Table 1 provides </w:t>
      </w:r>
      <w:proofErr w:type="gramStart"/>
      <w:r>
        <w:t>an</w:t>
      </w:r>
      <w:proofErr w:type="gramEnd"/>
      <w:r>
        <w:t xml:space="preserve"> high level mapping example </w:t>
      </w:r>
      <w:r w:rsidRPr="00B15605">
        <w:t xml:space="preserve">between </w:t>
      </w:r>
      <w:r>
        <w:t xml:space="preserve">a </w:t>
      </w:r>
      <w:r w:rsidRPr="00B15605">
        <w:t>Diameter ADC policy rule to H.248</w:t>
      </w:r>
      <w:r>
        <w:t>, using an Event-based package design:</w:t>
      </w:r>
    </w:p>
    <w:p w:rsidR="006D6332" w:rsidRPr="00440555" w:rsidRDefault="006D6332" w:rsidP="006D6332">
      <w:pPr>
        <w:keepNext/>
        <w:keepLines/>
        <w:spacing w:before="360" w:after="120"/>
        <w:jc w:val="center"/>
        <w:rPr>
          <w:rFonts w:eastAsia="MS Mincho"/>
          <w:b/>
        </w:rPr>
      </w:pPr>
      <w:r w:rsidRPr="00440555">
        <w:rPr>
          <w:rFonts w:eastAsia="MS Mincho"/>
          <w:b/>
        </w:rPr>
        <w:t>Table 1 –</w:t>
      </w:r>
      <w:r>
        <w:rPr>
          <w:rFonts w:eastAsia="MS Mincho"/>
          <w:b/>
        </w:rPr>
        <w:t xml:space="preserve"> Mapping option between Diameter ADC policy rule to H.248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736"/>
        <w:gridCol w:w="3057"/>
        <w:gridCol w:w="3602"/>
      </w:tblGrid>
      <w:tr w:rsidR="006D6332" w:rsidRPr="00440555" w:rsidTr="00407804">
        <w:trPr>
          <w:tblHeader/>
          <w:jc w:val="center"/>
        </w:trPr>
        <w:tc>
          <w:tcPr>
            <w:tcW w:w="2736" w:type="dxa"/>
            <w:tcBorders>
              <w:bottom w:val="single" w:sz="4" w:space="0" w:color="auto"/>
            </w:tcBorders>
            <w:shd w:val="clear" w:color="auto" w:fill="F3F3F3"/>
            <w:vAlign w:val="center"/>
          </w:tcPr>
          <w:p w:rsidR="006D6332" w:rsidRPr="00440555" w:rsidRDefault="006D6332" w:rsidP="00407804">
            <w:pPr>
              <w:pStyle w:val="Tablehead"/>
              <w:keepLines/>
              <w:rPr>
                <w:rFonts w:eastAsia="MS Mincho"/>
              </w:rPr>
            </w:pPr>
            <w:r w:rsidRPr="00440555">
              <w:rPr>
                <w:rFonts w:eastAsia="MS Mincho"/>
              </w:rPr>
              <w:t>ADC-Rule-Definition AVP</w:t>
            </w:r>
          </w:p>
        </w:tc>
        <w:tc>
          <w:tcPr>
            <w:tcW w:w="3057" w:type="dxa"/>
            <w:tcBorders>
              <w:bottom w:val="single" w:sz="4" w:space="0" w:color="auto"/>
            </w:tcBorders>
            <w:shd w:val="clear" w:color="auto" w:fill="F3F3F3"/>
            <w:vAlign w:val="center"/>
          </w:tcPr>
          <w:p w:rsidR="006D6332" w:rsidRPr="00440555" w:rsidRDefault="006D6332" w:rsidP="00407804">
            <w:pPr>
              <w:pStyle w:val="Tablehead"/>
              <w:keepLines/>
              <w:rPr>
                <w:rFonts w:eastAsia="MS Mincho"/>
              </w:rPr>
            </w:pPr>
            <w:r>
              <w:rPr>
                <w:rFonts w:eastAsia="MS Mincho"/>
              </w:rPr>
              <w:t>Generic information element</w:t>
            </w:r>
          </w:p>
        </w:tc>
        <w:tc>
          <w:tcPr>
            <w:tcW w:w="3602" w:type="dxa"/>
            <w:tcBorders>
              <w:bottom w:val="single" w:sz="4" w:space="0" w:color="auto"/>
            </w:tcBorders>
            <w:shd w:val="clear" w:color="auto" w:fill="F3F3F3"/>
            <w:vAlign w:val="center"/>
          </w:tcPr>
          <w:p w:rsidR="006D6332" w:rsidRPr="00440555" w:rsidRDefault="006D6332" w:rsidP="00407804">
            <w:pPr>
              <w:pStyle w:val="Tablehead"/>
              <w:keepLines/>
              <w:rPr>
                <w:rFonts w:eastAsia="MS Mincho"/>
              </w:rPr>
            </w:pPr>
            <w:r w:rsidRPr="00440555">
              <w:rPr>
                <w:rFonts w:eastAsia="MS Mincho"/>
              </w:rPr>
              <w:t>H.248</w:t>
            </w:r>
            <w:r>
              <w:rPr>
                <w:rFonts w:eastAsia="MS Mincho"/>
              </w:rPr>
              <w:t xml:space="preserve"> package design</w:t>
            </w:r>
          </w:p>
        </w:tc>
      </w:tr>
      <w:tr w:rsidR="006D6332" w:rsidRPr="00440555" w:rsidTr="00407804">
        <w:trPr>
          <w:tblHeader/>
          <w:jc w:val="center"/>
        </w:trPr>
        <w:tc>
          <w:tcPr>
            <w:tcW w:w="2736" w:type="dxa"/>
            <w:shd w:val="clear" w:color="auto" w:fill="FFFFFF"/>
          </w:tcPr>
          <w:p w:rsidR="006D6332" w:rsidRPr="00440555" w:rsidRDefault="006D6332" w:rsidP="00407804">
            <w:pPr>
              <w:pStyle w:val="Tabletext"/>
              <w:keepNext/>
              <w:keepLines/>
              <w:rPr>
                <w:rFonts w:eastAsia="MS Mincho"/>
              </w:rPr>
            </w:pPr>
            <w:r w:rsidRPr="00440555">
              <w:rPr>
                <w:rFonts w:eastAsia="MS Mincho"/>
              </w:rPr>
              <w:t>ADC-Rule-Name</w:t>
            </w:r>
          </w:p>
        </w:tc>
        <w:tc>
          <w:tcPr>
            <w:tcW w:w="3057" w:type="dxa"/>
            <w:shd w:val="clear" w:color="auto" w:fill="FFFFFF"/>
          </w:tcPr>
          <w:p w:rsidR="006D6332" w:rsidRPr="00440555" w:rsidRDefault="006D6332" w:rsidP="00407804">
            <w:pPr>
              <w:pStyle w:val="Tabletext"/>
              <w:keepNext/>
              <w:keepLines/>
              <w:rPr>
                <w:rFonts w:eastAsia="MS Mincho"/>
              </w:rPr>
            </w:pPr>
            <w:r>
              <w:rPr>
                <w:rFonts w:eastAsia="MS Mincho"/>
              </w:rPr>
              <w:t>Name of DPI policy rule</w:t>
            </w:r>
          </w:p>
        </w:tc>
        <w:tc>
          <w:tcPr>
            <w:tcW w:w="3602" w:type="dxa"/>
            <w:shd w:val="clear" w:color="auto" w:fill="FFFFFF"/>
          </w:tcPr>
          <w:p w:rsidR="006D6332" w:rsidRPr="00440555" w:rsidRDefault="006D6332" w:rsidP="00407804">
            <w:pPr>
              <w:pStyle w:val="Tabletext"/>
              <w:keepNext/>
              <w:keepLines/>
              <w:rPr>
                <w:rFonts w:eastAsia="MS Mincho"/>
              </w:rPr>
            </w:pPr>
            <w:r>
              <w:rPr>
                <w:rFonts w:eastAsia="MS Mincho"/>
              </w:rPr>
              <w:t>Event name</w:t>
            </w:r>
          </w:p>
        </w:tc>
      </w:tr>
      <w:tr w:rsidR="006D6332" w:rsidRPr="00440555" w:rsidTr="00407804">
        <w:trPr>
          <w:tblHeader/>
          <w:jc w:val="center"/>
        </w:trPr>
        <w:tc>
          <w:tcPr>
            <w:tcW w:w="2736" w:type="dxa"/>
            <w:shd w:val="clear" w:color="auto" w:fill="FFFFFF"/>
          </w:tcPr>
          <w:p w:rsidR="006D6332" w:rsidRPr="00440555" w:rsidRDefault="006D6332" w:rsidP="00407804">
            <w:pPr>
              <w:pStyle w:val="Tabletext"/>
              <w:keepNext/>
              <w:keepLines/>
              <w:rPr>
                <w:rFonts w:eastAsia="MS Mincho"/>
              </w:rPr>
            </w:pPr>
            <w:r w:rsidRPr="00440555">
              <w:rPr>
                <w:rFonts w:eastAsia="MS Mincho"/>
              </w:rPr>
              <w:t>TDF-Application-Identifier</w:t>
            </w:r>
          </w:p>
        </w:tc>
        <w:tc>
          <w:tcPr>
            <w:tcW w:w="3057" w:type="dxa"/>
            <w:shd w:val="clear" w:color="auto" w:fill="FFFFFF"/>
          </w:tcPr>
          <w:p w:rsidR="006D6332" w:rsidRDefault="006D6332" w:rsidP="00407804">
            <w:pPr>
              <w:pStyle w:val="Tabletext"/>
              <w:keepNext/>
              <w:keepLines/>
              <w:rPr>
                <w:rFonts w:eastAsia="MS Mincho"/>
              </w:rPr>
            </w:pPr>
            <w:r w:rsidRPr="00440555">
              <w:rPr>
                <w:rFonts w:eastAsia="MS Mincho"/>
              </w:rPr>
              <w:t xml:space="preserve">Pointer to </w:t>
            </w:r>
            <w:r>
              <w:rPr>
                <w:rFonts w:eastAsia="MS Mincho"/>
              </w:rPr>
              <w:t xml:space="preserve">actual </w:t>
            </w:r>
            <w:r w:rsidRPr="00440555">
              <w:rPr>
                <w:rFonts w:eastAsia="MS Mincho"/>
              </w:rPr>
              <w:t>rule conditions</w:t>
            </w:r>
          </w:p>
        </w:tc>
        <w:tc>
          <w:tcPr>
            <w:tcW w:w="3602" w:type="dxa"/>
            <w:shd w:val="clear" w:color="auto" w:fill="FFFFFF"/>
          </w:tcPr>
          <w:p w:rsidR="006D6332" w:rsidRDefault="006D6332" w:rsidP="00407804">
            <w:pPr>
              <w:pStyle w:val="Tabletext"/>
              <w:keepNext/>
              <w:keepLines/>
              <w:rPr>
                <w:rFonts w:eastAsia="MS Mincho"/>
              </w:rPr>
            </w:pPr>
            <w:proofErr w:type="spellStart"/>
            <w:r>
              <w:rPr>
                <w:rFonts w:eastAsia="MS Mincho"/>
              </w:rPr>
              <w:t>EventsDescriptor</w:t>
            </w:r>
            <w:proofErr w:type="spellEnd"/>
            <w:r>
              <w:rPr>
                <w:rFonts w:eastAsia="MS Mincho"/>
              </w:rPr>
              <w:t xml:space="preserve"> parameter </w:t>
            </w:r>
            <w:r w:rsidR="00EF5A4E">
              <w:rPr>
                <w:rFonts w:eastAsia="MS Mincho"/>
              </w:rPr>
              <w:br/>
            </w:r>
            <w:r>
              <w:rPr>
                <w:rFonts w:eastAsia="MS Mincho"/>
              </w:rPr>
              <w:t>(NOTE 1)</w:t>
            </w:r>
          </w:p>
        </w:tc>
      </w:tr>
      <w:tr w:rsidR="006D6332" w:rsidRPr="00440555" w:rsidTr="00407804">
        <w:trPr>
          <w:tblHeader/>
          <w:jc w:val="center"/>
        </w:trPr>
        <w:tc>
          <w:tcPr>
            <w:tcW w:w="2736" w:type="dxa"/>
            <w:shd w:val="clear" w:color="auto" w:fill="FFFFFF"/>
          </w:tcPr>
          <w:p w:rsidR="006D6332" w:rsidRPr="00440555" w:rsidRDefault="006D6332" w:rsidP="00407804">
            <w:pPr>
              <w:pStyle w:val="Tabletext"/>
              <w:keepNext/>
              <w:keepLines/>
              <w:rPr>
                <w:rFonts w:eastAsia="MS Mincho"/>
              </w:rPr>
            </w:pPr>
            <w:r w:rsidRPr="00440555">
              <w:rPr>
                <w:rFonts w:eastAsia="MS Mincho"/>
              </w:rPr>
              <w:t>Flow-Status</w:t>
            </w:r>
          </w:p>
        </w:tc>
        <w:tc>
          <w:tcPr>
            <w:tcW w:w="3057" w:type="dxa"/>
            <w:shd w:val="clear" w:color="auto" w:fill="FFFFFF"/>
          </w:tcPr>
          <w:p w:rsidR="006D6332" w:rsidRDefault="006D6332" w:rsidP="00407804">
            <w:pPr>
              <w:pStyle w:val="Tabletext"/>
              <w:keepNext/>
              <w:keepLines/>
              <w:rPr>
                <w:rFonts w:eastAsia="MS Mincho"/>
              </w:rPr>
            </w:pPr>
            <w:r>
              <w:rPr>
                <w:rFonts w:eastAsia="MS Mincho"/>
              </w:rPr>
              <w:t>Policy rule action related to gate control (NOTE 2)</w:t>
            </w:r>
          </w:p>
        </w:tc>
        <w:tc>
          <w:tcPr>
            <w:tcW w:w="3602" w:type="dxa"/>
            <w:shd w:val="clear" w:color="auto" w:fill="FFFFFF"/>
          </w:tcPr>
          <w:p w:rsidR="006D6332" w:rsidRDefault="006D6332" w:rsidP="00407804">
            <w:pPr>
              <w:pStyle w:val="Tabletext"/>
              <w:keepNext/>
              <w:keepLines/>
              <w:rPr>
                <w:rFonts w:eastAsia="MS Mincho"/>
              </w:rPr>
            </w:pPr>
            <w:r>
              <w:rPr>
                <w:rFonts w:eastAsia="MS Mincho"/>
              </w:rPr>
              <w:t>e.g., embedded Signal</w:t>
            </w:r>
          </w:p>
        </w:tc>
      </w:tr>
      <w:tr w:rsidR="006D6332" w:rsidRPr="00440555" w:rsidTr="00407804">
        <w:trPr>
          <w:tblHeader/>
          <w:jc w:val="center"/>
        </w:trPr>
        <w:tc>
          <w:tcPr>
            <w:tcW w:w="2736" w:type="dxa"/>
            <w:shd w:val="clear" w:color="auto" w:fill="FFFFFF"/>
          </w:tcPr>
          <w:p w:rsidR="006D6332" w:rsidRPr="00440555" w:rsidRDefault="006D6332" w:rsidP="00407804">
            <w:pPr>
              <w:pStyle w:val="Tabletext"/>
              <w:keepNext/>
              <w:keepLines/>
              <w:rPr>
                <w:rFonts w:eastAsia="MS Mincho"/>
              </w:rPr>
            </w:pPr>
            <w:proofErr w:type="spellStart"/>
            <w:r w:rsidRPr="00440555">
              <w:rPr>
                <w:rFonts w:eastAsia="MS Mincho"/>
              </w:rPr>
              <w:t>QoS</w:t>
            </w:r>
            <w:proofErr w:type="spellEnd"/>
            <w:r w:rsidRPr="00440555">
              <w:rPr>
                <w:rFonts w:eastAsia="MS Mincho"/>
              </w:rPr>
              <w:t>-Information</w:t>
            </w:r>
          </w:p>
        </w:tc>
        <w:tc>
          <w:tcPr>
            <w:tcW w:w="3057" w:type="dxa"/>
            <w:shd w:val="clear" w:color="auto" w:fill="FFFFFF"/>
          </w:tcPr>
          <w:p w:rsidR="006D6332" w:rsidRDefault="006D6332" w:rsidP="00407804">
            <w:pPr>
              <w:pStyle w:val="Tabletext"/>
              <w:keepNext/>
              <w:keepLines/>
              <w:rPr>
                <w:rFonts w:eastAsia="MS Mincho"/>
              </w:rPr>
            </w:pPr>
            <w:r>
              <w:rPr>
                <w:rFonts w:eastAsia="MS Mincho"/>
              </w:rPr>
              <w:t>Policy rule action related to traffic policing (NOTE 3)</w:t>
            </w:r>
          </w:p>
        </w:tc>
        <w:tc>
          <w:tcPr>
            <w:tcW w:w="3602" w:type="dxa"/>
            <w:shd w:val="clear" w:color="auto" w:fill="FFFFFF"/>
          </w:tcPr>
          <w:p w:rsidR="006D6332" w:rsidRDefault="006D6332" w:rsidP="00407804">
            <w:pPr>
              <w:pStyle w:val="Tabletext"/>
              <w:keepNext/>
              <w:keepLines/>
              <w:rPr>
                <w:rFonts w:eastAsia="MS Mincho"/>
              </w:rPr>
            </w:pPr>
            <w:r>
              <w:rPr>
                <w:rFonts w:eastAsia="MS Mincho"/>
              </w:rPr>
              <w:t>e.g., embedded Signal</w:t>
            </w:r>
          </w:p>
        </w:tc>
      </w:tr>
      <w:tr w:rsidR="006D6332" w:rsidRPr="00440555" w:rsidTr="00407804">
        <w:trPr>
          <w:tblHeader/>
          <w:jc w:val="center"/>
        </w:trPr>
        <w:tc>
          <w:tcPr>
            <w:tcW w:w="2736" w:type="dxa"/>
            <w:shd w:val="clear" w:color="auto" w:fill="FFFFFF"/>
          </w:tcPr>
          <w:p w:rsidR="006D6332" w:rsidRPr="00440555" w:rsidRDefault="006D6332" w:rsidP="00407804">
            <w:pPr>
              <w:pStyle w:val="Tabletext"/>
              <w:keepNext/>
              <w:keepLines/>
              <w:rPr>
                <w:rFonts w:eastAsia="MS Mincho"/>
              </w:rPr>
            </w:pPr>
            <w:r w:rsidRPr="00440555">
              <w:rPr>
                <w:rFonts w:eastAsia="MS Mincho"/>
              </w:rPr>
              <w:t>Monitoring-Key</w:t>
            </w:r>
          </w:p>
        </w:tc>
        <w:tc>
          <w:tcPr>
            <w:tcW w:w="3057" w:type="dxa"/>
            <w:shd w:val="clear" w:color="auto" w:fill="FFFFFF"/>
          </w:tcPr>
          <w:p w:rsidR="006D6332" w:rsidRDefault="006D6332" w:rsidP="00407804">
            <w:pPr>
              <w:pStyle w:val="Tabletext"/>
              <w:keepNext/>
              <w:keepLines/>
              <w:rPr>
                <w:rFonts w:eastAsia="MS Mincho"/>
              </w:rPr>
            </w:pPr>
            <w:r>
              <w:rPr>
                <w:rFonts w:eastAsia="MS Mincho"/>
              </w:rPr>
              <w:t>Identifier for policy rule actions, related to usage parameter control across an aggregated traffic structure</w:t>
            </w:r>
          </w:p>
        </w:tc>
        <w:tc>
          <w:tcPr>
            <w:tcW w:w="3602" w:type="dxa"/>
            <w:shd w:val="clear" w:color="auto" w:fill="FFFFFF"/>
          </w:tcPr>
          <w:p w:rsidR="006D6332" w:rsidRDefault="006D6332" w:rsidP="00407804">
            <w:pPr>
              <w:pStyle w:val="Tabletext"/>
              <w:keepNext/>
              <w:keepLines/>
              <w:rPr>
                <w:rFonts w:eastAsia="MS Mincho"/>
              </w:rPr>
            </w:pPr>
            <w:proofErr w:type="spellStart"/>
            <w:r>
              <w:rPr>
                <w:rFonts w:eastAsia="MS Mincho"/>
              </w:rPr>
              <w:t>EventsDescriptor</w:t>
            </w:r>
            <w:proofErr w:type="spellEnd"/>
            <w:r>
              <w:rPr>
                <w:rFonts w:eastAsia="MS Mincho"/>
              </w:rPr>
              <w:t xml:space="preserve"> parameter </w:t>
            </w:r>
            <w:r w:rsidR="00EF5A4E">
              <w:rPr>
                <w:rFonts w:eastAsia="MS Mincho"/>
              </w:rPr>
              <w:br/>
            </w:r>
            <w:r>
              <w:rPr>
                <w:rFonts w:eastAsia="MS Mincho"/>
              </w:rPr>
              <w:t>(NOTE 4)</w:t>
            </w:r>
          </w:p>
        </w:tc>
      </w:tr>
      <w:tr w:rsidR="006D6332" w:rsidRPr="00440555" w:rsidTr="00407804">
        <w:trPr>
          <w:tblHeader/>
          <w:jc w:val="center"/>
        </w:trPr>
        <w:tc>
          <w:tcPr>
            <w:tcW w:w="2736" w:type="dxa"/>
            <w:shd w:val="clear" w:color="auto" w:fill="FFFFFF"/>
          </w:tcPr>
          <w:p w:rsidR="006D6332" w:rsidRPr="00440555" w:rsidRDefault="006D6332" w:rsidP="00407804">
            <w:pPr>
              <w:pStyle w:val="Tabletext"/>
              <w:keepNext/>
              <w:keepLines/>
              <w:rPr>
                <w:rFonts w:eastAsia="MS Mincho"/>
              </w:rPr>
            </w:pPr>
            <w:r w:rsidRPr="00440555">
              <w:rPr>
                <w:rFonts w:eastAsia="MS Mincho"/>
              </w:rPr>
              <w:t>Redirect-Information</w:t>
            </w:r>
          </w:p>
        </w:tc>
        <w:tc>
          <w:tcPr>
            <w:tcW w:w="3057" w:type="dxa"/>
            <w:shd w:val="clear" w:color="auto" w:fill="FFFFFF"/>
          </w:tcPr>
          <w:p w:rsidR="006D6332" w:rsidRDefault="006D6332" w:rsidP="00407804">
            <w:pPr>
              <w:pStyle w:val="Tabletext"/>
              <w:keepNext/>
              <w:keepLines/>
              <w:rPr>
                <w:rFonts w:eastAsia="MS Mincho"/>
              </w:rPr>
            </w:pPr>
            <w:r>
              <w:rPr>
                <w:rFonts w:eastAsia="MS Mincho"/>
              </w:rPr>
              <w:t xml:space="preserve">Policy rule action related to traffic redirection </w:t>
            </w:r>
          </w:p>
        </w:tc>
        <w:tc>
          <w:tcPr>
            <w:tcW w:w="3602" w:type="dxa"/>
            <w:shd w:val="clear" w:color="auto" w:fill="FFFFFF"/>
          </w:tcPr>
          <w:p w:rsidR="006D6332" w:rsidRDefault="006D6332" w:rsidP="00407804">
            <w:pPr>
              <w:pStyle w:val="Tabletext"/>
              <w:keepNext/>
              <w:keepLines/>
              <w:rPr>
                <w:rFonts w:eastAsia="MS Mincho"/>
              </w:rPr>
            </w:pPr>
            <w:proofErr w:type="spellStart"/>
            <w:r>
              <w:rPr>
                <w:rFonts w:eastAsia="MS Mincho"/>
              </w:rPr>
              <w:t>EventsDescriptor</w:t>
            </w:r>
            <w:proofErr w:type="spellEnd"/>
            <w:r>
              <w:rPr>
                <w:rFonts w:eastAsia="MS Mincho"/>
              </w:rPr>
              <w:t xml:space="preserve"> parameter </w:t>
            </w:r>
            <w:r w:rsidR="00EF5A4E">
              <w:rPr>
                <w:rFonts w:eastAsia="MS Mincho"/>
              </w:rPr>
              <w:br/>
            </w:r>
            <w:r>
              <w:rPr>
                <w:rFonts w:eastAsia="MS Mincho"/>
              </w:rPr>
              <w:t>(NOTE 5)</w:t>
            </w:r>
          </w:p>
        </w:tc>
      </w:tr>
      <w:tr w:rsidR="006D6332" w:rsidRPr="00440555" w:rsidTr="00407804">
        <w:trPr>
          <w:tblHeader/>
          <w:jc w:val="center"/>
        </w:trPr>
        <w:tc>
          <w:tcPr>
            <w:tcW w:w="2736" w:type="dxa"/>
            <w:shd w:val="clear" w:color="auto" w:fill="FFFFFF"/>
          </w:tcPr>
          <w:p w:rsidR="006D6332" w:rsidRPr="00440555" w:rsidRDefault="006D6332" w:rsidP="00407804">
            <w:pPr>
              <w:pStyle w:val="Tabletext"/>
              <w:keepNext/>
              <w:keepLines/>
              <w:jc w:val="center"/>
              <w:rPr>
                <w:rFonts w:eastAsia="MS Mincho"/>
              </w:rPr>
            </w:pPr>
            <w:r>
              <w:rPr>
                <w:rFonts w:eastAsia="MS Mincho"/>
              </w:rPr>
              <w:t>—</w:t>
            </w:r>
          </w:p>
        </w:tc>
        <w:tc>
          <w:tcPr>
            <w:tcW w:w="3057" w:type="dxa"/>
            <w:shd w:val="clear" w:color="auto" w:fill="FFFFFF"/>
          </w:tcPr>
          <w:p w:rsidR="006D6332" w:rsidRDefault="006D6332" w:rsidP="00407804">
            <w:pPr>
              <w:pStyle w:val="Tabletext"/>
              <w:keepNext/>
              <w:keepLines/>
              <w:rPr>
                <w:rFonts w:eastAsia="MS Mincho"/>
              </w:rPr>
            </w:pPr>
            <w:r>
              <w:rPr>
                <w:rFonts w:eastAsia="MS Mincho"/>
              </w:rPr>
              <w:t>Policy rule action related to reporting the result(s) of policy rule enforcement (NOTE 6)</w:t>
            </w:r>
          </w:p>
        </w:tc>
        <w:tc>
          <w:tcPr>
            <w:tcW w:w="3602" w:type="dxa"/>
            <w:shd w:val="clear" w:color="auto" w:fill="FFFFFF"/>
          </w:tcPr>
          <w:p w:rsidR="006D6332" w:rsidRDefault="006D6332" w:rsidP="00407804">
            <w:pPr>
              <w:pStyle w:val="Tabletext"/>
              <w:keepNext/>
              <w:keepLines/>
              <w:rPr>
                <w:rFonts w:eastAsia="MS Mincho"/>
              </w:rPr>
            </w:pPr>
            <w:proofErr w:type="spellStart"/>
            <w:r>
              <w:rPr>
                <w:rFonts w:eastAsia="MS Mincho"/>
              </w:rPr>
              <w:t>ObservedEventsDescriptor</w:t>
            </w:r>
            <w:proofErr w:type="spellEnd"/>
            <w:r>
              <w:rPr>
                <w:rFonts w:eastAsia="MS Mincho"/>
              </w:rPr>
              <w:t xml:space="preserve"> parameter </w:t>
            </w:r>
          </w:p>
        </w:tc>
      </w:tr>
      <w:tr w:rsidR="006D6332" w:rsidRPr="00440555" w:rsidTr="00407804">
        <w:trPr>
          <w:tblHeader/>
          <w:jc w:val="center"/>
        </w:trPr>
        <w:tc>
          <w:tcPr>
            <w:tcW w:w="9395" w:type="dxa"/>
            <w:gridSpan w:val="3"/>
            <w:shd w:val="clear" w:color="auto" w:fill="FFFFFF"/>
          </w:tcPr>
          <w:p w:rsidR="006D6332" w:rsidRDefault="006D6332" w:rsidP="00407804">
            <w:pPr>
              <w:pStyle w:val="Tablelegend"/>
              <w:keepNext/>
              <w:keepLines/>
              <w:ind w:left="975" w:hanging="975"/>
              <w:rPr>
                <w:rFonts w:eastAsia="MS Mincho"/>
              </w:rPr>
            </w:pPr>
            <w:r>
              <w:rPr>
                <w:rFonts w:eastAsia="MS Mincho"/>
              </w:rPr>
              <w:t>NOTE 1 –</w:t>
            </w:r>
            <w:r>
              <w:rPr>
                <w:rFonts w:eastAsia="MS Mincho"/>
              </w:rPr>
              <w:tab/>
              <w:t>E.g., similar as property “</w:t>
            </w:r>
            <w:r w:rsidRPr="00C9294F">
              <w:rPr>
                <w:rFonts w:eastAsia="MS Mincho"/>
                <w:i/>
              </w:rPr>
              <w:t>Pointer to rule conditions</w:t>
            </w:r>
            <w:r>
              <w:rPr>
                <w:rFonts w:eastAsia="MS Mincho"/>
              </w:rPr>
              <w:t xml:space="preserve">” from </w:t>
            </w:r>
            <w:r w:rsidRPr="00C9294F">
              <w:rPr>
                <w:rFonts w:eastAsia="MS Mincho"/>
                <w:i/>
              </w:rPr>
              <w:t>Inspection rule pointer</w:t>
            </w:r>
            <w:r w:rsidRPr="00C9294F">
              <w:rPr>
                <w:rFonts w:eastAsia="MS Mincho"/>
              </w:rPr>
              <w:t xml:space="preserve"> package</w:t>
            </w:r>
            <w:r>
              <w:rPr>
                <w:rFonts w:eastAsia="MS Mincho"/>
              </w:rPr>
              <w:t>.</w:t>
            </w:r>
          </w:p>
          <w:p w:rsidR="006D6332" w:rsidRDefault="006D6332" w:rsidP="00407804">
            <w:pPr>
              <w:pStyle w:val="Tablelegend"/>
              <w:keepNext/>
              <w:keepLines/>
              <w:ind w:left="975" w:hanging="975"/>
              <w:rPr>
                <w:rFonts w:eastAsia="MS Mincho"/>
              </w:rPr>
            </w:pPr>
            <w:r>
              <w:rPr>
                <w:rFonts w:eastAsia="MS Mincho"/>
              </w:rPr>
              <w:t>NOTE 2 –</w:t>
            </w:r>
            <w:r>
              <w:rPr>
                <w:rFonts w:eastAsia="MS Mincho"/>
              </w:rPr>
              <w:tab/>
              <w:t xml:space="preserve">Relation to </w:t>
            </w:r>
            <w:proofErr w:type="spellStart"/>
            <w:r>
              <w:rPr>
                <w:rFonts w:eastAsia="MS Mincho"/>
              </w:rPr>
              <w:t>StreamMode</w:t>
            </w:r>
            <w:proofErr w:type="spellEnd"/>
            <w:r>
              <w:rPr>
                <w:rFonts w:eastAsia="MS Mincho"/>
              </w:rPr>
              <w:t xml:space="preserve"> and H.248.43 properties to be clarified.</w:t>
            </w:r>
          </w:p>
          <w:p w:rsidR="006D6332" w:rsidRDefault="006D6332" w:rsidP="00407804">
            <w:pPr>
              <w:pStyle w:val="Tablelegend"/>
              <w:keepNext/>
              <w:keepLines/>
              <w:ind w:left="975" w:hanging="975"/>
              <w:rPr>
                <w:rFonts w:eastAsia="MS Mincho"/>
              </w:rPr>
            </w:pPr>
            <w:r>
              <w:rPr>
                <w:rFonts w:eastAsia="MS Mincho"/>
              </w:rPr>
              <w:t>NOTE 3 –</w:t>
            </w:r>
            <w:r>
              <w:rPr>
                <w:rFonts w:eastAsia="MS Mincho"/>
              </w:rPr>
              <w:tab/>
              <w:t>Relation to H.248.53 properties to be clarified.</w:t>
            </w:r>
          </w:p>
          <w:p w:rsidR="006D6332" w:rsidRDefault="006D6332" w:rsidP="00407804">
            <w:pPr>
              <w:pStyle w:val="Tablelegend"/>
              <w:keepNext/>
              <w:keepLines/>
              <w:ind w:left="975" w:hanging="975"/>
              <w:rPr>
                <w:rFonts w:eastAsia="MS Mincho"/>
              </w:rPr>
            </w:pPr>
            <w:r>
              <w:rPr>
                <w:rFonts w:eastAsia="MS Mincho"/>
              </w:rPr>
              <w:t>NOTE 4 –</w:t>
            </w:r>
            <w:r>
              <w:rPr>
                <w:rFonts w:eastAsia="MS Mincho"/>
              </w:rPr>
              <w:tab/>
              <w:t>TBD.</w:t>
            </w:r>
          </w:p>
          <w:p w:rsidR="006D6332" w:rsidRDefault="006D6332" w:rsidP="00407804">
            <w:pPr>
              <w:pStyle w:val="Tablelegend"/>
              <w:keepNext/>
              <w:keepLines/>
              <w:ind w:left="975" w:hanging="975"/>
              <w:rPr>
                <w:rFonts w:eastAsia="MS Mincho"/>
              </w:rPr>
            </w:pPr>
            <w:r>
              <w:rPr>
                <w:rFonts w:eastAsia="MS Mincho"/>
              </w:rPr>
              <w:t>NOTE 5 –</w:t>
            </w:r>
            <w:r>
              <w:rPr>
                <w:rFonts w:eastAsia="MS Mincho"/>
              </w:rPr>
              <w:tab/>
              <w:t>Network address plus associated information.</w:t>
            </w:r>
          </w:p>
          <w:p w:rsidR="006D6332" w:rsidRDefault="006D6332" w:rsidP="00407804">
            <w:pPr>
              <w:pStyle w:val="Tablelegend"/>
              <w:keepNext/>
              <w:keepLines/>
              <w:ind w:left="975" w:hanging="975"/>
              <w:rPr>
                <w:rFonts w:eastAsia="MS Mincho"/>
              </w:rPr>
            </w:pPr>
            <w:r>
              <w:rPr>
                <w:rFonts w:eastAsia="MS Mincho"/>
              </w:rPr>
              <w:t>NOTE 6 –</w:t>
            </w:r>
            <w:r>
              <w:rPr>
                <w:rFonts w:eastAsia="MS Mincho"/>
              </w:rPr>
              <w:tab/>
              <w:t xml:space="preserve">This type of information is outside of the ADC rule AVP, but could be directly coupled in H.248 by the </w:t>
            </w:r>
            <w:proofErr w:type="spellStart"/>
            <w:r>
              <w:rPr>
                <w:rFonts w:eastAsia="MS Mincho"/>
              </w:rPr>
              <w:t>ObservedEventsDescriptor</w:t>
            </w:r>
            <w:proofErr w:type="spellEnd"/>
            <w:r>
              <w:rPr>
                <w:rFonts w:eastAsia="MS Mincho"/>
              </w:rPr>
              <w:t>.</w:t>
            </w:r>
          </w:p>
        </w:tc>
      </w:tr>
    </w:tbl>
    <w:p w:rsidR="006D6332" w:rsidRDefault="006D6332" w:rsidP="006D6332"/>
    <w:p w:rsidR="00B15605" w:rsidRDefault="00EF5A4E" w:rsidP="00B15605">
      <w:pPr>
        <w:pStyle w:val="Headingb"/>
      </w:pPr>
      <w:r>
        <w:t>Summary</w:t>
      </w:r>
    </w:p>
    <w:p w:rsidR="004D78BD" w:rsidRDefault="00EF5A4E" w:rsidP="001B30B9">
      <w:r>
        <w:t xml:space="preserve">A high level design for a possible </w:t>
      </w:r>
      <w:r>
        <w:rPr>
          <w:rFonts w:eastAsia="MS Mincho"/>
        </w:rPr>
        <w:t xml:space="preserve">H.248 </w:t>
      </w:r>
      <w:r w:rsidRPr="00CD4CA3">
        <w:rPr>
          <w:rFonts w:eastAsia="MS Mincho"/>
        </w:rPr>
        <w:t xml:space="preserve">DPI </w:t>
      </w:r>
      <w:r>
        <w:rPr>
          <w:rFonts w:eastAsia="MS Mincho"/>
        </w:rPr>
        <w:t>p</w:t>
      </w:r>
      <w:r w:rsidRPr="00CD4CA3">
        <w:rPr>
          <w:rFonts w:eastAsia="MS Mincho"/>
        </w:rPr>
        <w:t xml:space="preserve">olicy </w:t>
      </w:r>
      <w:r>
        <w:rPr>
          <w:rFonts w:eastAsia="MS Mincho"/>
        </w:rPr>
        <w:t>r</w:t>
      </w:r>
      <w:r w:rsidRPr="00CD4CA3">
        <w:rPr>
          <w:rFonts w:eastAsia="MS Mincho"/>
        </w:rPr>
        <w:t xml:space="preserve">ule </w:t>
      </w:r>
      <w:r>
        <w:rPr>
          <w:rFonts w:eastAsia="MS Mincho"/>
        </w:rPr>
        <w:t>e</w:t>
      </w:r>
      <w:r w:rsidRPr="00CD4CA3">
        <w:rPr>
          <w:rFonts w:eastAsia="MS Mincho"/>
        </w:rPr>
        <w:t xml:space="preserve">mulation </w:t>
      </w:r>
      <w:r>
        <w:rPr>
          <w:rFonts w:eastAsia="MS Mincho"/>
        </w:rPr>
        <w:t>p</w:t>
      </w:r>
      <w:r w:rsidRPr="00CD4CA3">
        <w:rPr>
          <w:rFonts w:eastAsia="MS Mincho"/>
        </w:rPr>
        <w:t>ackage</w:t>
      </w:r>
      <w:r>
        <w:rPr>
          <w:rFonts w:eastAsia="MS Mincho"/>
        </w:rPr>
        <w:t xml:space="preserve"> is presented.</w:t>
      </w:r>
    </w:p>
    <w:p w:rsidR="00106415" w:rsidRDefault="00106415" w:rsidP="001B30B9"/>
    <w:p w:rsidR="001B30B9" w:rsidRDefault="001B30B9" w:rsidP="001B30B9">
      <w:pPr>
        <w:widowControl w:val="0"/>
        <w:tabs>
          <w:tab w:val="clear" w:pos="794"/>
          <w:tab w:val="clear" w:pos="1191"/>
          <w:tab w:val="clear" w:pos="1588"/>
          <w:tab w:val="clear" w:pos="1985"/>
        </w:tabs>
        <w:overflowPunct/>
        <w:spacing w:before="0"/>
        <w:textAlignment w:val="auto"/>
        <w:rPr>
          <w:b/>
          <w:lang w:eastAsia="ja-JP"/>
        </w:rPr>
      </w:pPr>
      <w:r>
        <w:rPr>
          <w:b/>
          <w:lang w:eastAsia="ja-JP"/>
        </w:rPr>
        <w:t>Change proposal</w:t>
      </w:r>
    </w:p>
    <w:p w:rsidR="001B30B9" w:rsidRDefault="00FD26B9" w:rsidP="001B30B9">
      <w:proofErr w:type="gramStart"/>
      <w:r>
        <w:t>None.</w:t>
      </w:r>
      <w:proofErr w:type="gramEnd"/>
    </w:p>
    <w:p w:rsidR="00880442" w:rsidRDefault="00880442" w:rsidP="001B30B9"/>
    <w:p w:rsidR="00440555" w:rsidRDefault="004D78BD" w:rsidP="00371352">
      <w:pPr>
        <w:tabs>
          <w:tab w:val="clear" w:pos="794"/>
          <w:tab w:val="clear" w:pos="1191"/>
          <w:tab w:val="clear" w:pos="1588"/>
          <w:tab w:val="clear" w:pos="1985"/>
        </w:tabs>
        <w:overflowPunct/>
        <w:autoSpaceDE/>
        <w:autoSpaceDN/>
        <w:adjustRightInd/>
        <w:spacing w:before="0"/>
        <w:textAlignment w:val="auto"/>
        <w:rPr>
          <w:b/>
        </w:rPr>
      </w:pPr>
      <w:r>
        <w:br w:type="page"/>
      </w:r>
      <w:bookmarkStart w:id="6" w:name="_Toc311723404"/>
      <w:r w:rsidR="00FD26B9">
        <w:rPr>
          <w:b/>
        </w:rPr>
        <w:lastRenderedPageBreak/>
        <w:t xml:space="preserve">Attachment – Excerpt from </w:t>
      </w:r>
      <w:r w:rsidR="00440555" w:rsidRPr="00440555">
        <w:rPr>
          <w:b/>
        </w:rPr>
        <w:t>ETSI TS 129 212:</w:t>
      </w:r>
    </w:p>
    <w:p w:rsidR="00FD26B9" w:rsidRPr="00440555" w:rsidRDefault="00FD26B9" w:rsidP="00880442">
      <w:pPr>
        <w:rPr>
          <w:b/>
        </w:rPr>
      </w:pPr>
      <w:r>
        <w:rPr>
          <w:b/>
        </w:rPr>
        <w:t>…</w:t>
      </w:r>
    </w:p>
    <w:p w:rsidR="00106415" w:rsidRPr="00371352" w:rsidRDefault="00106415" w:rsidP="00880442">
      <w:pPr>
        <w:rPr>
          <w:b/>
          <w:sz w:val="20"/>
        </w:rPr>
      </w:pPr>
      <w:r w:rsidRPr="00371352">
        <w:rPr>
          <w:b/>
          <w:sz w:val="20"/>
        </w:rPr>
        <w:t>5.3.87</w:t>
      </w:r>
      <w:r w:rsidRPr="00371352">
        <w:rPr>
          <w:b/>
          <w:sz w:val="20"/>
        </w:rPr>
        <w:tab/>
        <w:t>ADC-Rule-Definition AVP</w:t>
      </w:r>
      <w:bookmarkEnd w:id="6"/>
      <w:r w:rsidRPr="00371352">
        <w:rPr>
          <w:b/>
          <w:sz w:val="20"/>
        </w:rPr>
        <w:t xml:space="preserve"> </w:t>
      </w:r>
    </w:p>
    <w:p w:rsidR="00106415" w:rsidRPr="00371352" w:rsidRDefault="00106415" w:rsidP="00880442">
      <w:pPr>
        <w:rPr>
          <w:sz w:val="20"/>
        </w:rPr>
      </w:pPr>
      <w:r w:rsidRPr="00371352">
        <w:rPr>
          <w:sz w:val="20"/>
        </w:rPr>
        <w:t xml:space="preserve">The ADC-Rule-Definition AVP (AVP code </w:t>
      </w:r>
      <w:r w:rsidRPr="00371352">
        <w:rPr>
          <w:rFonts w:eastAsia="Batang" w:hint="eastAsia"/>
          <w:sz w:val="20"/>
          <w:lang w:eastAsia="ko-KR"/>
        </w:rPr>
        <w:t>1094</w:t>
      </w:r>
      <w:r w:rsidRPr="00371352">
        <w:rPr>
          <w:sz w:val="20"/>
        </w:rPr>
        <w:t xml:space="preserve">) is of type Grouped, and it defines the ADC rule sent by the PCRF. The ADC-Rule-Name AVP uniquely identifies the ADC rule and it is used to reference to an ADC rule in communication between the PCRF and the PCEF within one IP-CAN session. The TDF Application Identifier AVP(s) determines the traffic that belongs to the application. </w:t>
      </w:r>
    </w:p>
    <w:p w:rsidR="00106415" w:rsidRPr="00371352" w:rsidRDefault="00106415" w:rsidP="00880442">
      <w:pPr>
        <w:rPr>
          <w:sz w:val="20"/>
        </w:rPr>
      </w:pPr>
      <w:r w:rsidRPr="00371352">
        <w:rPr>
          <w:sz w:val="20"/>
        </w:rPr>
        <w:t xml:space="preserve">If optional AVP(s) within an ADC-Rule-Definition AVP are omitted, but corresponding information has been provided in previous </w:t>
      </w:r>
      <w:proofErr w:type="spellStart"/>
      <w:proofErr w:type="gramStart"/>
      <w:r w:rsidRPr="00371352">
        <w:rPr>
          <w:sz w:val="20"/>
        </w:rPr>
        <w:t>Sd</w:t>
      </w:r>
      <w:proofErr w:type="spellEnd"/>
      <w:proofErr w:type="gramEnd"/>
      <w:r w:rsidRPr="00371352">
        <w:rPr>
          <w:sz w:val="20"/>
        </w:rPr>
        <w:t xml:space="preserve"> messages, the previous information remains valid. </w:t>
      </w:r>
    </w:p>
    <w:p w:rsidR="00106415" w:rsidRPr="00371352" w:rsidRDefault="00106415" w:rsidP="00880442">
      <w:pPr>
        <w:rPr>
          <w:rFonts w:eastAsia="Batang"/>
          <w:sz w:val="20"/>
          <w:lang w:eastAsia="ko-KR"/>
        </w:rPr>
      </w:pPr>
      <w:r w:rsidRPr="00371352">
        <w:rPr>
          <w:sz w:val="20"/>
        </w:rPr>
        <w:t>Monitoring-Key AVP contains the monitoring key that may apply to the ADC rule.</w:t>
      </w:r>
    </w:p>
    <w:p w:rsidR="00106415" w:rsidRPr="00371352" w:rsidRDefault="00106415" w:rsidP="00880442">
      <w:pPr>
        <w:rPr>
          <w:sz w:val="20"/>
        </w:rPr>
      </w:pPr>
      <w:r w:rsidRPr="00371352">
        <w:rPr>
          <w:sz w:val="20"/>
        </w:rPr>
        <w:t xml:space="preserve">AVP Format: </w:t>
      </w:r>
    </w:p>
    <w:p w:rsidR="00106415" w:rsidRPr="00D34045" w:rsidRDefault="00106415" w:rsidP="00880442">
      <w:pPr>
        <w:pStyle w:val="Formal"/>
      </w:pPr>
      <w:r>
        <w:t>ADC</w:t>
      </w:r>
      <w:r w:rsidRPr="00D34045">
        <w:t xml:space="preserve">-Rule-Definition ::= &lt; AVP Header: </w:t>
      </w:r>
      <w:r>
        <w:rPr>
          <w:rFonts w:eastAsia="Batang" w:hint="eastAsia"/>
          <w:lang w:eastAsia="ko-KR"/>
        </w:rPr>
        <w:t>1094</w:t>
      </w:r>
      <w:r w:rsidRPr="00D34045">
        <w:t xml:space="preserve"> &gt;</w:t>
      </w:r>
    </w:p>
    <w:p w:rsidR="00106415" w:rsidRPr="00D34045" w:rsidRDefault="00106415" w:rsidP="00880442">
      <w:pPr>
        <w:pStyle w:val="Formal"/>
      </w:pPr>
      <w:r w:rsidRPr="00D34045">
        <w:tab/>
      </w:r>
      <w:r w:rsidRPr="00D34045">
        <w:tab/>
      </w:r>
      <w:r w:rsidRPr="00D34045">
        <w:tab/>
      </w:r>
      <w:r w:rsidRPr="00D34045">
        <w:tab/>
      </w:r>
      <w:r w:rsidRPr="00D34045">
        <w:tab/>
      </w:r>
      <w:r w:rsidRPr="00D34045">
        <w:tab/>
      </w:r>
      <w:r w:rsidRPr="00D34045">
        <w:tab/>
        <w:t xml:space="preserve"> </w:t>
      </w:r>
      <w:r w:rsidRPr="00D34045">
        <w:rPr>
          <w:rFonts w:eastAsia="Batang"/>
          <w:lang w:eastAsia="ko-KR"/>
        </w:rPr>
        <w:tab/>
      </w:r>
      <w:r w:rsidRPr="00D34045">
        <w:t xml:space="preserve">{ </w:t>
      </w:r>
      <w:r>
        <w:t>ADC</w:t>
      </w:r>
      <w:r w:rsidRPr="00D34045">
        <w:t>-Rule-Name }</w:t>
      </w:r>
    </w:p>
    <w:p w:rsidR="00106415" w:rsidRPr="00D34045" w:rsidRDefault="00106415" w:rsidP="00880442">
      <w:pPr>
        <w:pStyle w:val="Formal"/>
        <w:rPr>
          <w:rFonts w:eastAsia="MS Mincho"/>
        </w:rPr>
      </w:pPr>
      <w:r w:rsidRPr="00D34045">
        <w:rPr>
          <w:rFonts w:eastAsia="MS Mincho"/>
        </w:rPr>
        <w:tab/>
      </w:r>
      <w:r w:rsidRPr="00D34045">
        <w:rPr>
          <w:rFonts w:eastAsia="MS Mincho"/>
        </w:rPr>
        <w:tab/>
      </w:r>
      <w:r w:rsidRPr="00D34045">
        <w:rPr>
          <w:rFonts w:eastAsia="MS Mincho"/>
        </w:rPr>
        <w:tab/>
      </w:r>
      <w:r w:rsidRPr="00D34045">
        <w:rPr>
          <w:rFonts w:eastAsia="MS Mincho"/>
        </w:rPr>
        <w:tab/>
      </w:r>
      <w:r w:rsidRPr="00D34045">
        <w:rPr>
          <w:rFonts w:eastAsia="MS Mincho"/>
        </w:rPr>
        <w:tab/>
      </w:r>
      <w:r w:rsidRPr="00D34045">
        <w:rPr>
          <w:rFonts w:eastAsia="MS Mincho"/>
        </w:rPr>
        <w:tab/>
      </w:r>
      <w:r w:rsidRPr="00D34045">
        <w:rPr>
          <w:rFonts w:eastAsia="MS Mincho"/>
        </w:rPr>
        <w:tab/>
        <w:t xml:space="preserve"> </w:t>
      </w:r>
      <w:r w:rsidRPr="00D34045">
        <w:rPr>
          <w:rFonts w:eastAsia="Batang"/>
          <w:lang w:eastAsia="ko-KR"/>
        </w:rPr>
        <w:tab/>
      </w:r>
      <w:r w:rsidRPr="00D34045">
        <w:rPr>
          <w:rFonts w:eastAsia="MS Mincho"/>
        </w:rPr>
        <w:t xml:space="preserve">[ </w:t>
      </w:r>
      <w:r>
        <w:rPr>
          <w:rFonts w:eastAsia="MS Mincho"/>
        </w:rPr>
        <w:t>TDF-Application-Identifier</w:t>
      </w:r>
      <w:r w:rsidRPr="00D34045">
        <w:rPr>
          <w:rFonts w:eastAsia="MS Mincho"/>
        </w:rPr>
        <w:t xml:space="preserve"> ]</w:t>
      </w:r>
    </w:p>
    <w:p w:rsidR="00106415" w:rsidRPr="00D34045" w:rsidRDefault="00106415" w:rsidP="00880442">
      <w:pPr>
        <w:pStyle w:val="Formal"/>
      </w:pPr>
      <w:r w:rsidRPr="00D34045">
        <w:tab/>
      </w:r>
      <w:r w:rsidRPr="00D34045">
        <w:tab/>
      </w:r>
      <w:r w:rsidRPr="00D34045">
        <w:tab/>
      </w:r>
      <w:r w:rsidRPr="00D34045">
        <w:tab/>
      </w:r>
      <w:r w:rsidRPr="00D34045">
        <w:tab/>
      </w:r>
      <w:r w:rsidRPr="00D34045">
        <w:tab/>
      </w:r>
      <w:r>
        <w:tab/>
      </w:r>
      <w:r>
        <w:tab/>
      </w:r>
      <w:r w:rsidRPr="00D34045">
        <w:t>[ Flow-Status ]</w:t>
      </w:r>
    </w:p>
    <w:p w:rsidR="00106415" w:rsidRDefault="00106415" w:rsidP="00880442">
      <w:pPr>
        <w:pStyle w:val="Formal"/>
      </w:pPr>
      <w:r w:rsidRPr="00D34045">
        <w:tab/>
      </w:r>
      <w:r w:rsidRPr="00D34045">
        <w:tab/>
      </w:r>
      <w:r w:rsidRPr="00D34045">
        <w:tab/>
      </w:r>
      <w:r w:rsidRPr="00D34045">
        <w:tab/>
      </w:r>
      <w:r w:rsidRPr="00D34045">
        <w:tab/>
      </w:r>
      <w:r w:rsidRPr="00D34045">
        <w:tab/>
      </w:r>
      <w:r w:rsidRPr="00D34045">
        <w:tab/>
        <w:t xml:space="preserve"> </w:t>
      </w:r>
      <w:r w:rsidRPr="00D34045">
        <w:rPr>
          <w:rFonts w:eastAsia="Batang"/>
          <w:lang w:eastAsia="ko-KR"/>
        </w:rPr>
        <w:tab/>
      </w:r>
      <w:r w:rsidRPr="00D34045">
        <w:t>[ QoS-Information ]</w:t>
      </w:r>
    </w:p>
    <w:p w:rsidR="00106415" w:rsidRDefault="00106415" w:rsidP="00880442">
      <w:pPr>
        <w:pStyle w:val="Formal"/>
      </w:pPr>
      <w:r w:rsidRPr="00D34045">
        <w:tab/>
      </w:r>
      <w:r w:rsidRPr="00D34045">
        <w:tab/>
      </w:r>
      <w:r w:rsidRPr="00D34045">
        <w:tab/>
      </w:r>
      <w:r w:rsidRPr="00D34045">
        <w:tab/>
      </w:r>
      <w:r w:rsidRPr="00D34045">
        <w:tab/>
      </w:r>
      <w:r w:rsidRPr="00D34045">
        <w:tab/>
      </w:r>
      <w:r w:rsidRPr="00D34045">
        <w:tab/>
        <w:t xml:space="preserve"> </w:t>
      </w:r>
      <w:r w:rsidRPr="00D34045">
        <w:rPr>
          <w:rFonts w:eastAsia="Batang"/>
          <w:lang w:eastAsia="ko-KR"/>
        </w:rPr>
        <w:tab/>
      </w:r>
      <w:r w:rsidRPr="00D34045">
        <w:t>[ Monitoring-Key</w:t>
      </w:r>
      <w:r>
        <w:t xml:space="preserve"> </w:t>
      </w:r>
      <w:r w:rsidRPr="00D34045">
        <w:t>]</w:t>
      </w:r>
    </w:p>
    <w:p w:rsidR="00106415" w:rsidRPr="00D34045" w:rsidRDefault="00106415" w:rsidP="00880442">
      <w:pPr>
        <w:pStyle w:val="Formal"/>
      </w:pPr>
      <w:r w:rsidRPr="00D34045">
        <w:tab/>
      </w:r>
      <w:r w:rsidRPr="00D34045">
        <w:tab/>
      </w:r>
      <w:r w:rsidRPr="00D34045">
        <w:tab/>
      </w:r>
      <w:r w:rsidRPr="00D34045">
        <w:tab/>
      </w:r>
      <w:r w:rsidRPr="00D34045">
        <w:tab/>
      </w:r>
      <w:r w:rsidRPr="00D34045">
        <w:tab/>
      </w:r>
      <w:r w:rsidRPr="00D34045">
        <w:tab/>
        <w:t xml:space="preserve"> </w:t>
      </w:r>
      <w:r w:rsidRPr="00D34045">
        <w:rPr>
          <w:rFonts w:eastAsia="Batang"/>
          <w:lang w:eastAsia="ko-KR"/>
        </w:rPr>
        <w:tab/>
      </w:r>
      <w:r w:rsidRPr="00D34045">
        <w:t xml:space="preserve">[ </w:t>
      </w:r>
      <w:r>
        <w:t xml:space="preserve">Redirect-Information </w:t>
      </w:r>
      <w:r w:rsidRPr="00D34045">
        <w:t>]</w:t>
      </w:r>
    </w:p>
    <w:p w:rsidR="00106415" w:rsidRDefault="00106415" w:rsidP="00880442">
      <w:pPr>
        <w:pStyle w:val="Formal"/>
      </w:pPr>
      <w:r w:rsidRPr="00D34045">
        <w:tab/>
      </w:r>
      <w:r w:rsidRPr="00D34045">
        <w:tab/>
      </w:r>
      <w:r w:rsidRPr="00D34045">
        <w:tab/>
      </w:r>
      <w:r w:rsidRPr="00D34045">
        <w:tab/>
      </w:r>
      <w:r w:rsidRPr="00D34045">
        <w:tab/>
      </w:r>
      <w:r w:rsidRPr="00D34045">
        <w:tab/>
      </w:r>
      <w:r w:rsidRPr="00D34045">
        <w:tab/>
      </w:r>
      <w:r w:rsidRPr="00D34045">
        <w:rPr>
          <w:rFonts w:eastAsia="Batang"/>
          <w:lang w:eastAsia="ko-KR"/>
        </w:rPr>
        <w:t xml:space="preserve">   </w:t>
      </w:r>
      <w:r w:rsidRPr="00D34045">
        <w:t>*</w:t>
      </w:r>
      <w:r w:rsidRPr="00D34045">
        <w:rPr>
          <w:rFonts w:eastAsia="Batang"/>
          <w:lang w:eastAsia="ko-KR"/>
        </w:rPr>
        <w:tab/>
      </w:r>
      <w:r w:rsidRPr="00D34045">
        <w:t>[ AVP ]</w:t>
      </w:r>
    </w:p>
    <w:p w:rsidR="00604A80" w:rsidRDefault="00604A80" w:rsidP="001B30B9"/>
    <w:p w:rsidR="001B30B9" w:rsidRDefault="001B30B9" w:rsidP="001B30B9">
      <w:pPr>
        <w:jc w:val="center"/>
      </w:pPr>
      <w:r>
        <w:t>___________________</w:t>
      </w:r>
    </w:p>
    <w:sectPr w:rsidR="001B30B9" w:rsidSect="0037415F">
      <w:headerReference w:type="default" r:id="rId11"/>
      <w:footerReference w:type="first" r:id="rId12"/>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22A" w:rsidRDefault="001D622A">
      <w:r>
        <w:separator/>
      </w:r>
    </w:p>
  </w:endnote>
  <w:endnote w:type="continuationSeparator" w:id="0">
    <w:p w:rsidR="001D622A" w:rsidRDefault="001D6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Arial Unicode MS"/>
    <w:panose1 w:val="020B0503020000020004"/>
    <w:charset w:val="81"/>
    <w:family w:val="swiss"/>
    <w:notTrueType/>
    <w:pitch w:val="variable"/>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B15605" w:rsidRPr="00AE5FC4" w:rsidTr="0037415F">
      <w:trPr>
        <w:cantSplit/>
        <w:trHeight w:val="204"/>
        <w:jc w:val="center"/>
      </w:trPr>
      <w:tc>
        <w:tcPr>
          <w:tcW w:w="1617" w:type="dxa"/>
          <w:tcBorders>
            <w:top w:val="single" w:sz="12" w:space="0" w:color="auto"/>
          </w:tcBorders>
        </w:tcPr>
        <w:p w:rsidR="00B15605" w:rsidRPr="00AE5FC4" w:rsidRDefault="00B15605" w:rsidP="001F2C43">
          <w:pPr>
            <w:rPr>
              <w:b/>
              <w:bCs/>
              <w:sz w:val="22"/>
              <w:szCs w:val="22"/>
            </w:rPr>
          </w:pPr>
          <w:r w:rsidRPr="00AE5FC4">
            <w:rPr>
              <w:b/>
              <w:bCs/>
              <w:sz w:val="22"/>
              <w:szCs w:val="22"/>
            </w:rPr>
            <w:t>Contact</w:t>
          </w:r>
        </w:p>
      </w:tc>
      <w:tc>
        <w:tcPr>
          <w:tcW w:w="3543" w:type="dxa"/>
          <w:tcBorders>
            <w:top w:val="single" w:sz="12" w:space="0" w:color="auto"/>
          </w:tcBorders>
        </w:tcPr>
        <w:p w:rsidR="00B15605" w:rsidRPr="00AE5FC4" w:rsidRDefault="00B15605" w:rsidP="00971330">
          <w:pPr>
            <w:pStyle w:val="Headingb"/>
            <w:spacing w:before="120"/>
            <w:rPr>
              <w:bCs/>
              <w:smallCaps/>
              <w:sz w:val="22"/>
              <w:szCs w:val="22"/>
              <w:lang w:val="de-DE"/>
            </w:rPr>
          </w:pPr>
          <w:r w:rsidRPr="00AE5FC4">
            <w:rPr>
              <w:bCs/>
              <w:smallCaps/>
              <w:sz w:val="22"/>
              <w:szCs w:val="22"/>
              <w:lang w:val="de-DE"/>
            </w:rPr>
            <w:t>Albrecht Schwarz</w:t>
          </w:r>
        </w:p>
        <w:p w:rsidR="00B15605" w:rsidRPr="00AE5FC4" w:rsidRDefault="00B15605" w:rsidP="00971330">
          <w:pPr>
            <w:spacing w:before="0"/>
            <w:rPr>
              <w:sz w:val="22"/>
              <w:szCs w:val="22"/>
              <w:lang w:val="de-DE"/>
            </w:rPr>
          </w:pPr>
          <w:r w:rsidRPr="00AE5FC4">
            <w:rPr>
              <w:sz w:val="22"/>
              <w:szCs w:val="22"/>
              <w:lang w:val="de-DE"/>
            </w:rPr>
            <w:t>ALCATEL-LUCENT</w:t>
          </w:r>
        </w:p>
        <w:p w:rsidR="00B15605" w:rsidRPr="00AE5FC4" w:rsidRDefault="00B15605" w:rsidP="00971330">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B15605" w:rsidRPr="00AE5FC4" w:rsidRDefault="00B15605" w:rsidP="00971330">
          <w:pPr>
            <w:rPr>
              <w:sz w:val="22"/>
              <w:szCs w:val="22"/>
            </w:rPr>
          </w:pPr>
          <w:r w:rsidRPr="00AE5FC4">
            <w:rPr>
              <w:sz w:val="22"/>
              <w:szCs w:val="22"/>
            </w:rPr>
            <w:t xml:space="preserve">Tel: </w:t>
          </w:r>
          <w:r w:rsidRPr="00AE5FC4">
            <w:rPr>
              <w:sz w:val="22"/>
              <w:szCs w:val="22"/>
            </w:rPr>
            <w:tab/>
            <w:t>+49-711-821-41425</w:t>
          </w:r>
        </w:p>
        <w:p w:rsidR="00B15605" w:rsidRPr="00AE5FC4" w:rsidRDefault="00B15605" w:rsidP="00971330">
          <w:pPr>
            <w:spacing w:before="0"/>
            <w:rPr>
              <w:sz w:val="22"/>
              <w:szCs w:val="22"/>
            </w:rPr>
          </w:pPr>
          <w:r w:rsidRPr="00AE5FC4">
            <w:rPr>
              <w:sz w:val="22"/>
              <w:szCs w:val="22"/>
            </w:rPr>
            <w:t xml:space="preserve">Fax: </w:t>
          </w:r>
          <w:r w:rsidRPr="00AE5FC4">
            <w:rPr>
              <w:sz w:val="22"/>
              <w:szCs w:val="22"/>
            </w:rPr>
            <w:tab/>
            <w:t>+49-711-821-40017</w:t>
          </w:r>
        </w:p>
        <w:p w:rsidR="00B15605" w:rsidRPr="00AE5FC4" w:rsidRDefault="00B15605" w:rsidP="00971330">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B15605" w:rsidRPr="00AE5FC4" w:rsidTr="0037415F">
      <w:trPr>
        <w:cantSplit/>
        <w:trHeight w:val="204"/>
        <w:jc w:val="center"/>
      </w:trPr>
      <w:tc>
        <w:tcPr>
          <w:tcW w:w="1617" w:type="dxa"/>
          <w:tcBorders>
            <w:top w:val="single" w:sz="12" w:space="0" w:color="auto"/>
          </w:tcBorders>
        </w:tcPr>
        <w:p w:rsidR="00B15605" w:rsidRPr="00AE5FC4" w:rsidRDefault="00B15605" w:rsidP="001F2C43">
          <w:pPr>
            <w:rPr>
              <w:b/>
              <w:bCs/>
              <w:sz w:val="22"/>
              <w:szCs w:val="22"/>
            </w:rPr>
          </w:pPr>
          <w:r w:rsidRPr="00AE5FC4">
            <w:rPr>
              <w:b/>
              <w:bCs/>
              <w:sz w:val="22"/>
              <w:szCs w:val="22"/>
            </w:rPr>
            <w:t>Contact</w:t>
          </w:r>
        </w:p>
      </w:tc>
      <w:tc>
        <w:tcPr>
          <w:tcW w:w="3543" w:type="dxa"/>
          <w:tcBorders>
            <w:top w:val="single" w:sz="12" w:space="0" w:color="auto"/>
          </w:tcBorders>
        </w:tcPr>
        <w:p w:rsidR="00B15605" w:rsidRPr="00AE5FC4" w:rsidRDefault="00B15605" w:rsidP="00971330">
          <w:pPr>
            <w:pStyle w:val="Headingb"/>
            <w:spacing w:before="120"/>
            <w:rPr>
              <w:bCs/>
              <w:smallCaps/>
              <w:sz w:val="22"/>
              <w:szCs w:val="22"/>
              <w:lang w:val="de-DE"/>
            </w:rPr>
          </w:pPr>
          <w:r w:rsidRPr="00AE5FC4">
            <w:rPr>
              <w:bCs/>
              <w:smallCaps/>
              <w:sz w:val="22"/>
              <w:szCs w:val="22"/>
              <w:lang w:val="de-DE"/>
            </w:rPr>
            <w:t>Juergen Stoetzer-Bradler</w:t>
          </w:r>
        </w:p>
        <w:p w:rsidR="00B15605" w:rsidRPr="00AE5FC4" w:rsidRDefault="00B15605" w:rsidP="00971330">
          <w:pPr>
            <w:spacing w:before="0"/>
            <w:rPr>
              <w:sz w:val="22"/>
              <w:szCs w:val="22"/>
              <w:lang w:val="de-DE"/>
            </w:rPr>
          </w:pPr>
          <w:r w:rsidRPr="00AE5FC4">
            <w:rPr>
              <w:sz w:val="22"/>
              <w:szCs w:val="22"/>
              <w:lang w:val="de-DE"/>
            </w:rPr>
            <w:t>ALCATEL-LUCENT</w:t>
          </w:r>
        </w:p>
        <w:p w:rsidR="00B15605" w:rsidRPr="00AE5FC4" w:rsidRDefault="00B15605" w:rsidP="00971330">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B15605" w:rsidRPr="00AE5FC4" w:rsidRDefault="00B15605" w:rsidP="00971330">
          <w:pPr>
            <w:rPr>
              <w:sz w:val="22"/>
              <w:szCs w:val="22"/>
              <w:lang w:val="fr-FR"/>
            </w:rPr>
          </w:pPr>
          <w:r w:rsidRPr="00AE5FC4">
            <w:rPr>
              <w:sz w:val="22"/>
              <w:szCs w:val="22"/>
              <w:lang w:val="fr-FR"/>
            </w:rPr>
            <w:t xml:space="preserve">Tel: </w:t>
          </w:r>
          <w:r w:rsidRPr="00AE5FC4">
            <w:rPr>
              <w:sz w:val="22"/>
              <w:szCs w:val="22"/>
              <w:lang w:val="fr-FR"/>
            </w:rPr>
            <w:tab/>
            <w:t>+49-711-821-45398</w:t>
          </w:r>
        </w:p>
        <w:p w:rsidR="00B15605" w:rsidRPr="00AE5FC4" w:rsidRDefault="00B15605" w:rsidP="00971330">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B15605" w:rsidRPr="00AE5FC4" w:rsidRDefault="00B15605" w:rsidP="00971330">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B15605" w:rsidRPr="00AE5FC4" w:rsidTr="0037415F">
      <w:trPr>
        <w:cantSplit/>
        <w:trHeight w:val="204"/>
        <w:jc w:val="center"/>
      </w:trPr>
      <w:tc>
        <w:tcPr>
          <w:tcW w:w="1617" w:type="dxa"/>
          <w:tcBorders>
            <w:top w:val="single" w:sz="12" w:space="0" w:color="auto"/>
          </w:tcBorders>
        </w:tcPr>
        <w:p w:rsidR="00B15605" w:rsidRPr="00AE5FC4" w:rsidRDefault="00B15605" w:rsidP="001F2C43">
          <w:pPr>
            <w:rPr>
              <w:b/>
              <w:bCs/>
              <w:sz w:val="22"/>
              <w:szCs w:val="22"/>
            </w:rPr>
          </w:pPr>
          <w:r w:rsidRPr="00AE5FC4">
            <w:rPr>
              <w:b/>
              <w:bCs/>
              <w:sz w:val="22"/>
              <w:szCs w:val="22"/>
            </w:rPr>
            <w:t>Contact</w:t>
          </w:r>
        </w:p>
      </w:tc>
      <w:tc>
        <w:tcPr>
          <w:tcW w:w="3543" w:type="dxa"/>
          <w:tcBorders>
            <w:top w:val="single" w:sz="12" w:space="0" w:color="auto"/>
          </w:tcBorders>
        </w:tcPr>
        <w:p w:rsidR="00B15605" w:rsidRPr="00AE5FC4" w:rsidRDefault="00B15605" w:rsidP="00971330">
          <w:pPr>
            <w:pStyle w:val="Headingb"/>
            <w:spacing w:before="120"/>
            <w:rPr>
              <w:bCs/>
              <w:smallCaps/>
              <w:sz w:val="22"/>
              <w:szCs w:val="22"/>
              <w:lang w:val="de-DE"/>
            </w:rPr>
          </w:pPr>
          <w:r w:rsidRPr="00AE5FC4">
            <w:rPr>
              <w:bCs/>
              <w:smallCaps/>
              <w:sz w:val="22"/>
              <w:szCs w:val="22"/>
              <w:lang w:val="de-DE"/>
            </w:rPr>
            <w:t>Carsten Waitzmann</w:t>
          </w:r>
        </w:p>
        <w:p w:rsidR="00B15605" w:rsidRPr="00AE5FC4" w:rsidRDefault="00B15605" w:rsidP="00971330">
          <w:pPr>
            <w:spacing w:before="0"/>
            <w:rPr>
              <w:sz w:val="22"/>
              <w:szCs w:val="22"/>
              <w:lang w:val="de-DE"/>
            </w:rPr>
          </w:pPr>
          <w:r w:rsidRPr="00AE5FC4">
            <w:rPr>
              <w:sz w:val="22"/>
              <w:szCs w:val="22"/>
              <w:lang w:val="de-DE"/>
            </w:rPr>
            <w:t>ALCATEL-LUCENT</w:t>
          </w:r>
        </w:p>
        <w:p w:rsidR="00B15605" w:rsidRPr="00AE5FC4" w:rsidRDefault="00B15605" w:rsidP="00971330">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B15605" w:rsidRPr="00AE5FC4" w:rsidRDefault="00B15605" w:rsidP="00971330">
          <w:pPr>
            <w:rPr>
              <w:sz w:val="22"/>
              <w:szCs w:val="22"/>
              <w:lang w:val="fr-FR"/>
            </w:rPr>
          </w:pPr>
          <w:r w:rsidRPr="00AE5FC4">
            <w:rPr>
              <w:sz w:val="22"/>
              <w:szCs w:val="22"/>
              <w:lang w:val="fr-FR"/>
            </w:rPr>
            <w:t xml:space="preserve">Tel: </w:t>
          </w:r>
          <w:r w:rsidRPr="00AE5FC4">
            <w:rPr>
              <w:sz w:val="22"/>
              <w:szCs w:val="22"/>
              <w:lang w:val="fr-FR"/>
            </w:rPr>
            <w:tab/>
            <w:t>+49-711-821-40406</w:t>
          </w:r>
        </w:p>
        <w:p w:rsidR="00B15605" w:rsidRPr="00AE5FC4" w:rsidRDefault="00B15605" w:rsidP="00971330">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B15605" w:rsidRPr="00AE5FC4" w:rsidRDefault="00B15605" w:rsidP="00971330">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B15605" w:rsidRPr="00AE5FC4" w:rsidTr="0037415F">
      <w:trPr>
        <w:cantSplit/>
        <w:trHeight w:val="204"/>
        <w:jc w:val="center"/>
      </w:trPr>
      <w:tc>
        <w:tcPr>
          <w:tcW w:w="1617" w:type="dxa"/>
          <w:tcBorders>
            <w:top w:val="single" w:sz="12" w:space="0" w:color="auto"/>
          </w:tcBorders>
        </w:tcPr>
        <w:p w:rsidR="00B15605" w:rsidRPr="00AE5FC4" w:rsidRDefault="00B15605" w:rsidP="001F2C43">
          <w:pPr>
            <w:rPr>
              <w:b/>
              <w:bCs/>
              <w:sz w:val="22"/>
              <w:szCs w:val="22"/>
            </w:rPr>
          </w:pPr>
          <w:bookmarkStart w:id="7" w:name="dcontact"/>
          <w:bookmarkStart w:id="8" w:name="dcontent1" w:colFirst="1" w:colLast="1"/>
          <w:r w:rsidRPr="00AE5FC4">
            <w:rPr>
              <w:b/>
              <w:bCs/>
              <w:sz w:val="22"/>
              <w:szCs w:val="22"/>
            </w:rPr>
            <w:t>Contact:</w:t>
          </w:r>
        </w:p>
      </w:tc>
      <w:tc>
        <w:tcPr>
          <w:tcW w:w="3543" w:type="dxa"/>
          <w:tcBorders>
            <w:top w:val="single" w:sz="12" w:space="0" w:color="auto"/>
          </w:tcBorders>
        </w:tcPr>
        <w:p w:rsidR="00B15605" w:rsidRPr="00AE5FC4" w:rsidRDefault="00B15605" w:rsidP="00971330">
          <w:pPr>
            <w:pStyle w:val="Headingb"/>
            <w:spacing w:before="120"/>
            <w:rPr>
              <w:bCs/>
              <w:smallCaps/>
              <w:sz w:val="22"/>
              <w:szCs w:val="22"/>
              <w:lang w:val="en-US"/>
            </w:rPr>
          </w:pPr>
          <w:r w:rsidRPr="00AE5FC4">
            <w:rPr>
              <w:bCs/>
              <w:smallCaps/>
              <w:sz w:val="22"/>
              <w:szCs w:val="22"/>
              <w:lang w:val="en-US"/>
            </w:rPr>
            <w:t>He Bing</w:t>
          </w:r>
        </w:p>
        <w:p w:rsidR="00B15605" w:rsidRPr="00AE5FC4" w:rsidRDefault="00B15605" w:rsidP="00971330">
          <w:pPr>
            <w:spacing w:before="0"/>
            <w:rPr>
              <w:sz w:val="22"/>
              <w:szCs w:val="22"/>
            </w:rPr>
          </w:pPr>
          <w:r w:rsidRPr="00AE5FC4">
            <w:rPr>
              <w:sz w:val="22"/>
              <w:szCs w:val="22"/>
            </w:rPr>
            <w:t xml:space="preserve">ALCATEL-LUCENT </w:t>
          </w:r>
          <w:r w:rsidRPr="00AE5FC4">
            <w:rPr>
              <w:sz w:val="22"/>
              <w:szCs w:val="22"/>
              <w:lang w:val="en-US"/>
            </w:rPr>
            <w:t>SHANGHAI BELL</w:t>
          </w:r>
          <w:r>
            <w:rPr>
              <w:sz w:val="22"/>
              <w:szCs w:val="22"/>
              <w:lang w:val="en-US"/>
            </w:rPr>
            <w:t xml:space="preserve"> </w:t>
          </w:r>
          <w:r w:rsidRPr="00AE5FC4">
            <w:rPr>
              <w:sz w:val="22"/>
              <w:szCs w:val="22"/>
            </w:rPr>
            <w:t>China</w:t>
          </w:r>
        </w:p>
      </w:tc>
      <w:tc>
        <w:tcPr>
          <w:tcW w:w="4763" w:type="dxa"/>
          <w:tcBorders>
            <w:top w:val="single" w:sz="12" w:space="0" w:color="auto"/>
          </w:tcBorders>
        </w:tcPr>
        <w:p w:rsidR="00B15605" w:rsidRPr="00AE5FC4" w:rsidRDefault="00B15605" w:rsidP="00971330">
          <w:pPr>
            <w:rPr>
              <w:sz w:val="22"/>
              <w:szCs w:val="22"/>
              <w:lang w:val="fr-FR"/>
            </w:rPr>
          </w:pPr>
          <w:r w:rsidRPr="00AE5FC4">
            <w:rPr>
              <w:sz w:val="22"/>
              <w:szCs w:val="22"/>
              <w:lang w:val="fr-FR"/>
            </w:rPr>
            <w:t xml:space="preserve">Tel: </w:t>
          </w:r>
          <w:r w:rsidRPr="00AE5FC4">
            <w:rPr>
              <w:sz w:val="22"/>
              <w:szCs w:val="22"/>
              <w:lang w:val="fr-FR"/>
            </w:rPr>
            <w:tab/>
            <w:t>+86 21 50554550 3619</w:t>
          </w:r>
        </w:p>
        <w:p w:rsidR="00B15605" w:rsidRPr="00AE5FC4" w:rsidRDefault="00B15605" w:rsidP="00971330">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B15605" w:rsidRPr="00AE5FC4" w:rsidRDefault="00B15605" w:rsidP="00971330">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B15605" w:rsidRPr="00AE5FC4" w:rsidTr="0037415F">
      <w:trPr>
        <w:cantSplit/>
        <w:trHeight w:val="204"/>
        <w:jc w:val="center"/>
      </w:trPr>
      <w:tc>
        <w:tcPr>
          <w:tcW w:w="1617" w:type="dxa"/>
          <w:tcBorders>
            <w:top w:val="single" w:sz="12" w:space="0" w:color="auto"/>
          </w:tcBorders>
        </w:tcPr>
        <w:p w:rsidR="00B15605" w:rsidRPr="00AE5FC4" w:rsidRDefault="00B15605" w:rsidP="001F2C43">
          <w:pPr>
            <w:rPr>
              <w:b/>
              <w:bCs/>
              <w:sz w:val="22"/>
              <w:szCs w:val="22"/>
            </w:rPr>
          </w:pPr>
          <w:bookmarkStart w:id="9" w:name="dcontent" w:colFirst="1" w:colLast="1"/>
          <w:bookmarkStart w:id="10" w:name="dcontent2" w:colFirst="1" w:colLast="1"/>
          <w:bookmarkEnd w:id="7"/>
          <w:bookmarkEnd w:id="8"/>
          <w:r w:rsidRPr="00AE5FC4">
            <w:rPr>
              <w:b/>
              <w:bCs/>
              <w:sz w:val="22"/>
              <w:szCs w:val="22"/>
            </w:rPr>
            <w:t>Contact:</w:t>
          </w:r>
        </w:p>
      </w:tc>
      <w:tc>
        <w:tcPr>
          <w:tcW w:w="3543" w:type="dxa"/>
          <w:tcBorders>
            <w:top w:val="single" w:sz="12" w:space="0" w:color="auto"/>
          </w:tcBorders>
        </w:tcPr>
        <w:p w:rsidR="00B15605" w:rsidRPr="00AE5FC4" w:rsidRDefault="00B15605" w:rsidP="00971330">
          <w:pPr>
            <w:pStyle w:val="Headingb"/>
            <w:spacing w:before="120"/>
            <w:rPr>
              <w:bCs/>
              <w:smallCaps/>
              <w:sz w:val="22"/>
              <w:szCs w:val="22"/>
              <w:lang w:val="it-IT"/>
            </w:rPr>
          </w:pPr>
          <w:r w:rsidRPr="00AE5FC4">
            <w:rPr>
              <w:bCs/>
              <w:smallCaps/>
              <w:sz w:val="22"/>
              <w:szCs w:val="22"/>
              <w:lang w:val="it-IT"/>
            </w:rPr>
            <w:t>Fei A Chen</w:t>
          </w:r>
        </w:p>
        <w:p w:rsidR="00B15605" w:rsidRPr="00AE5FC4" w:rsidRDefault="00B15605" w:rsidP="00971330">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B15605" w:rsidRPr="00AE5FC4" w:rsidRDefault="00B15605" w:rsidP="00971330">
          <w:pPr>
            <w:rPr>
              <w:sz w:val="22"/>
              <w:szCs w:val="22"/>
              <w:lang w:val="fr-FR"/>
            </w:rPr>
          </w:pPr>
          <w:r w:rsidRPr="00AE5FC4">
            <w:rPr>
              <w:sz w:val="22"/>
              <w:szCs w:val="22"/>
              <w:lang w:val="fr-FR"/>
            </w:rPr>
            <w:t xml:space="preserve">Tel: </w:t>
          </w:r>
          <w:r w:rsidRPr="00AE5FC4">
            <w:rPr>
              <w:sz w:val="22"/>
              <w:szCs w:val="22"/>
              <w:lang w:val="fr-FR"/>
            </w:rPr>
            <w:tab/>
            <w:t>+86 21 50554550 7548</w:t>
          </w:r>
        </w:p>
        <w:p w:rsidR="00B15605" w:rsidRPr="00AE5FC4" w:rsidRDefault="00B15605" w:rsidP="00971330">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B15605" w:rsidRPr="00AE5FC4" w:rsidRDefault="00B15605" w:rsidP="00971330">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bookmarkEnd w:id="9"/>
    <w:bookmarkEnd w:id="10"/>
    <w:tr w:rsidR="00B15605"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B15605" w:rsidRPr="0037415F" w:rsidRDefault="00B15605"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15605" w:rsidRPr="0037415F" w:rsidRDefault="00B15605" w:rsidP="0037415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22A" w:rsidRDefault="001D622A">
      <w:r>
        <w:separator/>
      </w:r>
    </w:p>
  </w:footnote>
  <w:footnote w:type="continuationSeparator" w:id="0">
    <w:p w:rsidR="001D622A" w:rsidRDefault="001D622A">
      <w:r>
        <w:continuationSeparator/>
      </w:r>
    </w:p>
  </w:footnote>
  <w:footnote w:id="1">
    <w:p w:rsidR="00B15605" w:rsidRPr="00BA10D7" w:rsidRDefault="00B15605" w:rsidP="00371352">
      <w:pPr>
        <w:pStyle w:val="FootnoteText"/>
        <w:rPr>
          <w:sz w:val="20"/>
          <w:lang w:val="en-US"/>
        </w:rPr>
      </w:pPr>
      <w:r>
        <w:rPr>
          <w:rStyle w:val="FootnoteReference"/>
        </w:rPr>
        <w:footnoteRef/>
      </w:r>
      <w:r>
        <w:t xml:space="preserve"> </w:t>
      </w:r>
      <w:r w:rsidRPr="00BA10D7">
        <w:rPr>
          <w:lang w:val="en-US"/>
        </w:rPr>
        <w:tab/>
      </w:r>
      <w:r w:rsidRPr="00BA10D7">
        <w:rPr>
          <w:sz w:val="20"/>
          <w:lang w:val="en-US"/>
        </w:rPr>
        <w:t>Authentication, Authorization and Accounting; positioned as a replacement of RADIUS</w:t>
      </w:r>
    </w:p>
  </w:footnote>
  <w:footnote w:id="2">
    <w:p w:rsidR="00B15605" w:rsidRPr="0055147B" w:rsidRDefault="00B15605">
      <w:pPr>
        <w:pStyle w:val="FootnoteText"/>
        <w:rPr>
          <w:sz w:val="20"/>
          <w:lang w:val="en-US"/>
        </w:rPr>
      </w:pPr>
      <w:r>
        <w:rPr>
          <w:rStyle w:val="FootnoteReference"/>
        </w:rPr>
        <w:footnoteRef/>
      </w:r>
      <w:r>
        <w:t xml:space="preserve"> </w:t>
      </w:r>
      <w:r w:rsidRPr="0055147B">
        <w:rPr>
          <w:lang w:val="en-US"/>
        </w:rPr>
        <w:tab/>
      </w:r>
      <w:r w:rsidRPr="0055147B">
        <w:rPr>
          <w:sz w:val="20"/>
          <w:lang w:val="en-US"/>
        </w:rPr>
        <w:t xml:space="preserve">such as </w:t>
      </w:r>
      <w:proofErr w:type="spellStart"/>
      <w:r w:rsidRPr="0055147B">
        <w:rPr>
          <w:sz w:val="20"/>
          <w:lang w:val="en-US"/>
        </w:rPr>
        <w:t>statefull</w:t>
      </w:r>
      <w:proofErr w:type="spellEnd"/>
      <w:r w:rsidRPr="0055147B">
        <w:rPr>
          <w:sz w:val="20"/>
          <w:lang w:val="en-US"/>
        </w:rPr>
        <w:t xml:space="preserve"> inspection, DPI mode</w:t>
      </w:r>
    </w:p>
  </w:footnote>
  <w:footnote w:id="3">
    <w:p w:rsidR="00B15605" w:rsidRPr="00B15605" w:rsidRDefault="00B15605">
      <w:pPr>
        <w:pStyle w:val="FootnoteText"/>
        <w:rPr>
          <w:sz w:val="20"/>
          <w:lang w:val="en-US"/>
        </w:rPr>
      </w:pPr>
      <w:r>
        <w:rPr>
          <w:rStyle w:val="FootnoteReference"/>
        </w:rPr>
        <w:footnoteRef/>
      </w:r>
      <w:r>
        <w:t xml:space="preserve"> </w:t>
      </w:r>
      <w:r w:rsidRPr="00B15605">
        <w:rPr>
          <w:lang w:val="en-US"/>
        </w:rPr>
        <w:tab/>
      </w:r>
      <w:r w:rsidRPr="00B15605">
        <w:rPr>
          <w:sz w:val="20"/>
          <w:lang w:val="en-US"/>
        </w:rPr>
        <w:t>see H.248.37 latching Signal, which is actually more of type Event than Signal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605" w:rsidRPr="0037415F" w:rsidRDefault="00B15605" w:rsidP="0037415F">
    <w:pPr>
      <w:pStyle w:val="Header"/>
      <w:rPr>
        <w:lang w:val="pt-BR"/>
      </w:rPr>
    </w:pPr>
    <w:r w:rsidRPr="0037415F">
      <w:t xml:space="preserve">- </w:t>
    </w:r>
    <w:r w:rsidR="001D622A">
      <w:fldChar w:fldCharType="begin"/>
    </w:r>
    <w:r w:rsidR="001D622A">
      <w:instrText xml:space="preserve"> PAGE  \* MERGEFORMAT </w:instrText>
    </w:r>
    <w:r w:rsidR="001D622A">
      <w:fldChar w:fldCharType="separate"/>
    </w:r>
    <w:r w:rsidR="003A0858">
      <w:rPr>
        <w:noProof/>
      </w:rPr>
      <w:t>2</w:t>
    </w:r>
    <w:r w:rsidR="001D622A">
      <w:rPr>
        <w:noProof/>
      </w:rPr>
      <w:fldChar w:fldCharType="end"/>
    </w:r>
    <w:r w:rsidRPr="0037415F">
      <w:rPr>
        <w:lang w:val="pt-BR"/>
      </w:rPr>
      <w:t xml:space="preserve"> -</w:t>
    </w:r>
    <w:r w:rsidR="003A0858">
      <w:rPr>
        <w:lang w:val="pt-BR"/>
      </w:rPr>
      <w:br/>
      <w:t>AVD-4245</w:t>
    </w:r>
  </w:p>
  <w:p w:rsidR="00B15605" w:rsidRPr="0037415F" w:rsidRDefault="00B15605" w:rsidP="0037415F">
    <w:pPr>
      <w:pStyle w:val="Header"/>
      <w:spacing w:after="240"/>
      <w:rPr>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1pt;height:23.8pt" o:bullet="t">
        <v:imagedata r:id="rId1" o:title="clip_image001"/>
      </v:shape>
    </w:pict>
  </w:numPicBullet>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0183AE0"/>
    <w:multiLevelType w:val="hybridMultilevel"/>
    <w:tmpl w:val="E99218B6"/>
    <w:lvl w:ilvl="0" w:tplc="04070001">
      <w:start w:val="1"/>
      <w:numFmt w:val="bullet"/>
      <w:lvlText w:val=""/>
      <w:lvlJc w:val="left"/>
      <w:pPr>
        <w:tabs>
          <w:tab w:val="num" w:pos="927"/>
        </w:tabs>
        <w:ind w:left="927" w:hanging="360"/>
      </w:pPr>
      <w:rPr>
        <w:rFonts w:ascii="Symbol" w:hAnsi="Symbol" w:hint="default"/>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2">
    <w:nsid w:val="121A210A"/>
    <w:multiLevelType w:val="hybridMultilevel"/>
    <w:tmpl w:val="5BA657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292F23B9"/>
    <w:multiLevelType w:val="hybridMultilevel"/>
    <w:tmpl w:val="41BEA61A"/>
    <w:lvl w:ilvl="0" w:tplc="04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nsid w:val="5DED0B80"/>
    <w:multiLevelType w:val="hybridMultilevel"/>
    <w:tmpl w:val="D3AAC89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611077F6"/>
    <w:multiLevelType w:val="hybridMultilevel"/>
    <w:tmpl w:val="C780F68C"/>
    <w:lvl w:ilvl="0" w:tplc="04070001">
      <w:start w:val="1"/>
      <w:numFmt w:val="bullet"/>
      <w:lvlText w:val=""/>
      <w:lvlJc w:val="left"/>
      <w:pPr>
        <w:tabs>
          <w:tab w:val="num" w:pos="927"/>
        </w:tabs>
        <w:ind w:left="927" w:hanging="360"/>
      </w:pPr>
      <w:rPr>
        <w:rFonts w:ascii="Symbol" w:hAnsi="Symbol" w:hint="default"/>
      </w:rPr>
    </w:lvl>
    <w:lvl w:ilvl="1" w:tplc="04070019" w:tentative="1">
      <w:start w:val="1"/>
      <w:numFmt w:val="lowerLetter"/>
      <w:lvlText w:val="%2."/>
      <w:lvlJc w:val="left"/>
      <w:pPr>
        <w:tabs>
          <w:tab w:val="num" w:pos="1647"/>
        </w:tabs>
        <w:ind w:left="1647" w:hanging="360"/>
      </w:pPr>
    </w:lvl>
    <w:lvl w:ilvl="2" w:tplc="0407001B" w:tentative="1">
      <w:start w:val="1"/>
      <w:numFmt w:val="lowerRoman"/>
      <w:lvlText w:val="%3."/>
      <w:lvlJc w:val="right"/>
      <w:pPr>
        <w:tabs>
          <w:tab w:val="num" w:pos="2367"/>
        </w:tabs>
        <w:ind w:left="2367" w:hanging="180"/>
      </w:pPr>
    </w:lvl>
    <w:lvl w:ilvl="3" w:tplc="0407000F" w:tentative="1">
      <w:start w:val="1"/>
      <w:numFmt w:val="decimal"/>
      <w:lvlText w:val="%4."/>
      <w:lvlJc w:val="left"/>
      <w:pPr>
        <w:tabs>
          <w:tab w:val="num" w:pos="3087"/>
        </w:tabs>
        <w:ind w:left="3087" w:hanging="360"/>
      </w:pPr>
    </w:lvl>
    <w:lvl w:ilvl="4" w:tplc="04070019" w:tentative="1">
      <w:start w:val="1"/>
      <w:numFmt w:val="lowerLetter"/>
      <w:lvlText w:val="%5."/>
      <w:lvlJc w:val="left"/>
      <w:pPr>
        <w:tabs>
          <w:tab w:val="num" w:pos="3807"/>
        </w:tabs>
        <w:ind w:left="3807" w:hanging="360"/>
      </w:pPr>
    </w:lvl>
    <w:lvl w:ilvl="5" w:tplc="0407001B" w:tentative="1">
      <w:start w:val="1"/>
      <w:numFmt w:val="lowerRoman"/>
      <w:lvlText w:val="%6."/>
      <w:lvlJc w:val="right"/>
      <w:pPr>
        <w:tabs>
          <w:tab w:val="num" w:pos="4527"/>
        </w:tabs>
        <w:ind w:left="4527" w:hanging="180"/>
      </w:pPr>
    </w:lvl>
    <w:lvl w:ilvl="6" w:tplc="0407000F" w:tentative="1">
      <w:start w:val="1"/>
      <w:numFmt w:val="decimal"/>
      <w:lvlText w:val="%7."/>
      <w:lvlJc w:val="left"/>
      <w:pPr>
        <w:tabs>
          <w:tab w:val="num" w:pos="5247"/>
        </w:tabs>
        <w:ind w:left="5247" w:hanging="360"/>
      </w:pPr>
    </w:lvl>
    <w:lvl w:ilvl="7" w:tplc="04070019" w:tentative="1">
      <w:start w:val="1"/>
      <w:numFmt w:val="lowerLetter"/>
      <w:lvlText w:val="%8."/>
      <w:lvlJc w:val="left"/>
      <w:pPr>
        <w:tabs>
          <w:tab w:val="num" w:pos="5967"/>
        </w:tabs>
        <w:ind w:left="5967" w:hanging="360"/>
      </w:pPr>
    </w:lvl>
    <w:lvl w:ilvl="8" w:tplc="0407001B" w:tentative="1">
      <w:start w:val="1"/>
      <w:numFmt w:val="lowerRoman"/>
      <w:lvlText w:val="%9."/>
      <w:lvlJc w:val="right"/>
      <w:pPr>
        <w:tabs>
          <w:tab w:val="num" w:pos="6687"/>
        </w:tabs>
        <w:ind w:left="6687" w:hanging="180"/>
      </w:pPr>
    </w:lvl>
  </w:abstractNum>
  <w:abstractNum w:abstractNumId="6">
    <w:nsid w:val="628E1A5B"/>
    <w:multiLevelType w:val="hybridMultilevel"/>
    <w:tmpl w:val="809AF0C4"/>
    <w:lvl w:ilvl="0" w:tplc="5DFE6EFA">
      <w:start w:val="1"/>
      <w:numFmt w:val="bullet"/>
      <w:pStyle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681249F0"/>
    <w:multiLevelType w:val="hybridMultilevel"/>
    <w:tmpl w:val="5FB4045E"/>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6"/>
  </w:num>
  <w:num w:numId="8">
    <w:abstractNumId w:val="7"/>
  </w:num>
  <w:num w:numId="9">
    <w:abstractNumId w:val="5"/>
  </w:num>
  <w:num w:numId="10">
    <w:abstractNumId w:val="1"/>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2E0E"/>
    <w:rsid w:val="00000350"/>
    <w:rsid w:val="00000ECC"/>
    <w:rsid w:val="000340CF"/>
    <w:rsid w:val="0003503D"/>
    <w:rsid w:val="000629E8"/>
    <w:rsid w:val="000645B7"/>
    <w:rsid w:val="00067CF8"/>
    <w:rsid w:val="00106415"/>
    <w:rsid w:val="00110BF0"/>
    <w:rsid w:val="00156C64"/>
    <w:rsid w:val="0015702F"/>
    <w:rsid w:val="00157A45"/>
    <w:rsid w:val="001969CE"/>
    <w:rsid w:val="001B2A8B"/>
    <w:rsid w:val="001B30B9"/>
    <w:rsid w:val="001C06EB"/>
    <w:rsid w:val="001D622A"/>
    <w:rsid w:val="001F2C43"/>
    <w:rsid w:val="00206180"/>
    <w:rsid w:val="002117AF"/>
    <w:rsid w:val="002137E6"/>
    <w:rsid w:val="002516CB"/>
    <w:rsid w:val="002802D4"/>
    <w:rsid w:val="002E21BE"/>
    <w:rsid w:val="003051FE"/>
    <w:rsid w:val="00334C1D"/>
    <w:rsid w:val="00334F98"/>
    <w:rsid w:val="003415FD"/>
    <w:rsid w:val="00346D56"/>
    <w:rsid w:val="00371352"/>
    <w:rsid w:val="00372998"/>
    <w:rsid w:val="0037415F"/>
    <w:rsid w:val="003862F8"/>
    <w:rsid w:val="00397A57"/>
    <w:rsid w:val="003A0858"/>
    <w:rsid w:val="003A4EFC"/>
    <w:rsid w:val="003F1AB6"/>
    <w:rsid w:val="003F702F"/>
    <w:rsid w:val="00407804"/>
    <w:rsid w:val="00434B3D"/>
    <w:rsid w:val="00435A1E"/>
    <w:rsid w:val="00440555"/>
    <w:rsid w:val="004C3F69"/>
    <w:rsid w:val="004D78BD"/>
    <w:rsid w:val="00515BC5"/>
    <w:rsid w:val="00515D61"/>
    <w:rsid w:val="0053323B"/>
    <w:rsid w:val="00536794"/>
    <w:rsid w:val="00543AA8"/>
    <w:rsid w:val="0055147B"/>
    <w:rsid w:val="00573BBE"/>
    <w:rsid w:val="005B24E7"/>
    <w:rsid w:val="005D02FE"/>
    <w:rsid w:val="005F51F6"/>
    <w:rsid w:val="00604A80"/>
    <w:rsid w:val="006248BE"/>
    <w:rsid w:val="006307C7"/>
    <w:rsid w:val="00644FCF"/>
    <w:rsid w:val="00645D91"/>
    <w:rsid w:val="00646C9A"/>
    <w:rsid w:val="0067050F"/>
    <w:rsid w:val="00677F34"/>
    <w:rsid w:val="0068511D"/>
    <w:rsid w:val="00694061"/>
    <w:rsid w:val="00696C33"/>
    <w:rsid w:val="006A23E0"/>
    <w:rsid w:val="006B1162"/>
    <w:rsid w:val="006B2828"/>
    <w:rsid w:val="006D6332"/>
    <w:rsid w:val="006E0AD8"/>
    <w:rsid w:val="00701FB2"/>
    <w:rsid w:val="0073064E"/>
    <w:rsid w:val="00733B02"/>
    <w:rsid w:val="00737117"/>
    <w:rsid w:val="00762E0E"/>
    <w:rsid w:val="00771F46"/>
    <w:rsid w:val="007B27C8"/>
    <w:rsid w:val="007B35A2"/>
    <w:rsid w:val="007B5CEB"/>
    <w:rsid w:val="007F3761"/>
    <w:rsid w:val="00831731"/>
    <w:rsid w:val="00831E2A"/>
    <w:rsid w:val="00843638"/>
    <w:rsid w:val="00850D73"/>
    <w:rsid w:val="0087131B"/>
    <w:rsid w:val="00877936"/>
    <w:rsid w:val="00880442"/>
    <w:rsid w:val="00880DA5"/>
    <w:rsid w:val="008A1622"/>
    <w:rsid w:val="008B753B"/>
    <w:rsid w:val="008C246A"/>
    <w:rsid w:val="008C31C6"/>
    <w:rsid w:val="008E501A"/>
    <w:rsid w:val="008F2334"/>
    <w:rsid w:val="00901CBB"/>
    <w:rsid w:val="00904155"/>
    <w:rsid w:val="0091291C"/>
    <w:rsid w:val="00955300"/>
    <w:rsid w:val="00961FC7"/>
    <w:rsid w:val="00971330"/>
    <w:rsid w:val="0097552A"/>
    <w:rsid w:val="00992ECF"/>
    <w:rsid w:val="009A5EF8"/>
    <w:rsid w:val="009E1833"/>
    <w:rsid w:val="009F3422"/>
    <w:rsid w:val="009F50B3"/>
    <w:rsid w:val="00A1004A"/>
    <w:rsid w:val="00A1730A"/>
    <w:rsid w:val="00A204FB"/>
    <w:rsid w:val="00A36C3A"/>
    <w:rsid w:val="00A414D2"/>
    <w:rsid w:val="00A50E5A"/>
    <w:rsid w:val="00A9091B"/>
    <w:rsid w:val="00AC0FF8"/>
    <w:rsid w:val="00AC38A4"/>
    <w:rsid w:val="00AE2DFE"/>
    <w:rsid w:val="00AE5FC4"/>
    <w:rsid w:val="00AF1A1E"/>
    <w:rsid w:val="00B15605"/>
    <w:rsid w:val="00B17570"/>
    <w:rsid w:val="00B30F67"/>
    <w:rsid w:val="00B31236"/>
    <w:rsid w:val="00B3728A"/>
    <w:rsid w:val="00B44FB3"/>
    <w:rsid w:val="00B54A0F"/>
    <w:rsid w:val="00BA10D7"/>
    <w:rsid w:val="00BB138D"/>
    <w:rsid w:val="00BB754F"/>
    <w:rsid w:val="00BC031D"/>
    <w:rsid w:val="00BC1F9A"/>
    <w:rsid w:val="00BD040F"/>
    <w:rsid w:val="00C02E8C"/>
    <w:rsid w:val="00C07543"/>
    <w:rsid w:val="00C26537"/>
    <w:rsid w:val="00C412CE"/>
    <w:rsid w:val="00C41344"/>
    <w:rsid w:val="00C571BB"/>
    <w:rsid w:val="00C9294F"/>
    <w:rsid w:val="00CA35A5"/>
    <w:rsid w:val="00CA3606"/>
    <w:rsid w:val="00CD224F"/>
    <w:rsid w:val="00CD4CA3"/>
    <w:rsid w:val="00CD56F3"/>
    <w:rsid w:val="00CD617A"/>
    <w:rsid w:val="00D22048"/>
    <w:rsid w:val="00D45282"/>
    <w:rsid w:val="00D4587F"/>
    <w:rsid w:val="00DC1538"/>
    <w:rsid w:val="00DF64A7"/>
    <w:rsid w:val="00E12FCE"/>
    <w:rsid w:val="00E177F4"/>
    <w:rsid w:val="00E3605A"/>
    <w:rsid w:val="00E65890"/>
    <w:rsid w:val="00EB6912"/>
    <w:rsid w:val="00ED5313"/>
    <w:rsid w:val="00EF3179"/>
    <w:rsid w:val="00EF3C6C"/>
    <w:rsid w:val="00EF5A4E"/>
    <w:rsid w:val="00F15ECA"/>
    <w:rsid w:val="00F204FB"/>
    <w:rsid w:val="00F27EFA"/>
    <w:rsid w:val="00F418D8"/>
    <w:rsid w:val="00FD26B9"/>
    <w:rsid w:val="00FE5E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
    <w:basedOn w:val="Normal"/>
    <w:next w:val="Normal"/>
    <w:link w:val="Heading1Char"/>
    <w:qFormat/>
    <w:rsid w:val="006B2828"/>
    <w:pPr>
      <w:keepNext/>
      <w:keepLines/>
      <w:spacing w:before="360"/>
      <w:ind w:left="794" w:hanging="794"/>
      <w:outlineLvl w:val="0"/>
    </w:pPr>
    <w:rPr>
      <w:b/>
    </w:rPr>
  </w:style>
  <w:style w:type="paragraph" w:styleId="Heading2">
    <w:name w:val="heading 2"/>
    <w:aliases w:val="h2,2nd level,l2,2,UNDERRUBRIK 1-2,heading 2+ Indent: Left 0.25 in,H2,H21,h21,h 2,NoHeading 2,NotHeading 2,Heading 2 Hidden,H2-Heading 2,Header 2,Header2,22,heading2,list2,A,A.B.C.,list 2,Heading2,Heading Indent No L2,Überschrift 2 Char,H2 Char"/>
    <w:basedOn w:val="Heading1"/>
    <w:next w:val="Normal"/>
    <w:link w:val="Heading2Char"/>
    <w:qFormat/>
    <w:rsid w:val="006B2828"/>
    <w:pPr>
      <w:spacing w:before="240"/>
      <w:outlineLvl w:val="1"/>
    </w:pPr>
  </w:style>
  <w:style w:type="paragraph" w:styleId="Heading3">
    <w:name w:val="heading 3"/>
    <w:aliases w:val="h3,l3,H3,H31,h 3,3rd level,3,subsection"/>
    <w:basedOn w:val="Heading1"/>
    <w:next w:val="Normal"/>
    <w:qFormat/>
    <w:rsid w:val="006B2828"/>
    <w:pPr>
      <w:spacing w:before="160"/>
      <w:outlineLvl w:val="2"/>
    </w:pPr>
  </w:style>
  <w:style w:type="paragraph" w:styleId="Heading4">
    <w:name w:val="heading 4"/>
    <w:aliases w:val="h4,l4,4"/>
    <w:basedOn w:val="Heading3"/>
    <w:next w:val="Normal"/>
    <w:qFormat/>
    <w:rsid w:val="006B2828"/>
    <w:pPr>
      <w:tabs>
        <w:tab w:val="clear" w:pos="794"/>
        <w:tab w:val="left" w:pos="1021"/>
      </w:tabs>
      <w:ind w:left="1021" w:hanging="1021"/>
      <w:outlineLvl w:val="3"/>
    </w:pPr>
  </w:style>
  <w:style w:type="paragraph" w:styleId="Heading5">
    <w:name w:val="heading 5"/>
    <w:aliases w:val="H5,H51"/>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cs="Times New Roman"/>
      <w:b/>
    </w:rPr>
  </w:style>
  <w:style w:type="character" w:customStyle="1" w:styleId="Appref">
    <w:name w:val="App_ref"/>
    <w:basedOn w:val="DefaultParagraphFont"/>
    <w:rsid w:val="006B2828"/>
    <w:rPr>
      <w:rFonts w:cs="Times New Roman"/>
    </w:rPr>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cs="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rPr>
      <w:rFonts w:cs="Times New Roman"/>
    </w:rPr>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rFonts w:cs="Times New Roman"/>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rFonts w:cs="Times New Roman"/>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rPr>
      <w:rFonts w:cs="Times New Roman"/>
    </w:rPr>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rFonts w:cs="Times New Roman"/>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cs="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rFonts w:cs="Times New Roman"/>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880442"/>
    <w:pPr>
      <w:ind w:left="1815"/>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locked/>
    <w:rsid w:val="0037415F"/>
    <w:rPr>
      <w:rFonts w:cs="Times New Roman"/>
      <w:lang w:val="en-GB" w:eastAsia="en-US"/>
    </w:rPr>
  </w:style>
  <w:style w:type="character" w:styleId="Hyperlink">
    <w:name w:val="Hyperlink"/>
    <w:basedOn w:val="DefaultParagraphFont"/>
    <w:rsid w:val="00AE5FC4"/>
    <w:rPr>
      <w:color w:val="0000FF"/>
      <w:u w:val="single"/>
    </w:rPr>
  </w:style>
  <w:style w:type="character" w:styleId="HTMLTypewriter">
    <w:name w:val="HTML Typewriter"/>
    <w:basedOn w:val="DefaultParagraphFont"/>
    <w:rsid w:val="00AE5FC4"/>
    <w:rPr>
      <w:rFonts w:ascii="Arial Unicode MS" w:eastAsia="Arial Unicode MS" w:hAnsi="Arial Unicode MS" w:cs="Arial Unicode MS"/>
      <w:sz w:val="20"/>
      <w:szCs w:val="20"/>
    </w:rPr>
  </w:style>
  <w:style w:type="character" w:customStyle="1" w:styleId="insert">
    <w:name w:val="insert"/>
    <w:basedOn w:val="DefaultParagraphFont"/>
    <w:rsid w:val="002137E6"/>
  </w:style>
  <w:style w:type="paragraph" w:customStyle="1" w:styleId="CorrectionSeparatorBegin">
    <w:name w:val="Correction Separator Begin"/>
    <w:basedOn w:val="Normal"/>
    <w:rsid w:val="00677F3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677F34"/>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customStyle="1" w:styleId="Heading2Char">
    <w:name w:val="Heading 2 Char"/>
    <w:aliases w:val="h2 Char,2nd level Char,l2 Char,2 Char,UNDERRUBRIK 1-2 Char,heading 2+ Indent: Left 0.25 in Char,H2 Char1,H21 Char,h21 Char,h 2 Char,NoHeading 2 Char,NotHeading 2 Char,Heading 2 Hidden Char,H2-Heading 2 Char,Header 2 Char,Header2 Char"/>
    <w:basedOn w:val="DefaultParagraphFont"/>
    <w:link w:val="Heading2"/>
    <w:rsid w:val="00677F34"/>
    <w:rPr>
      <w:b/>
      <w:sz w:val="24"/>
      <w:lang w:val="en-GB" w:eastAsia="en-US" w:bidi="ar-SA"/>
    </w:rPr>
  </w:style>
  <w:style w:type="character" w:customStyle="1" w:styleId="Heading1Char">
    <w:name w:val="Heading 1 Char"/>
    <w:aliases w:val="h1 Char1,1st level Char,toc1 Char,l1 Char1,I1 Char,1 Char,l11 Char,h11 Char,l12 Char,h12 Char,l111 Char,h111 Char,Überschrift 1 Char Char,h1 Char Char,H1 Char Char,l1 Char Char"/>
    <w:basedOn w:val="DefaultParagraphFont"/>
    <w:link w:val="Heading1"/>
    <w:rsid w:val="00677F34"/>
    <w:rPr>
      <w:b/>
      <w:sz w:val="24"/>
      <w:lang w:val="en-GB" w:eastAsia="en-US" w:bidi="ar-SA"/>
    </w:rPr>
  </w:style>
  <w:style w:type="paragraph" w:customStyle="1" w:styleId="bullet">
    <w:name w:val="bullet"/>
    <w:basedOn w:val="Normal"/>
    <w:rsid w:val="00B31236"/>
    <w:pPr>
      <w:numPr>
        <w:numId w:val="7"/>
      </w:numPr>
    </w:pPr>
  </w:style>
  <w:style w:type="paragraph" w:customStyle="1" w:styleId="PL">
    <w:name w:val="PL"/>
    <w:rsid w:val="001064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ListParagraph">
    <w:name w:val="List Paragraph"/>
    <w:basedOn w:val="Normal"/>
    <w:uiPriority w:val="34"/>
    <w:qFormat/>
    <w:rsid w:val="00B156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223738">
      <w:bodyDiv w:val="1"/>
      <w:marLeft w:val="0"/>
      <w:marRight w:val="0"/>
      <w:marTop w:val="0"/>
      <w:marBottom w:val="0"/>
      <w:divBdr>
        <w:top w:val="none" w:sz="0" w:space="0" w:color="auto"/>
        <w:left w:val="none" w:sz="0" w:space="0" w:color="auto"/>
        <w:bottom w:val="none" w:sz="0" w:space="0" w:color="auto"/>
        <w:right w:val="none" w:sz="0" w:space="0" w:color="auto"/>
      </w:divBdr>
      <w:divsChild>
        <w:div w:id="393045524">
          <w:marLeft w:val="0"/>
          <w:marRight w:val="0"/>
          <w:marTop w:val="0"/>
          <w:marBottom w:val="0"/>
          <w:divBdr>
            <w:top w:val="none" w:sz="0" w:space="0" w:color="auto"/>
            <w:left w:val="none" w:sz="0" w:space="0" w:color="auto"/>
            <w:bottom w:val="none" w:sz="0" w:space="0" w:color="auto"/>
            <w:right w:val="none" w:sz="0" w:space="0" w:color="auto"/>
          </w:divBdr>
          <w:divsChild>
            <w:div w:id="169084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341531">
      <w:bodyDiv w:val="1"/>
      <w:marLeft w:val="0"/>
      <w:marRight w:val="0"/>
      <w:marTop w:val="0"/>
      <w:marBottom w:val="0"/>
      <w:divBdr>
        <w:top w:val="none" w:sz="0" w:space="0" w:color="auto"/>
        <w:left w:val="none" w:sz="0" w:space="0" w:color="auto"/>
        <w:bottom w:val="none" w:sz="0" w:space="0" w:color="auto"/>
        <w:right w:val="none" w:sz="0" w:space="0" w:color="auto"/>
      </w:divBdr>
      <w:divsChild>
        <w:div w:id="420109023">
          <w:marLeft w:val="0"/>
          <w:marRight w:val="0"/>
          <w:marTop w:val="0"/>
          <w:marBottom w:val="0"/>
          <w:divBdr>
            <w:top w:val="none" w:sz="0" w:space="0" w:color="auto"/>
            <w:left w:val="none" w:sz="0" w:space="0" w:color="auto"/>
            <w:bottom w:val="none" w:sz="0" w:space="0" w:color="auto"/>
            <w:right w:val="none" w:sz="0" w:space="0" w:color="auto"/>
          </w:divBdr>
          <w:divsChild>
            <w:div w:id="609356670">
              <w:marLeft w:val="0"/>
              <w:marRight w:val="0"/>
              <w:marTop w:val="0"/>
              <w:marBottom w:val="0"/>
              <w:divBdr>
                <w:top w:val="none" w:sz="0" w:space="0" w:color="auto"/>
                <w:left w:val="none" w:sz="0" w:space="0" w:color="auto"/>
                <w:bottom w:val="none" w:sz="0" w:space="0" w:color="auto"/>
                <w:right w:val="none" w:sz="0" w:space="0" w:color="auto"/>
              </w:divBdr>
            </w:div>
            <w:div w:id="1426799844">
              <w:marLeft w:val="0"/>
              <w:marRight w:val="0"/>
              <w:marTop w:val="0"/>
              <w:marBottom w:val="0"/>
              <w:divBdr>
                <w:top w:val="none" w:sz="0" w:space="0" w:color="auto"/>
                <w:left w:val="none" w:sz="0" w:space="0" w:color="auto"/>
                <w:bottom w:val="none" w:sz="0" w:space="0" w:color="auto"/>
                <w:right w:val="none" w:sz="0" w:space="0" w:color="auto"/>
              </w:divBdr>
            </w:div>
            <w:div w:id="1569533973">
              <w:marLeft w:val="0"/>
              <w:marRight w:val="0"/>
              <w:marTop w:val="0"/>
              <w:marBottom w:val="0"/>
              <w:divBdr>
                <w:top w:val="none" w:sz="0" w:space="0" w:color="auto"/>
                <w:left w:val="none" w:sz="0" w:space="0" w:color="auto"/>
                <w:bottom w:val="none" w:sz="0" w:space="0" w:color="auto"/>
                <w:right w:val="none" w:sz="0" w:space="0" w:color="auto"/>
              </w:divBdr>
            </w:div>
            <w:div w:id="1624074673">
              <w:marLeft w:val="0"/>
              <w:marRight w:val="0"/>
              <w:marTop w:val="0"/>
              <w:marBottom w:val="0"/>
              <w:divBdr>
                <w:top w:val="none" w:sz="0" w:space="0" w:color="auto"/>
                <w:left w:val="none" w:sz="0" w:space="0" w:color="auto"/>
                <w:bottom w:val="none" w:sz="0" w:space="0" w:color="auto"/>
                <w:right w:val="none" w:sz="0" w:space="0" w:color="auto"/>
              </w:divBdr>
            </w:div>
            <w:div w:id="204382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969186">
      <w:bodyDiv w:val="1"/>
      <w:marLeft w:val="0"/>
      <w:marRight w:val="0"/>
      <w:marTop w:val="0"/>
      <w:marBottom w:val="0"/>
      <w:divBdr>
        <w:top w:val="none" w:sz="0" w:space="0" w:color="auto"/>
        <w:left w:val="none" w:sz="0" w:space="0" w:color="auto"/>
        <w:bottom w:val="none" w:sz="0" w:space="0" w:color="auto"/>
        <w:right w:val="none" w:sz="0" w:space="0" w:color="auto"/>
      </w:divBdr>
      <w:divsChild>
        <w:div w:id="10891528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AAD49-3899-4114-BECD-1D50D48DD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5</Pages>
  <Words>1057</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&lt;INSERT TITLE (ENGLISH ONLY)&gt;</vt:lpstr>
    </vt:vector>
  </TitlesOfParts>
  <Manager>ITU-T</Manager>
  <Company>International Telecommunication Union (ITU)</Company>
  <LinksUpToDate>false</LinksUpToDate>
  <CharactersWithSpaces>7070</CharactersWithSpaces>
  <SharedDoc>false</SharedDoc>
  <HLinks>
    <vt:vector size="126" baseType="variant">
      <vt:variant>
        <vt:i4>1638448</vt:i4>
      </vt:variant>
      <vt:variant>
        <vt:i4>95</vt:i4>
      </vt:variant>
      <vt:variant>
        <vt:i4>0</vt:i4>
      </vt:variant>
      <vt:variant>
        <vt:i4>5</vt:i4>
      </vt:variant>
      <vt:variant>
        <vt:lpwstr/>
      </vt:variant>
      <vt:variant>
        <vt:lpwstr>_Toc318882358</vt:lpwstr>
      </vt:variant>
      <vt:variant>
        <vt:i4>1638448</vt:i4>
      </vt:variant>
      <vt:variant>
        <vt:i4>89</vt:i4>
      </vt:variant>
      <vt:variant>
        <vt:i4>0</vt:i4>
      </vt:variant>
      <vt:variant>
        <vt:i4>5</vt:i4>
      </vt:variant>
      <vt:variant>
        <vt:lpwstr/>
      </vt:variant>
      <vt:variant>
        <vt:lpwstr>_Toc318882357</vt:lpwstr>
      </vt:variant>
      <vt:variant>
        <vt:i4>1638448</vt:i4>
      </vt:variant>
      <vt:variant>
        <vt:i4>83</vt:i4>
      </vt:variant>
      <vt:variant>
        <vt:i4>0</vt:i4>
      </vt:variant>
      <vt:variant>
        <vt:i4>5</vt:i4>
      </vt:variant>
      <vt:variant>
        <vt:lpwstr/>
      </vt:variant>
      <vt:variant>
        <vt:lpwstr>_Toc318882356</vt:lpwstr>
      </vt:variant>
      <vt:variant>
        <vt:i4>1638448</vt:i4>
      </vt:variant>
      <vt:variant>
        <vt:i4>77</vt:i4>
      </vt:variant>
      <vt:variant>
        <vt:i4>0</vt:i4>
      </vt:variant>
      <vt:variant>
        <vt:i4>5</vt:i4>
      </vt:variant>
      <vt:variant>
        <vt:lpwstr/>
      </vt:variant>
      <vt:variant>
        <vt:lpwstr>_Toc318882355</vt:lpwstr>
      </vt:variant>
      <vt:variant>
        <vt:i4>1638448</vt:i4>
      </vt:variant>
      <vt:variant>
        <vt:i4>71</vt:i4>
      </vt:variant>
      <vt:variant>
        <vt:i4>0</vt:i4>
      </vt:variant>
      <vt:variant>
        <vt:i4>5</vt:i4>
      </vt:variant>
      <vt:variant>
        <vt:lpwstr/>
      </vt:variant>
      <vt:variant>
        <vt:lpwstr>_Toc318882354</vt:lpwstr>
      </vt:variant>
      <vt:variant>
        <vt:i4>1638448</vt:i4>
      </vt:variant>
      <vt:variant>
        <vt:i4>65</vt:i4>
      </vt:variant>
      <vt:variant>
        <vt:i4>0</vt:i4>
      </vt:variant>
      <vt:variant>
        <vt:i4>5</vt:i4>
      </vt:variant>
      <vt:variant>
        <vt:lpwstr/>
      </vt:variant>
      <vt:variant>
        <vt:lpwstr>_Toc318882353</vt:lpwstr>
      </vt:variant>
      <vt:variant>
        <vt:i4>1638448</vt:i4>
      </vt:variant>
      <vt:variant>
        <vt:i4>59</vt:i4>
      </vt:variant>
      <vt:variant>
        <vt:i4>0</vt:i4>
      </vt:variant>
      <vt:variant>
        <vt:i4>5</vt:i4>
      </vt:variant>
      <vt:variant>
        <vt:lpwstr/>
      </vt:variant>
      <vt:variant>
        <vt:lpwstr>_Toc318882352</vt:lpwstr>
      </vt:variant>
      <vt:variant>
        <vt:i4>1638448</vt:i4>
      </vt:variant>
      <vt:variant>
        <vt:i4>53</vt:i4>
      </vt:variant>
      <vt:variant>
        <vt:i4>0</vt:i4>
      </vt:variant>
      <vt:variant>
        <vt:i4>5</vt:i4>
      </vt:variant>
      <vt:variant>
        <vt:lpwstr/>
      </vt:variant>
      <vt:variant>
        <vt:lpwstr>_Toc318882351</vt:lpwstr>
      </vt:variant>
      <vt:variant>
        <vt:i4>1638448</vt:i4>
      </vt:variant>
      <vt:variant>
        <vt:i4>47</vt:i4>
      </vt:variant>
      <vt:variant>
        <vt:i4>0</vt:i4>
      </vt:variant>
      <vt:variant>
        <vt:i4>5</vt:i4>
      </vt:variant>
      <vt:variant>
        <vt:lpwstr/>
      </vt:variant>
      <vt:variant>
        <vt:lpwstr>_Toc318882350</vt:lpwstr>
      </vt:variant>
      <vt:variant>
        <vt:i4>1572912</vt:i4>
      </vt:variant>
      <vt:variant>
        <vt:i4>41</vt:i4>
      </vt:variant>
      <vt:variant>
        <vt:i4>0</vt:i4>
      </vt:variant>
      <vt:variant>
        <vt:i4>5</vt:i4>
      </vt:variant>
      <vt:variant>
        <vt:lpwstr/>
      </vt:variant>
      <vt:variant>
        <vt:lpwstr>_Toc318882349</vt:lpwstr>
      </vt:variant>
      <vt:variant>
        <vt:i4>1572912</vt:i4>
      </vt:variant>
      <vt:variant>
        <vt:i4>35</vt:i4>
      </vt:variant>
      <vt:variant>
        <vt:i4>0</vt:i4>
      </vt:variant>
      <vt:variant>
        <vt:i4>5</vt:i4>
      </vt:variant>
      <vt:variant>
        <vt:lpwstr/>
      </vt:variant>
      <vt:variant>
        <vt:lpwstr>_Toc318882348</vt:lpwstr>
      </vt:variant>
      <vt:variant>
        <vt:i4>1572912</vt:i4>
      </vt:variant>
      <vt:variant>
        <vt:i4>29</vt:i4>
      </vt:variant>
      <vt:variant>
        <vt:i4>0</vt:i4>
      </vt:variant>
      <vt:variant>
        <vt:i4>5</vt:i4>
      </vt:variant>
      <vt:variant>
        <vt:lpwstr/>
      </vt:variant>
      <vt:variant>
        <vt:lpwstr>_Toc318882347</vt:lpwstr>
      </vt:variant>
      <vt:variant>
        <vt:i4>1572912</vt:i4>
      </vt:variant>
      <vt:variant>
        <vt:i4>23</vt:i4>
      </vt:variant>
      <vt:variant>
        <vt:i4>0</vt:i4>
      </vt:variant>
      <vt:variant>
        <vt:i4>5</vt:i4>
      </vt:variant>
      <vt:variant>
        <vt:lpwstr/>
      </vt:variant>
      <vt:variant>
        <vt:lpwstr>_Toc318882346</vt:lpwstr>
      </vt:variant>
      <vt:variant>
        <vt:i4>1572912</vt:i4>
      </vt:variant>
      <vt:variant>
        <vt:i4>17</vt:i4>
      </vt:variant>
      <vt:variant>
        <vt:i4>0</vt:i4>
      </vt:variant>
      <vt:variant>
        <vt:i4>5</vt:i4>
      </vt:variant>
      <vt:variant>
        <vt:lpwstr/>
      </vt:variant>
      <vt:variant>
        <vt:lpwstr>_Toc318882345</vt:lpwstr>
      </vt:variant>
      <vt:variant>
        <vt:i4>1572912</vt:i4>
      </vt:variant>
      <vt:variant>
        <vt:i4>11</vt:i4>
      </vt:variant>
      <vt:variant>
        <vt:i4>0</vt:i4>
      </vt:variant>
      <vt:variant>
        <vt:i4>5</vt:i4>
      </vt:variant>
      <vt:variant>
        <vt:lpwstr/>
      </vt:variant>
      <vt:variant>
        <vt:lpwstr>_Toc318882344</vt:lpwstr>
      </vt:variant>
      <vt:variant>
        <vt:i4>1572912</vt:i4>
      </vt:variant>
      <vt:variant>
        <vt:i4>5</vt:i4>
      </vt:variant>
      <vt:variant>
        <vt:i4>0</vt:i4>
      </vt:variant>
      <vt:variant>
        <vt:i4>5</vt:i4>
      </vt:variant>
      <vt:variant>
        <vt:lpwstr/>
      </vt:variant>
      <vt:variant>
        <vt:lpwstr>_Toc318882343</vt:lpwstr>
      </vt: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&lt;INSERT TITLE (ENGLISH ONLY)&gt;</dc:title>
  <dc:subject/>
  <dc:creator>&lt;INSERT SOURCE(S)&gt;</dc:creator>
  <cp:keywords>X/16</cp:keywords>
  <dc:description>COM 16 – C xx – E  For: Document date: October 2011Saved by SCN51004261 at 12:02:52 on 10-Oct-11</dc:description>
  <cp:lastModifiedBy>Paul E. Jones</cp:lastModifiedBy>
  <cp:revision>11</cp:revision>
  <cp:lastPrinted>2012-09-14T07:50:00Z</cp:lastPrinted>
  <dcterms:created xsi:type="dcterms:W3CDTF">2012-09-14T15:48:00Z</dcterms:created>
  <dcterms:modified xsi:type="dcterms:W3CDTF">2012-09-17T22:07:00Z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