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3226"/>
      </w:tblGrid>
      <w:tr w:rsidR="006F0E7F" w:rsidRPr="009E34E9" w14:paraId="01511CF2" w14:textId="77777777" w:rsidTr="00EC4230">
        <w:tc>
          <w:tcPr>
            <w:tcW w:w="6408" w:type="dxa"/>
          </w:tcPr>
          <w:p w14:paraId="5B7F7E5D" w14:textId="0BD92901" w:rsidR="006F0E7F" w:rsidRPr="009E34E9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lang w:eastAsia="zh-CN"/>
              </w:rPr>
            </w:pP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MACROBUTTON MTEditEquationSection2 </w:instrText>
            </w:r>
            <w:r w:rsidRPr="009E34E9">
              <w:rPr>
                <w:rFonts w:eastAsia="Arial Unicode MS"/>
                <w:b/>
                <w:vanish/>
                <w:color w:val="FF0000"/>
                <w:kern w:val="2"/>
                <w:highlight w:val="yellow"/>
                <w:lang w:eastAsia="zh-CN"/>
              </w:rPr>
              <w:instrText>Equation Chapter 1 Section 1</w:instrText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MTEqn \r \h \* MERGEFORMAT </w:instrText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MTSec \r 1 \h \* MERGEFORMAT </w:instrText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begin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instrText xml:space="preserve"> SEQ MTChap \r 1 \h \* MERGEFORMAT </w:instrText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9E34E9">
              <w:rPr>
                <w:rFonts w:eastAsia="Arial Unicode MS"/>
                <w:b/>
                <w:kern w:val="2"/>
                <w:highlight w:val="yellow"/>
                <w:lang w:eastAsia="zh-CN"/>
              </w:rPr>
              <w:fldChar w:fldCharType="end"/>
            </w:r>
            <w:r w:rsidRPr="009E34E9">
              <w:rPr>
                <w:rFonts w:eastAsia="Arial Unicode MS"/>
                <w:b/>
                <w:kern w:val="2"/>
                <w:lang w:eastAsia="zh-CN"/>
              </w:rPr>
              <w:t>ITU – Telecommunications Standardization Sector</w:t>
            </w:r>
          </w:p>
          <w:p w14:paraId="451F8E20" w14:textId="2C3F869D" w:rsidR="006F0E7F" w:rsidRPr="009E34E9" w:rsidRDefault="006F0E7F" w:rsidP="00160AD2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zh-CN"/>
              </w:rPr>
            </w:pPr>
            <w:r w:rsidRPr="009E34E9">
              <w:rPr>
                <w:rFonts w:eastAsia="Arial Unicode MS"/>
                <w:kern w:val="2"/>
                <w:lang w:eastAsia="zh-CN"/>
              </w:rPr>
              <w:t xml:space="preserve">STUDY GROUP 21 Question </w:t>
            </w:r>
            <w:r w:rsidR="00A85A0D">
              <w:rPr>
                <w:rFonts w:eastAsia="Arial Unicode MS"/>
                <w:kern w:val="2"/>
                <w:lang w:eastAsia="zh-CN"/>
              </w:rPr>
              <w:t>6</w:t>
            </w:r>
          </w:p>
          <w:p w14:paraId="669C4162" w14:textId="77777777" w:rsidR="006F0E7F" w:rsidRPr="009E34E9" w:rsidRDefault="006F0E7F" w:rsidP="00160AD2">
            <w:pPr>
              <w:widowControl w:val="0"/>
              <w:pBdr>
                <w:bottom w:val="single" w:sz="6" w:space="1" w:color="auto"/>
              </w:pBdr>
              <w:tabs>
                <w:tab w:val="left" w:pos="7200"/>
              </w:tabs>
              <w:rPr>
                <w:rFonts w:eastAsia="Arial Unicode MS"/>
                <w:b/>
                <w:kern w:val="2"/>
                <w:sz w:val="22"/>
                <w:lang w:eastAsia="zh-CN"/>
              </w:rPr>
            </w:pPr>
            <w:r w:rsidRPr="009E34E9">
              <w:rPr>
                <w:rFonts w:eastAsia="Arial Unicode MS"/>
                <w:b/>
                <w:kern w:val="2"/>
                <w:sz w:val="22"/>
                <w:lang w:eastAsia="zh-CN"/>
              </w:rPr>
              <w:t>Video Coding Experts Group (VCEG)</w:t>
            </w:r>
          </w:p>
          <w:p w14:paraId="13852BB0" w14:textId="74285A04" w:rsidR="006F0E7F" w:rsidRPr="009E34E9" w:rsidRDefault="006F0E7F" w:rsidP="006B4362">
            <w:pPr>
              <w:widowControl w:val="0"/>
              <w:tabs>
                <w:tab w:val="left" w:pos="7200"/>
              </w:tabs>
              <w:rPr>
                <w:rFonts w:eastAsia="Arial Unicode MS"/>
                <w:b/>
                <w:kern w:val="2"/>
                <w:highlight w:val="yellow"/>
                <w:lang w:eastAsia="zh-CN"/>
              </w:rPr>
            </w:pPr>
            <w:r w:rsidRPr="009E34E9">
              <w:rPr>
                <w:rFonts w:eastAsia="Arial Unicode MS"/>
                <w:kern w:val="2"/>
                <w:lang w:eastAsia="zh-CN"/>
              </w:rPr>
              <w:t>7</w:t>
            </w:r>
            <w:r w:rsidR="006C6FA3">
              <w:rPr>
                <w:rFonts w:eastAsia="Arial Unicode MS"/>
                <w:kern w:val="2"/>
                <w:lang w:eastAsia="zh-CN"/>
              </w:rPr>
              <w:t>6</w:t>
            </w:r>
            <w:r w:rsidRPr="009E34E9">
              <w:rPr>
                <w:rFonts w:eastAsia="Arial Unicode MS"/>
                <w:kern w:val="2"/>
                <w:vertAlign w:val="superscript"/>
                <w:lang w:eastAsia="ja-JP"/>
              </w:rPr>
              <w:t>th</w:t>
            </w:r>
            <w:r w:rsidRPr="009E34E9">
              <w:rPr>
                <w:rFonts w:eastAsia="Arial Unicode MS"/>
                <w:kern w:val="2"/>
                <w:lang w:eastAsia="zh-CN"/>
              </w:rPr>
              <w:t xml:space="preserve"> Meeting: 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>2</w:t>
            </w:r>
            <w:r w:rsidR="00A85A0D">
              <w:rPr>
                <w:rFonts w:eastAsia="Arial Unicode MS"/>
                <w:kern w:val="2"/>
                <w:lang w:eastAsia="zh-CN"/>
              </w:rPr>
              <w:t>7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 xml:space="preserve"> March – 4</w:t>
            </w:r>
            <w:r w:rsidRPr="009E34E9">
              <w:rPr>
                <w:rFonts w:eastAsia="Arial Unicode MS"/>
                <w:kern w:val="2"/>
                <w:lang w:eastAsia="zh-CN"/>
              </w:rPr>
              <w:t xml:space="preserve"> 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>April</w:t>
            </w:r>
            <w:r w:rsidRPr="009E34E9">
              <w:rPr>
                <w:rFonts w:eastAsia="Arial Unicode MS"/>
                <w:kern w:val="2"/>
                <w:lang w:eastAsia="zh-CN"/>
              </w:rPr>
              <w:t xml:space="preserve"> 202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>5</w:t>
            </w:r>
            <w:r w:rsidRPr="009E34E9">
              <w:rPr>
                <w:rFonts w:eastAsia="Arial Unicode MS"/>
                <w:kern w:val="2"/>
                <w:lang w:eastAsia="zh-CN"/>
              </w:rPr>
              <w:t xml:space="preserve">, 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>Teleconference</w:t>
            </w:r>
          </w:p>
        </w:tc>
        <w:tc>
          <w:tcPr>
            <w:tcW w:w="3226" w:type="dxa"/>
          </w:tcPr>
          <w:p w14:paraId="76E9C5AB" w14:textId="7AB7863A" w:rsidR="006F0E7F" w:rsidRPr="009E34E9" w:rsidRDefault="006F0E7F" w:rsidP="00AE775E">
            <w:pPr>
              <w:widowControl w:val="0"/>
              <w:tabs>
                <w:tab w:val="left" w:pos="7200"/>
              </w:tabs>
              <w:rPr>
                <w:rFonts w:eastAsia="Arial Unicode MS"/>
                <w:kern w:val="2"/>
                <w:lang w:eastAsia="ja-JP"/>
              </w:rPr>
            </w:pPr>
            <w:r w:rsidRPr="009E34E9">
              <w:rPr>
                <w:rFonts w:eastAsia="Arial Unicode MS"/>
                <w:kern w:val="2"/>
                <w:lang w:eastAsia="zh-CN"/>
              </w:rPr>
              <w:t>Document  VCEG-B</w:t>
            </w:r>
            <w:r w:rsidR="00AE775E">
              <w:rPr>
                <w:rFonts w:eastAsia="Arial Unicode MS"/>
                <w:kern w:val="2"/>
                <w:lang w:eastAsia="zh-CN"/>
              </w:rPr>
              <w:t>X11</w:t>
            </w:r>
            <w:r w:rsidR="006B4362" w:rsidRPr="009E34E9">
              <w:rPr>
                <w:rFonts w:eastAsia="Arial Unicode MS"/>
                <w:kern w:val="2"/>
                <w:lang w:eastAsia="zh-CN"/>
              </w:rPr>
              <w:t>-v1</w:t>
            </w:r>
          </w:p>
        </w:tc>
      </w:tr>
    </w:tbl>
    <w:p w14:paraId="1FD03214" w14:textId="77777777" w:rsidR="006F0E7F" w:rsidRPr="009E34E9" w:rsidRDefault="006F0E7F" w:rsidP="006F0E7F">
      <w:pPr>
        <w:jc w:val="center"/>
        <w:rPr>
          <w:b/>
          <w:kern w:val="2"/>
          <w:sz w:val="6"/>
          <w:szCs w:val="25"/>
        </w:rPr>
      </w:pPr>
    </w:p>
    <w:p w14:paraId="111DEBA8" w14:textId="77777777" w:rsidR="006F0E7F" w:rsidRPr="009E34E9" w:rsidRDefault="006F0E7F" w:rsidP="006F0E7F">
      <w:pPr>
        <w:spacing w:line="240" w:lineRule="exact"/>
        <w:rPr>
          <w:kern w:val="2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242"/>
        <w:gridCol w:w="4536"/>
        <w:gridCol w:w="900"/>
        <w:gridCol w:w="3069"/>
      </w:tblGrid>
      <w:tr w:rsidR="006F0E7F" w:rsidRPr="009E34E9" w14:paraId="085BD1D8" w14:textId="77777777" w:rsidTr="00160AD2">
        <w:tc>
          <w:tcPr>
            <w:tcW w:w="1242" w:type="dxa"/>
          </w:tcPr>
          <w:p w14:paraId="43E64876" w14:textId="77777777" w:rsidR="006F0E7F" w:rsidRPr="009E34E9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rFonts w:eastAsia="Arial Unicode MS"/>
                <w:kern w:val="2"/>
                <w:sz w:val="22"/>
                <w:szCs w:val="22"/>
                <w:lang w:eastAsia="zh-CN"/>
              </w:rPr>
              <w:t>Question:</w:t>
            </w:r>
          </w:p>
        </w:tc>
        <w:tc>
          <w:tcPr>
            <w:tcW w:w="8505" w:type="dxa"/>
            <w:gridSpan w:val="3"/>
          </w:tcPr>
          <w:p w14:paraId="7476B071" w14:textId="01F5CF94" w:rsidR="006F0E7F" w:rsidRPr="009E34E9" w:rsidRDefault="00A85A0D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eastAsia="zh-CN"/>
              </w:rPr>
              <w:t>6/</w:t>
            </w:r>
            <w:r w:rsidR="006F0E7F" w:rsidRPr="009E34E9">
              <w:rPr>
                <w:rFonts w:eastAsia="Arial Unicode MS"/>
                <w:kern w:val="2"/>
                <w:sz w:val="22"/>
                <w:szCs w:val="22"/>
                <w:lang w:eastAsia="zh-CN"/>
              </w:rPr>
              <w:t xml:space="preserve">21 (VCEG) </w:t>
            </w:r>
          </w:p>
        </w:tc>
      </w:tr>
      <w:tr w:rsidR="006F0E7F" w:rsidRPr="009E34E9" w14:paraId="06CA394D" w14:textId="77777777" w:rsidTr="00401FFD">
        <w:tc>
          <w:tcPr>
            <w:tcW w:w="1242" w:type="dxa"/>
          </w:tcPr>
          <w:p w14:paraId="458E096F" w14:textId="77777777" w:rsidR="006F0E7F" w:rsidRPr="009E34E9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rFonts w:eastAsia="Arial Unicode MS"/>
                <w:kern w:val="2"/>
                <w:sz w:val="22"/>
                <w:szCs w:val="22"/>
                <w:lang w:eastAsia="zh-CN"/>
              </w:rPr>
              <w:t>Source:</w:t>
            </w:r>
          </w:p>
        </w:tc>
        <w:tc>
          <w:tcPr>
            <w:tcW w:w="4536" w:type="dxa"/>
            <w:tcMar>
              <w:right w:w="28" w:type="dxa"/>
            </w:tcMar>
          </w:tcPr>
          <w:p w14:paraId="069A4B94" w14:textId="7BF99095" w:rsidR="006F0E7F" w:rsidRPr="003C0E3C" w:rsidRDefault="006B4362" w:rsidP="00624EA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/>
              <w:jc w:val="left"/>
              <w:rPr>
                <w:b/>
                <w:kern w:val="2"/>
                <w:lang w:val="de-DE" w:eastAsia="ja-JP"/>
              </w:rPr>
            </w:pPr>
            <w:r w:rsidRPr="003C0E3C">
              <w:rPr>
                <w:b/>
                <w:kern w:val="2"/>
                <w:sz w:val="23"/>
                <w:szCs w:val="23"/>
                <w:lang w:val="de-DE" w:eastAsia="ja-JP"/>
              </w:rPr>
              <w:t xml:space="preserve">Christian Helmrich, Sophie Pientka, </w:t>
            </w:r>
            <w:r w:rsidR="007B7B25" w:rsidRPr="003C0E3C">
              <w:rPr>
                <w:b/>
                <w:kern w:val="2"/>
                <w:sz w:val="23"/>
                <w:szCs w:val="23"/>
                <w:lang w:val="de-DE" w:eastAsia="ja-JP"/>
              </w:rPr>
              <w:t>Heiko Schwarz, Jonathan Pfaff</w:t>
            </w:r>
            <w:r w:rsidRPr="003C0E3C">
              <w:rPr>
                <w:b/>
                <w:kern w:val="2"/>
                <w:sz w:val="23"/>
                <w:szCs w:val="23"/>
                <w:lang w:val="de-DE" w:eastAsia="ja-JP"/>
              </w:rPr>
              <w:t xml:space="preserve"> </w:t>
            </w:r>
            <w:r w:rsidR="006F0E7F" w:rsidRPr="003C0E3C">
              <w:rPr>
                <w:b/>
                <w:kern w:val="2"/>
                <w:sz w:val="23"/>
                <w:szCs w:val="23"/>
                <w:lang w:val="de-DE" w:eastAsia="ja-JP"/>
              </w:rPr>
              <w:t>(Fraunhofer HHI)</w:t>
            </w:r>
          </w:p>
        </w:tc>
        <w:tc>
          <w:tcPr>
            <w:tcW w:w="900" w:type="dxa"/>
          </w:tcPr>
          <w:p w14:paraId="320D77CD" w14:textId="77777777" w:rsidR="006F0E7F" w:rsidRPr="009E34E9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rFonts w:eastAsia="SimSun"/>
                <w:kern w:val="2"/>
                <w:sz w:val="22"/>
                <w:szCs w:val="22"/>
                <w:lang w:eastAsia="zh-CN"/>
              </w:rPr>
              <w:t>Email:</w:t>
            </w:r>
          </w:p>
        </w:tc>
        <w:tc>
          <w:tcPr>
            <w:tcW w:w="3069" w:type="dxa"/>
          </w:tcPr>
          <w:p w14:paraId="2E762DDD" w14:textId="7F3D2D1A" w:rsidR="006F0E7F" w:rsidRPr="009E34E9" w:rsidRDefault="006B4362" w:rsidP="006B4362">
            <w:pPr>
              <w:spacing w:before="120"/>
              <w:jc w:val="left"/>
              <w:rPr>
                <w:rFonts w:eastAsia="SimSun"/>
                <w:kern w:val="2"/>
                <w:sz w:val="22"/>
                <w:szCs w:val="22"/>
                <w:lang w:eastAsia="zh-CN"/>
              </w:rPr>
            </w:pPr>
            <w:hyperlink r:id="rId7" w:history="1">
              <w:r w:rsidRPr="009E34E9">
                <w:rPr>
                  <w:rStyle w:val="Hyperlink"/>
                  <w:kern w:val="2"/>
                </w:rPr>
                <w:t>christian.helmrich@hhi.fraunhofer.de</w:t>
              </w:r>
            </w:hyperlink>
          </w:p>
        </w:tc>
      </w:tr>
      <w:tr w:rsidR="006F0E7F" w:rsidRPr="009E34E9" w14:paraId="4C1630BF" w14:textId="77777777" w:rsidTr="00160AD2">
        <w:tc>
          <w:tcPr>
            <w:tcW w:w="1242" w:type="dxa"/>
          </w:tcPr>
          <w:p w14:paraId="1704F36D" w14:textId="77777777" w:rsidR="006F0E7F" w:rsidRPr="009E34E9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rFonts w:eastAsia="Arial Unicode MS"/>
                <w:kern w:val="2"/>
                <w:sz w:val="22"/>
                <w:szCs w:val="22"/>
                <w:lang w:eastAsia="zh-CN"/>
              </w:rPr>
              <w:t>Title:</w:t>
            </w:r>
          </w:p>
        </w:tc>
        <w:tc>
          <w:tcPr>
            <w:tcW w:w="8505" w:type="dxa"/>
            <w:gridSpan w:val="3"/>
            <w:tcMar>
              <w:right w:w="57" w:type="dxa"/>
            </w:tcMar>
          </w:tcPr>
          <w:p w14:paraId="33FB55C5" w14:textId="48F894F5" w:rsidR="006F0E7F" w:rsidRPr="009E34E9" w:rsidRDefault="00624EAA" w:rsidP="006A26CF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SimSun"/>
                <w:b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b/>
                <w:kern w:val="2"/>
              </w:rPr>
              <w:t xml:space="preserve">Description and correction of errors in </w:t>
            </w:r>
            <w:r w:rsidRPr="007429BB">
              <w:rPr>
                <w:b/>
                <w:kern w:val="2"/>
              </w:rPr>
              <w:t>H.B</w:t>
            </w:r>
            <w:r w:rsidRPr="007429BB">
              <w:rPr>
                <w:b/>
                <w:spacing w:val="-4"/>
                <w:kern w:val="2"/>
              </w:rPr>
              <w:t>WC</w:t>
            </w:r>
            <w:r w:rsidRPr="009E34E9">
              <w:rPr>
                <w:b/>
                <w:kern w:val="2"/>
              </w:rPr>
              <w:t xml:space="preserve"> test model since January meeting</w:t>
            </w:r>
          </w:p>
        </w:tc>
      </w:tr>
      <w:tr w:rsidR="006F0E7F" w:rsidRPr="009E34E9" w14:paraId="79584340" w14:textId="77777777" w:rsidTr="00160AD2">
        <w:tc>
          <w:tcPr>
            <w:tcW w:w="1242" w:type="dxa"/>
          </w:tcPr>
          <w:p w14:paraId="0A58E27C" w14:textId="77777777" w:rsidR="006F0E7F" w:rsidRPr="009E34E9" w:rsidRDefault="006F0E7F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rFonts w:eastAsia="Arial Unicode MS"/>
                <w:kern w:val="2"/>
                <w:sz w:val="22"/>
                <w:szCs w:val="22"/>
                <w:lang w:eastAsia="zh-CN"/>
              </w:rPr>
              <w:t>Purpose:</w:t>
            </w:r>
          </w:p>
        </w:tc>
        <w:tc>
          <w:tcPr>
            <w:tcW w:w="8505" w:type="dxa"/>
            <w:gridSpan w:val="3"/>
          </w:tcPr>
          <w:p w14:paraId="0EF57363" w14:textId="045DCFD4" w:rsidR="006F0E7F" w:rsidRPr="009E34E9" w:rsidRDefault="006B4362" w:rsidP="00160AD2">
            <w:pPr>
              <w:widowControl w:val="0"/>
              <w:tabs>
                <w:tab w:val="left" w:pos="1800"/>
                <w:tab w:val="right" w:pos="9360"/>
              </w:tabs>
              <w:spacing w:before="120"/>
              <w:rPr>
                <w:rFonts w:eastAsia="Arial Unicode MS"/>
                <w:kern w:val="2"/>
                <w:sz w:val="22"/>
                <w:szCs w:val="22"/>
                <w:lang w:eastAsia="zh-CN"/>
              </w:rPr>
            </w:pPr>
            <w:r w:rsidRPr="009E34E9">
              <w:rPr>
                <w:bCs/>
                <w:kern w:val="2"/>
              </w:rPr>
              <w:t>Proposal</w:t>
            </w:r>
          </w:p>
        </w:tc>
      </w:tr>
    </w:tbl>
    <w:p w14:paraId="01A53F35" w14:textId="4F64FC46" w:rsidR="00747E13" w:rsidRPr="009E34E9" w:rsidRDefault="00747E13" w:rsidP="00B90A7E">
      <w:pPr>
        <w:rPr>
          <w:rFonts w:eastAsia="Malgun Gothic"/>
          <w:kern w:val="2"/>
          <w:lang w:eastAsia="ko-KR"/>
        </w:rPr>
      </w:pPr>
    </w:p>
    <w:p w14:paraId="702EDC13" w14:textId="0E4B1926" w:rsidR="006B4362" w:rsidRPr="009E34E9" w:rsidRDefault="006B4362" w:rsidP="00925929">
      <w:pPr>
        <w:spacing w:after="120"/>
        <w:jc w:val="left"/>
        <w:rPr>
          <w:rFonts w:eastAsia="Malgun Gothic"/>
          <w:b/>
          <w:kern w:val="2"/>
          <w:sz w:val="32"/>
          <w:lang w:eastAsia="ko-KR"/>
        </w:rPr>
      </w:pPr>
      <w:r w:rsidRPr="009E34E9">
        <w:rPr>
          <w:rFonts w:eastAsia="Malgun Gothic"/>
          <w:b/>
          <w:kern w:val="2"/>
          <w:sz w:val="32"/>
          <w:lang w:eastAsia="ko-KR"/>
        </w:rPr>
        <w:t>Abstract</w:t>
      </w:r>
    </w:p>
    <w:p w14:paraId="7210866B" w14:textId="54BDBBA3" w:rsidR="006B4362" w:rsidRPr="009E34E9" w:rsidRDefault="00624EAA" w:rsidP="003B49B4">
      <w:pPr>
        <w:spacing w:after="120"/>
        <w:rPr>
          <w:rFonts w:eastAsia="Malgun Gothic"/>
          <w:kern w:val="2"/>
          <w:lang w:eastAsia="ko-KR"/>
        </w:rPr>
      </w:pPr>
      <w:r w:rsidRPr="009E34E9">
        <w:rPr>
          <w:rFonts w:eastAsia="Malgun Gothic"/>
          <w:kern w:val="2"/>
          <w:lang w:eastAsia="ko-KR"/>
        </w:rPr>
        <w:t xml:space="preserve">This contribution reports errors and proposes corrections to the current version of the H.BWC test model </w:t>
      </w:r>
      <w:r w:rsidRPr="009E34E9">
        <w:rPr>
          <w:rFonts w:eastAsia="Malgun Gothic"/>
          <w:i/>
          <w:kern w:val="2"/>
          <w:lang w:eastAsia="ko-KR"/>
        </w:rPr>
        <w:t>software</w:t>
      </w:r>
      <w:r w:rsidRPr="009E34E9">
        <w:rPr>
          <w:rFonts w:eastAsia="Malgun Gothic"/>
          <w:kern w:val="2"/>
          <w:lang w:eastAsia="ko-KR"/>
        </w:rPr>
        <w:t xml:space="preserve"> and/or draft </w:t>
      </w:r>
      <w:r w:rsidRPr="009E34E9">
        <w:rPr>
          <w:rFonts w:eastAsia="Malgun Gothic"/>
          <w:i/>
          <w:kern w:val="2"/>
          <w:lang w:eastAsia="ko-KR"/>
        </w:rPr>
        <w:t>spec</w:t>
      </w:r>
      <w:r w:rsidRPr="009E34E9">
        <w:rPr>
          <w:rFonts w:eastAsia="Malgun Gothic"/>
          <w:kern w:val="2"/>
          <w:lang w:eastAsia="ko-KR"/>
        </w:rPr>
        <w:t>ification</w:t>
      </w:r>
      <w:r w:rsidR="003E12A5" w:rsidRPr="009E34E9">
        <w:rPr>
          <w:rFonts w:eastAsia="Malgun Gothic"/>
          <w:kern w:val="2"/>
          <w:lang w:eastAsia="ko-KR"/>
        </w:rPr>
        <w:t xml:space="preserve"> text</w:t>
      </w:r>
      <w:r w:rsidRPr="009E34E9">
        <w:rPr>
          <w:rFonts w:eastAsia="Malgun Gothic"/>
          <w:kern w:val="2"/>
          <w:lang w:eastAsia="ko-KR"/>
        </w:rPr>
        <w:t>, found after the January VCEG meeting in Geneva. These errors, corrections of which cause only very small changes in coding performance, include</w:t>
      </w:r>
      <w:r w:rsidR="006A26CF" w:rsidRPr="009E34E9">
        <w:rPr>
          <w:rFonts w:eastAsia="Malgun Gothic"/>
          <w:kern w:val="2"/>
          <w:lang w:eastAsia="ko-KR"/>
        </w:rPr>
        <w:t>:</w:t>
      </w:r>
    </w:p>
    <w:p w14:paraId="7B52B9B0" w14:textId="5FA0264A" w:rsidR="006B4362" w:rsidRPr="009E34E9" w:rsidRDefault="00624EAA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fix of trellis coded quantization (TCQ) code for zeroed coefficients in some cases (</w:t>
      </w:r>
      <w:r w:rsidRPr="009E34E9">
        <w:rPr>
          <w:rFonts w:ascii="Times New Roman" w:eastAsia="Malgun Gothic" w:hAnsi="Times New Roman" w:cs="Times New Roman"/>
          <w:i/>
          <w:kern w:val="2"/>
          <w:lang w:val="en-US" w:eastAsia="ko-KR"/>
        </w:rPr>
        <w:t>software</w:t>
      </w: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)</w:t>
      </w:r>
      <w:r w:rsidR="00E60AF8" w:rsidRPr="009E34E9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2B029998" w14:textId="400FBEAF" w:rsidR="00401FFD" w:rsidRPr="009E34E9" w:rsidRDefault="0098260A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harmonization of trigonometric transform scaling across code base for better maintainability</w:t>
      </w:r>
      <w:r w:rsidR="00401FFD" w:rsidRPr="009E34E9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6269DFE2" w14:textId="18E2819A" w:rsidR="00E92EA1" w:rsidRPr="009E34E9" w:rsidRDefault="003E12A5" w:rsidP="00401FFD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fix of syntax/equations on transform type and linear predictive coding order signaling (</w:t>
      </w:r>
      <w:r w:rsidRPr="009E34E9">
        <w:rPr>
          <w:rFonts w:ascii="Times New Roman" w:eastAsia="Malgun Gothic" w:hAnsi="Times New Roman" w:cs="Times New Roman"/>
          <w:i/>
          <w:kern w:val="2"/>
          <w:lang w:val="en-US" w:eastAsia="ko-KR"/>
        </w:rPr>
        <w:t>spec</w:t>
      </w: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)</w:t>
      </w:r>
      <w:r w:rsidR="00E92EA1" w:rsidRPr="009E34E9">
        <w:rPr>
          <w:rFonts w:ascii="Times New Roman" w:eastAsia="Malgun Gothic" w:hAnsi="Times New Roman" w:cs="Times New Roman"/>
          <w:kern w:val="2"/>
          <w:lang w:val="en-US" w:eastAsia="ko-KR"/>
        </w:rPr>
        <w:t>,</w:t>
      </w:r>
    </w:p>
    <w:p w14:paraId="403FBCCB" w14:textId="6D705DFB" w:rsidR="00E60AF8" w:rsidRPr="009E34E9" w:rsidRDefault="003E12A5" w:rsidP="00E06CA7">
      <w:pPr>
        <w:pStyle w:val="ListParagraph"/>
        <w:numPr>
          <w:ilvl w:val="0"/>
          <w:numId w:val="42"/>
        </w:numPr>
        <w:ind w:left="568" w:hanging="284"/>
        <w:jc w:val="both"/>
        <w:rPr>
          <w:rFonts w:ascii="Times New Roman" w:eastAsia="Malgun Gothic" w:hAnsi="Times New Roman" w:cs="Times New Roman"/>
          <w:kern w:val="2"/>
          <w:lang w:val="en-US" w:eastAsia="ko-KR"/>
        </w:rPr>
      </w:pPr>
      <w:r w:rsidRPr="009E34E9">
        <w:rPr>
          <w:rFonts w:ascii="Times New Roman" w:eastAsia="Malgun Gothic" w:hAnsi="Times New Roman" w:cs="Times New Roman"/>
          <w:kern w:val="2"/>
          <w:lang w:val="en-US" w:eastAsia="ko-KR"/>
        </w:rPr>
        <w:t>correction of handling of boundary cases in delta-coding of block matching predictor (both)</w:t>
      </w:r>
      <w:r w:rsidR="00024083" w:rsidRPr="009E34E9">
        <w:rPr>
          <w:rFonts w:ascii="Times New Roman" w:eastAsia="Malgun Gothic" w:hAnsi="Times New Roman" w:cs="Times New Roman"/>
          <w:kern w:val="2"/>
          <w:lang w:val="en-US" w:eastAsia="ko-KR"/>
        </w:rPr>
        <w:t>.</w:t>
      </w:r>
    </w:p>
    <w:p w14:paraId="05C42267" w14:textId="6D228641" w:rsidR="00E60AF8" w:rsidRPr="009E34E9" w:rsidRDefault="003E12A5" w:rsidP="00E60AF8">
      <w:pPr>
        <w:spacing w:before="120"/>
        <w:rPr>
          <w:rFonts w:eastAsia="Malgun Gothic"/>
          <w:kern w:val="2"/>
          <w:lang w:eastAsia="ko-KR"/>
        </w:rPr>
      </w:pPr>
      <w:r w:rsidRPr="009E34E9">
        <w:rPr>
          <w:rFonts w:eastAsia="Malgun Gothic"/>
          <w:kern w:val="2"/>
          <w:lang w:eastAsia="ko-KR"/>
        </w:rPr>
        <w:t>It is proposed to adopt these corrections into the next software resp. draft specification text version</w:t>
      </w:r>
      <w:r w:rsidR="00FD7AC1" w:rsidRPr="009E34E9">
        <w:rPr>
          <w:rFonts w:eastAsia="Malgun Gothic"/>
          <w:kern w:val="2"/>
          <w:lang w:eastAsia="ko-KR"/>
        </w:rPr>
        <w:t>.</w:t>
      </w:r>
    </w:p>
    <w:p w14:paraId="3B7C1458" w14:textId="6D56CC94" w:rsidR="005A3859" w:rsidRPr="009E34E9" w:rsidRDefault="00122430" w:rsidP="006B4362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9E34E9">
        <w:rPr>
          <w:rFonts w:eastAsia="Times New Roman"/>
          <w:b/>
          <w:bCs/>
          <w:kern w:val="2"/>
          <w:sz w:val="32"/>
          <w:szCs w:val="32"/>
        </w:rPr>
        <w:t xml:space="preserve">Description of </w:t>
      </w:r>
      <w:r w:rsidR="00CA2AB7" w:rsidRPr="009E34E9">
        <w:rPr>
          <w:rFonts w:eastAsia="Times New Roman"/>
          <w:b/>
          <w:bCs/>
          <w:kern w:val="2"/>
          <w:sz w:val="32"/>
          <w:szCs w:val="32"/>
        </w:rPr>
        <w:t>Errors and Corrections</w:t>
      </w:r>
    </w:p>
    <w:p w14:paraId="57A033F6" w14:textId="4557207D" w:rsidR="00F60A3C" w:rsidRPr="009E34E9" w:rsidRDefault="00CA2AB7" w:rsidP="00F03221">
      <w:pPr>
        <w:spacing w:after="120"/>
        <w:rPr>
          <w:kern w:val="2"/>
        </w:rPr>
      </w:pPr>
      <w:r w:rsidRPr="009E34E9">
        <w:rPr>
          <w:kern w:val="2"/>
        </w:rPr>
        <w:t>In the following, a</w:t>
      </w:r>
      <w:r w:rsidR="00557C54" w:rsidRPr="009E34E9">
        <w:rPr>
          <w:kern w:val="2"/>
        </w:rPr>
        <w:t xml:space="preserve"> detailed</w:t>
      </w:r>
      <w:r w:rsidRPr="009E34E9">
        <w:rPr>
          <w:kern w:val="2"/>
        </w:rPr>
        <w:t xml:space="preserve"> descr</w:t>
      </w:r>
      <w:r w:rsidR="00557C54" w:rsidRPr="009E34E9">
        <w:rPr>
          <w:kern w:val="2"/>
        </w:rPr>
        <w:t>iption of each of the above 4</w:t>
      </w:r>
      <w:r w:rsidRPr="009E34E9">
        <w:rPr>
          <w:kern w:val="2"/>
        </w:rPr>
        <w:t xml:space="preserve"> errors and proposed fixes is provided</w:t>
      </w:r>
      <w:r w:rsidR="00C8442A" w:rsidRPr="009E34E9">
        <w:rPr>
          <w:kern w:val="2"/>
        </w:rPr>
        <w:t>.</w:t>
      </w:r>
      <w:r w:rsidR="009A4F63">
        <w:rPr>
          <w:kern w:val="2"/>
        </w:rPr>
        <w:t xml:space="preserve"> All errors are located in software and/or specification text provided by HHI in response to the </w:t>
      </w:r>
      <w:r w:rsidR="00656775">
        <w:rPr>
          <w:kern w:val="2"/>
        </w:rPr>
        <w:t xml:space="preserve">2024 </w:t>
      </w:r>
      <w:r w:rsidR="009A4F63">
        <w:rPr>
          <w:kern w:val="2"/>
        </w:rPr>
        <w:t>C</w:t>
      </w:r>
      <w:r w:rsidR="00656775">
        <w:rPr>
          <w:kern w:val="2"/>
        </w:rPr>
        <w:t xml:space="preserve">all </w:t>
      </w:r>
      <w:r w:rsidR="009A4F63">
        <w:rPr>
          <w:kern w:val="2"/>
        </w:rPr>
        <w:t>f</w:t>
      </w:r>
      <w:r w:rsidR="00656775">
        <w:rPr>
          <w:kern w:val="2"/>
        </w:rPr>
        <w:t xml:space="preserve">or </w:t>
      </w:r>
      <w:r w:rsidR="009A4F63">
        <w:rPr>
          <w:kern w:val="2"/>
        </w:rPr>
        <w:t>P</w:t>
      </w:r>
      <w:r w:rsidR="00656775">
        <w:rPr>
          <w:kern w:val="2"/>
        </w:rPr>
        <w:t>roposals on biomedical waveform coding, and none of the fixes affect the codec runtime</w:t>
      </w:r>
      <w:r w:rsidR="009A4F63">
        <w:rPr>
          <w:kern w:val="2"/>
        </w:rPr>
        <w:t>.</w:t>
      </w:r>
    </w:p>
    <w:p w14:paraId="0E099477" w14:textId="7A7762A1" w:rsidR="00C8442A" w:rsidRPr="009E34E9" w:rsidRDefault="00C8442A" w:rsidP="00344B9D">
      <w:pPr>
        <w:pStyle w:val="Heading2"/>
        <w:tabs>
          <w:tab w:val="right" w:pos="9356"/>
        </w:tabs>
        <w:spacing w:after="80"/>
        <w:ind w:left="539" w:hanging="539"/>
        <w:rPr>
          <w:rFonts w:ascii="Times New Roman" w:eastAsia="Malgun Gothic" w:hAnsi="Times New Roman"/>
          <w:lang w:val="en-US" w:eastAsia="ko-KR"/>
        </w:rPr>
      </w:pPr>
      <w:r w:rsidRPr="009E34E9">
        <w:rPr>
          <w:rFonts w:ascii="Times New Roman" w:hAnsi="Times New Roman"/>
          <w:lang w:val="en-US"/>
        </w:rPr>
        <w:t>Trellis coded quantization (TCQ)</w:t>
      </w:r>
      <w:r w:rsidR="009A4F63">
        <w:rPr>
          <w:rFonts w:ascii="Times New Roman" w:hAnsi="Times New Roman"/>
          <w:lang w:val="en-US"/>
        </w:rPr>
        <w:tab/>
      </w:r>
      <w:r w:rsidR="009A4F63">
        <w:rPr>
          <w:rFonts w:ascii="Consolas" w:hAnsi="Consolas"/>
          <w:b w:val="0"/>
          <w:i w:val="0"/>
          <w:sz w:val="22"/>
          <w:lang w:val="en-US"/>
        </w:rPr>
        <w:t>#d</w:t>
      </w:r>
      <w:r w:rsidR="009A4F63" w:rsidRPr="009A4F63">
        <w:rPr>
          <w:rFonts w:ascii="Consolas" w:hAnsi="Consolas"/>
          <w:b w:val="0"/>
          <w:i w:val="0"/>
          <w:sz w:val="22"/>
          <w:lang w:val="en-US"/>
        </w:rPr>
        <w:t xml:space="preserve">efine </w:t>
      </w:r>
      <w:r w:rsidR="009A4F63">
        <w:rPr>
          <w:rFonts w:ascii="Consolas" w:hAnsi="Consolas"/>
          <w:b w:val="0"/>
          <w:i w:val="0"/>
          <w:sz w:val="22"/>
          <w:lang w:val="en-US"/>
        </w:rPr>
        <w:t>HHI_</w:t>
      </w:r>
      <w:r w:rsidR="009A4F63" w:rsidRPr="009A4F63">
        <w:rPr>
          <w:rFonts w:ascii="Consolas" w:hAnsi="Consolas"/>
          <w:b w:val="0"/>
          <w:i w:val="0"/>
          <w:sz w:val="22"/>
          <w:lang w:val="en-US"/>
        </w:rPr>
        <w:t>BUGFIX_TC</w:t>
      </w:r>
      <w:r w:rsidR="003C0E3C">
        <w:rPr>
          <w:rFonts w:ascii="Consolas" w:hAnsi="Consolas"/>
          <w:b w:val="0"/>
          <w:i w:val="0"/>
          <w:sz w:val="22"/>
          <w:lang w:val="en-US"/>
        </w:rPr>
        <w:t>Q</w:t>
      </w:r>
    </w:p>
    <w:p w14:paraId="14157A4D" w14:textId="0D13E22A" w:rsidR="00BA1C91" w:rsidRDefault="00C8442A" w:rsidP="00656775">
      <w:pPr>
        <w:spacing w:after="120"/>
        <w:rPr>
          <w:rFonts w:eastAsia="Malgun Gothic"/>
          <w:kern w:val="2"/>
          <w:lang w:eastAsia="ko-KR"/>
        </w:rPr>
      </w:pPr>
      <w:r w:rsidRPr="009E34E9">
        <w:rPr>
          <w:rFonts w:eastAsia="Malgun Gothic"/>
          <w:kern w:val="2"/>
          <w:lang w:eastAsia="ko-KR"/>
        </w:rPr>
        <w:t>In the current version of the H.BWC reference software [1], zero-quantized transform coefficients (i.</w:t>
      </w:r>
      <w:r w:rsidRPr="009E34E9">
        <w:rPr>
          <w:rFonts w:eastAsia="Malgun Gothic"/>
          <w:kern w:val="2"/>
          <w:vertAlign w:val="superscript"/>
          <w:lang w:eastAsia="ko-KR"/>
        </w:rPr>
        <w:t xml:space="preserve"> </w:t>
      </w:r>
      <w:r w:rsidRPr="009E34E9">
        <w:rPr>
          <w:rFonts w:eastAsia="Malgun Gothic"/>
          <w:kern w:val="2"/>
          <w:lang w:eastAsia="ko-KR"/>
        </w:rPr>
        <w:t>e., coefficients with level =</w:t>
      </w:r>
      <w:r w:rsidRPr="009E34E9">
        <w:rPr>
          <w:rFonts w:eastAsia="Malgun Gothic"/>
          <w:kern w:val="2"/>
          <w:vertAlign w:val="superscript"/>
          <w:lang w:eastAsia="ko-KR"/>
        </w:rPr>
        <w:t xml:space="preserve"> </w:t>
      </w:r>
      <w:r w:rsidRPr="009E34E9">
        <w:rPr>
          <w:rFonts w:eastAsia="Malgun Gothic"/>
          <w:kern w:val="2"/>
          <w:lang w:eastAsia="ko-KR"/>
        </w:rPr>
        <w:t xml:space="preserve">= 0) </w:t>
      </w:r>
      <w:r w:rsidR="007E2CCE" w:rsidRPr="009E34E9">
        <w:rPr>
          <w:rFonts w:eastAsia="Malgun Gothic"/>
          <w:kern w:val="2"/>
          <w:lang w:eastAsia="ko-KR"/>
        </w:rPr>
        <w:t>are reconstructed by incorporating the parity bit (</w:t>
      </w:r>
      <w:r w:rsidR="007E2CCE" w:rsidRPr="009E34E9">
        <w:rPr>
          <w:rFonts w:ascii="Consolas" w:eastAsia="Malgun Gothic" w:hAnsi="Consolas"/>
          <w:kern w:val="2"/>
          <w:sz w:val="22"/>
          <w:lang w:eastAsia="ko-KR"/>
        </w:rPr>
        <w:t>state</w:t>
      </w:r>
      <w:r w:rsidR="007E2CCE" w:rsidRPr="009E34E9">
        <w:rPr>
          <w:rFonts w:ascii="Consolas" w:eastAsia="Malgun Gothic" w:hAnsi="Consolas"/>
          <w:kern w:val="2"/>
          <w:sz w:val="22"/>
          <w:vertAlign w:val="superscript"/>
          <w:lang w:eastAsia="ko-KR"/>
        </w:rPr>
        <w:t xml:space="preserve"> </w:t>
      </w:r>
      <w:r w:rsidR="007E2CCE" w:rsidRPr="009E34E9">
        <w:rPr>
          <w:rFonts w:ascii="Consolas" w:eastAsia="Malgun Gothic" w:hAnsi="Consolas"/>
          <w:kern w:val="2"/>
          <w:sz w:val="22"/>
          <w:lang w:eastAsia="ko-KR"/>
        </w:rPr>
        <w:t>&amp;</w:t>
      </w:r>
      <w:r w:rsidR="007E2CCE" w:rsidRPr="009E34E9">
        <w:rPr>
          <w:rFonts w:ascii="Consolas" w:eastAsia="Malgun Gothic" w:hAnsi="Consolas"/>
          <w:kern w:val="2"/>
          <w:sz w:val="22"/>
          <w:vertAlign w:val="superscript"/>
          <w:lang w:eastAsia="ko-KR"/>
        </w:rPr>
        <w:t xml:space="preserve"> </w:t>
      </w:r>
      <w:r w:rsidR="007E2CCE" w:rsidRPr="009E34E9">
        <w:rPr>
          <w:rFonts w:ascii="Consolas" w:eastAsia="Malgun Gothic" w:hAnsi="Consolas"/>
          <w:kern w:val="2"/>
          <w:sz w:val="22"/>
          <w:lang w:eastAsia="ko-KR"/>
        </w:rPr>
        <w:t>1</w:t>
      </w:r>
      <w:r w:rsidR="007E2CCE" w:rsidRPr="009E34E9">
        <w:rPr>
          <w:rFonts w:eastAsia="Malgun Gothic"/>
          <w:kern w:val="2"/>
          <w:lang w:eastAsia="ko-KR"/>
        </w:rPr>
        <w:t xml:space="preserve">) of the continuously updated TCQ state. This is wrong, and it is proposed to </w:t>
      </w:r>
      <w:r w:rsidR="009E34E9" w:rsidRPr="009E34E9">
        <w:rPr>
          <w:rFonts w:eastAsia="Malgun Gothic"/>
          <w:kern w:val="2"/>
          <w:lang w:eastAsia="ko-KR"/>
        </w:rPr>
        <w:t xml:space="preserve">reconstruct zero-quantized transform coefficients simply by setting the reconstructed coefficient value to 0. No change to </w:t>
      </w:r>
      <w:r w:rsidR="009E34E9" w:rsidRPr="009E34E9">
        <w:rPr>
          <w:rFonts w:eastAsia="Malgun Gothic"/>
          <w:i/>
          <w:kern w:val="2"/>
          <w:lang w:eastAsia="ko-KR"/>
        </w:rPr>
        <w:t>spec</w:t>
      </w:r>
      <w:r w:rsidR="009E34E9" w:rsidRPr="009E34E9">
        <w:rPr>
          <w:rFonts w:eastAsia="Malgun Gothic"/>
          <w:kern w:val="2"/>
          <w:lang w:eastAsia="ko-KR"/>
        </w:rPr>
        <w:t>.</w:t>
      </w:r>
    </w:p>
    <w:p w14:paraId="71D3D12F" w14:textId="6DA5627E" w:rsidR="009E34E9" w:rsidRPr="009E34E9" w:rsidRDefault="009E34E9" w:rsidP="00344B9D">
      <w:pPr>
        <w:pStyle w:val="Heading2"/>
        <w:tabs>
          <w:tab w:val="right" w:pos="9356"/>
        </w:tabs>
        <w:spacing w:after="80"/>
        <w:ind w:left="539" w:hanging="539"/>
        <w:rPr>
          <w:rFonts w:ascii="Times New Roman" w:eastAsia="Malgun Gothic" w:hAnsi="Times New Roman"/>
          <w:lang w:val="en-US" w:eastAsia="ko-KR"/>
        </w:rPr>
      </w:pPr>
      <w:r>
        <w:rPr>
          <w:rFonts w:ascii="Times New Roman" w:hAnsi="Times New Roman"/>
          <w:lang w:val="en-US"/>
        </w:rPr>
        <w:t>Transform scaling harmonization</w:t>
      </w:r>
      <w:r w:rsidR="00474009">
        <w:rPr>
          <w:rFonts w:ascii="Times New Roman" w:hAnsi="Times New Roman"/>
          <w:lang w:val="en-US"/>
        </w:rPr>
        <w:tab/>
      </w:r>
      <w:r w:rsidR="00474009" w:rsidRPr="00474009">
        <w:rPr>
          <w:rFonts w:ascii="Consolas" w:hAnsi="Consolas"/>
          <w:b w:val="0"/>
          <w:i w:val="0"/>
          <w:sz w:val="22"/>
          <w:lang w:val="en-US"/>
        </w:rPr>
        <w:t>#define SCALING_TRAFO</w:t>
      </w:r>
    </w:p>
    <w:p w14:paraId="660CE04C" w14:textId="3F0057FB" w:rsidR="009E34E9" w:rsidRDefault="009A4F63" w:rsidP="00656775">
      <w:pPr>
        <w:spacing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Different parts</w:t>
      </w:r>
      <w:r w:rsidR="009E34E9" w:rsidRPr="009E34E9">
        <w:rPr>
          <w:rFonts w:eastAsia="Malgun Gothic"/>
          <w:kern w:val="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of </w:t>
      </w:r>
      <w:r w:rsidR="009E34E9" w:rsidRPr="009E34E9">
        <w:rPr>
          <w:rFonts w:eastAsia="Malgun Gothic"/>
          <w:kern w:val="2"/>
          <w:lang w:eastAsia="ko-KR"/>
        </w:rPr>
        <w:t>the current version of the H.BWC reference software [1]</w:t>
      </w:r>
      <w:r>
        <w:rPr>
          <w:rFonts w:eastAsia="Malgun Gothic"/>
          <w:kern w:val="2"/>
          <w:lang w:eastAsia="ko-KR"/>
        </w:rPr>
        <w:t xml:space="preserve"> apply different ways of scaling (i.</w:t>
      </w:r>
      <w:r w:rsidR="00BB2C67" w:rsidRPr="00BB2C67">
        <w:rPr>
          <w:rFonts w:eastAsia="Malgun Gothic"/>
          <w:kern w:val="2"/>
          <w:sz w:val="6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e., different value ranges) of transform coefficients</w:t>
      </w:r>
      <w:r w:rsidRPr="00BB2C67">
        <w:rPr>
          <w:rFonts w:eastAsia="Malgun Gothic"/>
          <w:kern w:val="2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–</w:t>
      </w:r>
      <w:r w:rsidRPr="00BB2C67">
        <w:rPr>
          <w:rFonts w:eastAsia="Malgun Gothic"/>
          <w:kern w:val="2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in some parts, the coefficient</w:t>
      </w:r>
      <w:r w:rsidR="00BB2C67">
        <w:rPr>
          <w:rFonts w:eastAsia="Malgun Gothic"/>
          <w:kern w:val="2"/>
          <w:lang w:eastAsia="ko-KR"/>
        </w:rPr>
        <w:t xml:space="preserve"> scaling includes term</w:t>
      </w:r>
      <w:r>
        <w:rPr>
          <w:rFonts w:eastAsia="Malgun Gothic"/>
          <w:kern w:val="2"/>
          <w:lang w:eastAsia="ko-KR"/>
        </w:rPr>
        <w:t xml:space="preserve"> 2/sqrt(</w:t>
      </w:r>
      <w:r w:rsidRPr="009A4F63">
        <w:rPr>
          <w:rFonts w:eastAsia="Malgun Gothic"/>
          <w:i/>
          <w:kern w:val="2"/>
          <w:lang w:eastAsia="ko-KR"/>
        </w:rPr>
        <w:t>N</w:t>
      </w:r>
      <w:r>
        <w:rPr>
          <w:rFonts w:eastAsia="Malgun Gothic"/>
          <w:kern w:val="2"/>
          <w:lang w:eastAsia="ko-KR"/>
        </w:rPr>
        <w:t xml:space="preserve">), with </w:t>
      </w:r>
      <w:r w:rsidRPr="009A4F63">
        <w:rPr>
          <w:rFonts w:eastAsia="Malgun Gothic"/>
          <w:i/>
          <w:kern w:val="2"/>
          <w:lang w:eastAsia="ko-KR"/>
        </w:rPr>
        <w:t>N</w:t>
      </w:r>
      <w:r>
        <w:rPr>
          <w:rFonts w:eastAsia="Malgun Gothic"/>
          <w:kern w:val="2"/>
          <w:lang w:eastAsia="ko-KR"/>
        </w:rPr>
        <w:t xml:space="preserve"> being the block size, while in other parts, the coefficients are </w:t>
      </w:r>
      <w:r w:rsidR="00BB2C67">
        <w:rPr>
          <w:rFonts w:eastAsia="Malgun Gothic"/>
          <w:kern w:val="2"/>
          <w:lang w:eastAsia="ko-KR"/>
        </w:rPr>
        <w:t>scaled</w:t>
      </w:r>
      <w:r>
        <w:rPr>
          <w:rFonts w:eastAsia="Malgun Gothic"/>
          <w:kern w:val="2"/>
          <w:lang w:eastAsia="ko-KR"/>
        </w:rPr>
        <w:t xml:space="preserve"> to a value range of 32</w:t>
      </w:r>
      <w:r w:rsidR="00BB2C67">
        <w:rPr>
          <w:rFonts w:eastAsia="Malgun Gothic"/>
          <w:kern w:val="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bit</w:t>
      </w:r>
      <w:r w:rsidR="00BB2C67">
        <w:rPr>
          <w:rFonts w:eastAsia="Malgun Gothic"/>
          <w:kern w:val="2"/>
          <w:lang w:eastAsia="ko-KR"/>
        </w:rPr>
        <w:t xml:space="preserve"> (to maximize precision)</w:t>
      </w:r>
      <w:r>
        <w:rPr>
          <w:rFonts w:eastAsia="Malgun Gothic"/>
          <w:kern w:val="2"/>
          <w:lang w:eastAsia="ko-KR"/>
        </w:rPr>
        <w:t xml:space="preserve">, regardless of </w:t>
      </w:r>
      <w:r w:rsidR="00BB2C67" w:rsidRPr="00BB2C67">
        <w:rPr>
          <w:rFonts w:eastAsia="Malgun Gothic"/>
          <w:i/>
          <w:kern w:val="2"/>
          <w:lang w:eastAsia="ko-KR"/>
        </w:rPr>
        <w:t>N</w:t>
      </w:r>
      <w:r w:rsidR="00BB2C67">
        <w:rPr>
          <w:rFonts w:eastAsia="Malgun Gothic"/>
          <w:kern w:val="2"/>
          <w:lang w:eastAsia="ko-KR"/>
        </w:rPr>
        <w:t>. To ease maintenance and further standard development, it is proposed to include factor 2/sqrt(</w:t>
      </w:r>
      <w:r w:rsidR="00BB2C67" w:rsidRPr="00BB2C67">
        <w:rPr>
          <w:rFonts w:eastAsia="Malgun Gothic"/>
          <w:i/>
          <w:kern w:val="2"/>
          <w:lang w:eastAsia="ko-KR"/>
        </w:rPr>
        <w:t>N</w:t>
      </w:r>
      <w:r w:rsidR="00BB2C67">
        <w:rPr>
          <w:rFonts w:eastAsia="Malgun Gothic"/>
          <w:kern w:val="2"/>
          <w:lang w:eastAsia="ko-KR"/>
        </w:rPr>
        <w:t>) in all transform related code paths.</w:t>
      </w:r>
    </w:p>
    <w:p w14:paraId="0B3C19D2" w14:textId="2CCF68DC" w:rsidR="00656775" w:rsidRDefault="00656775" w:rsidP="009E34E9">
      <w:pPr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Effect on coding efficiency, when measured in PRD based BD-rate [2]: ±0.01%, dep</w:t>
      </w:r>
      <w:r w:rsidR="00A27D4E">
        <w:rPr>
          <w:rFonts w:eastAsia="Malgun Gothic"/>
          <w:kern w:val="2"/>
          <w:lang w:eastAsia="ko-KR"/>
        </w:rPr>
        <w:t>ending</w:t>
      </w:r>
      <w:r>
        <w:rPr>
          <w:rFonts w:eastAsia="Malgun Gothic"/>
          <w:kern w:val="2"/>
          <w:lang w:eastAsia="ko-KR"/>
        </w:rPr>
        <w:t xml:space="preserve"> on </w:t>
      </w:r>
      <w:r w:rsidR="00A27D4E">
        <w:rPr>
          <w:rFonts w:eastAsia="Malgun Gothic"/>
          <w:kern w:val="2"/>
          <w:lang w:eastAsia="ko-KR"/>
        </w:rPr>
        <w:t>set</w:t>
      </w:r>
      <w:r>
        <w:rPr>
          <w:rFonts w:eastAsia="Malgun Gothic"/>
          <w:kern w:val="2"/>
          <w:lang w:eastAsia="ko-KR"/>
        </w:rPr>
        <w:t>.</w:t>
      </w:r>
    </w:p>
    <w:p w14:paraId="4A95DFD6" w14:textId="1CE2F9B8" w:rsidR="00656775" w:rsidRPr="009E34E9" w:rsidRDefault="00646A0C" w:rsidP="00344B9D">
      <w:pPr>
        <w:pStyle w:val="Heading2"/>
        <w:tabs>
          <w:tab w:val="right" w:pos="9356"/>
        </w:tabs>
        <w:spacing w:after="80"/>
        <w:ind w:left="539" w:hanging="539"/>
        <w:rPr>
          <w:rFonts w:ascii="Times New Roman" w:eastAsia="Malgun Gothic" w:hAnsi="Times New Roman"/>
          <w:lang w:val="en-US" w:eastAsia="ko-KR"/>
        </w:rPr>
      </w:pPr>
      <w:r>
        <w:rPr>
          <w:rFonts w:ascii="Times New Roman" w:hAnsi="Times New Roman"/>
          <w:lang w:val="en-US"/>
        </w:rPr>
        <w:t>Fixes related to specification text</w:t>
      </w:r>
      <w:r w:rsidR="00656775">
        <w:rPr>
          <w:rFonts w:ascii="Times New Roman" w:hAnsi="Times New Roman"/>
          <w:lang w:val="en-US"/>
        </w:rPr>
        <w:tab/>
      </w:r>
      <w:r w:rsidR="00656775">
        <w:rPr>
          <w:rFonts w:ascii="Consolas" w:hAnsi="Consolas"/>
          <w:b w:val="0"/>
          <w:i w:val="0"/>
          <w:sz w:val="22"/>
          <w:lang w:val="en-US"/>
        </w:rPr>
        <w:t>specification</w:t>
      </w:r>
      <w:r w:rsidR="00656775" w:rsidRPr="00656775">
        <w:rPr>
          <w:rFonts w:ascii="Consolas" w:hAnsi="Consolas"/>
          <w:b w:val="0"/>
          <w:i w:val="0"/>
          <w:sz w:val="22"/>
          <w:vertAlign w:val="superscript"/>
          <w:lang w:val="en-US"/>
        </w:rPr>
        <w:t xml:space="preserve"> </w:t>
      </w:r>
      <w:r w:rsidR="00656775">
        <w:rPr>
          <w:rFonts w:ascii="Consolas" w:hAnsi="Consolas"/>
          <w:b w:val="0"/>
          <w:i w:val="0"/>
          <w:sz w:val="22"/>
          <w:lang w:val="en-US"/>
        </w:rPr>
        <w:t>text</w:t>
      </w:r>
      <w:r w:rsidR="00656775" w:rsidRPr="00656775">
        <w:rPr>
          <w:rFonts w:ascii="Consolas" w:hAnsi="Consolas"/>
          <w:b w:val="0"/>
          <w:i w:val="0"/>
          <w:sz w:val="22"/>
          <w:vertAlign w:val="superscript"/>
          <w:lang w:val="en-US"/>
        </w:rPr>
        <w:t xml:space="preserve"> </w:t>
      </w:r>
      <w:r w:rsidR="00656775">
        <w:rPr>
          <w:rFonts w:ascii="Consolas" w:hAnsi="Consolas"/>
          <w:b w:val="0"/>
          <w:i w:val="0"/>
          <w:sz w:val="22"/>
          <w:lang w:val="en-US"/>
        </w:rPr>
        <w:t>only</w:t>
      </w:r>
    </w:p>
    <w:p w14:paraId="1705B6ED" w14:textId="5F56CD0B" w:rsidR="009E34E9" w:rsidRPr="009E34E9" w:rsidRDefault="003C0E3C" w:rsidP="009E34E9">
      <w:pPr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 xml:space="preserve">In </w:t>
      </w:r>
      <w:r w:rsidR="00DE2D76">
        <w:rPr>
          <w:rFonts w:eastAsia="Malgun Gothic"/>
          <w:kern w:val="2"/>
          <w:lang w:eastAsia="ko-KR"/>
        </w:rPr>
        <w:t>7</w:t>
      </w:r>
      <w:r>
        <w:rPr>
          <w:rFonts w:eastAsia="Malgun Gothic"/>
          <w:kern w:val="2"/>
          <w:lang w:eastAsia="ko-KR"/>
        </w:rPr>
        <w:t>.</w:t>
      </w:r>
      <w:r w:rsidR="00DE2D76">
        <w:rPr>
          <w:rFonts w:eastAsia="Malgun Gothic"/>
          <w:kern w:val="2"/>
          <w:lang w:eastAsia="ko-KR"/>
        </w:rPr>
        <w:t>3</w:t>
      </w:r>
      <w:r>
        <w:rPr>
          <w:rFonts w:eastAsia="Malgun Gothic"/>
          <w:kern w:val="2"/>
          <w:lang w:eastAsia="ko-KR"/>
        </w:rPr>
        <w:t>.</w:t>
      </w:r>
      <w:r w:rsidR="00DE2D76">
        <w:rPr>
          <w:rFonts w:eastAsia="Malgun Gothic"/>
          <w:kern w:val="2"/>
          <w:lang w:eastAsia="ko-KR"/>
        </w:rPr>
        <w:t>3</w:t>
      </w:r>
      <w:r>
        <w:rPr>
          <w:rFonts w:eastAsia="Malgun Gothic"/>
          <w:kern w:val="2"/>
          <w:lang w:eastAsia="ko-KR"/>
        </w:rPr>
        <w:t>.</w:t>
      </w:r>
      <w:r w:rsidR="00DE2D76">
        <w:rPr>
          <w:rFonts w:eastAsia="Malgun Gothic"/>
          <w:kern w:val="2"/>
          <w:lang w:eastAsia="ko-KR"/>
        </w:rPr>
        <w:t>3</w:t>
      </w:r>
      <w:r>
        <w:rPr>
          <w:rFonts w:eastAsia="Malgun Gothic"/>
          <w:kern w:val="2"/>
          <w:lang w:eastAsia="ko-KR"/>
        </w:rPr>
        <w:t>.</w:t>
      </w:r>
      <w:r w:rsidR="00DE2D76">
        <w:rPr>
          <w:rFonts w:eastAsia="Malgun Gothic"/>
          <w:kern w:val="2"/>
          <w:lang w:eastAsia="ko-KR"/>
        </w:rPr>
        <w:t>5</w:t>
      </w:r>
      <w:r>
        <w:rPr>
          <w:rFonts w:eastAsia="Malgun Gothic"/>
          <w:kern w:val="2"/>
          <w:lang w:eastAsia="ko-KR"/>
        </w:rPr>
        <w:t xml:space="preserve"> of the draft specification text, the linear predictive filter (LPF) order is wrongly derived via a binary left</w:t>
      </w:r>
      <w:r w:rsidR="00344B9D">
        <w:rPr>
          <w:rFonts w:eastAsia="Malgun Gothic"/>
          <w:kern w:val="2"/>
          <w:lang w:eastAsia="ko-KR"/>
        </w:rPr>
        <w:t>-</w:t>
      </w:r>
      <w:r>
        <w:rPr>
          <w:rFonts w:eastAsia="Malgun Gothic"/>
          <w:kern w:val="2"/>
          <w:lang w:eastAsia="ko-KR"/>
        </w:rPr>
        <w:t>shift</w:t>
      </w:r>
      <w:r w:rsidR="00DE2D76">
        <w:rPr>
          <w:rFonts w:eastAsia="Malgun Gothic"/>
          <w:kern w:val="2"/>
          <w:lang w:eastAsia="ko-KR"/>
        </w:rPr>
        <w:t>,</w:t>
      </w:r>
      <w:r w:rsidR="00DE2D76" w:rsidRPr="00344B9D">
        <w:rPr>
          <w:rFonts w:eastAsia="Malgun Gothic"/>
          <w:kern w:val="2"/>
          <w:vertAlign w:val="superscript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>1</w:t>
      </w:r>
      <w:r w:rsidRPr="00DE2D76">
        <w:rPr>
          <w:rFonts w:eastAsia="Malgun Gothic"/>
          <w:kern w:val="2"/>
          <w:vertAlign w:val="superscript"/>
          <w:lang w:eastAsia="ko-KR"/>
        </w:rPr>
        <w:t xml:space="preserve"> </w:t>
      </w:r>
      <w:r w:rsidRPr="003C0E3C">
        <w:rPr>
          <w:rFonts w:ascii="Consolas" w:eastAsia="Malgun Gothic" w:hAnsi="Consolas"/>
          <w:kern w:val="2"/>
          <w:lang w:eastAsia="ko-KR"/>
        </w:rPr>
        <w:t>«</w:t>
      </w:r>
      <w:r>
        <w:rPr>
          <w:rFonts w:eastAsia="Malgun Gothic"/>
          <w:kern w:val="2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>(lpf_num_weights_idx</w:t>
      </w:r>
      <w:r w:rsidR="00DE2D76" w:rsidRPr="00DE2D76">
        <w:rPr>
          <w:rFonts w:eastAsia="Malgun Gothic"/>
          <w:kern w:val="2"/>
          <w:vertAlign w:val="superscript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>+</w:t>
      </w:r>
      <w:r w:rsidR="00DE2D76" w:rsidRPr="00DE2D76">
        <w:rPr>
          <w:rFonts w:eastAsia="Malgun Gothic"/>
          <w:kern w:val="2"/>
          <w:vertAlign w:val="superscript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>1</w:t>
      </w:r>
      <w:r>
        <w:rPr>
          <w:rFonts w:eastAsia="Malgun Gothic"/>
          <w:kern w:val="2"/>
          <w:lang w:eastAsia="ko-KR"/>
        </w:rPr>
        <w:t>)</w:t>
      </w:r>
      <w:r w:rsidR="00DE2D76">
        <w:rPr>
          <w:rFonts w:eastAsia="Malgun Gothic"/>
          <w:kern w:val="2"/>
          <w:lang w:eastAsia="ko-KR"/>
        </w:rPr>
        <w:t>,</w:t>
      </w:r>
      <w:r>
        <w:rPr>
          <w:rFonts w:eastAsia="Malgun Gothic"/>
          <w:kern w:val="2"/>
          <w:lang w:eastAsia="ko-KR"/>
        </w:rPr>
        <w:t xml:space="preserve"> instead of a multiplication</w:t>
      </w:r>
      <w:r w:rsidR="00DE2D76">
        <w:rPr>
          <w:rFonts w:eastAsia="Malgun Gothic"/>
          <w:kern w:val="2"/>
          <w:lang w:eastAsia="ko-KR"/>
        </w:rPr>
        <w:t xml:space="preserve">, </w:t>
      </w:r>
      <w:r>
        <w:rPr>
          <w:rFonts w:eastAsia="Malgun Gothic"/>
          <w:kern w:val="2"/>
          <w:lang w:eastAsia="ko-KR"/>
        </w:rPr>
        <w:t>2</w:t>
      </w:r>
      <w:r w:rsidRPr="00DE2D76">
        <w:rPr>
          <w:rFonts w:eastAsia="Malgun Gothic"/>
          <w:kern w:val="2"/>
          <w:vertAlign w:val="superscript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>·</w:t>
      </w:r>
      <w:r w:rsidRPr="00DE2D76">
        <w:rPr>
          <w:rFonts w:eastAsia="Malgun Gothic"/>
          <w:kern w:val="2"/>
          <w:vertAlign w:val="superscript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>(lpf...</w:t>
      </w:r>
      <w:r>
        <w:rPr>
          <w:rFonts w:eastAsia="Malgun Gothic"/>
          <w:kern w:val="2"/>
          <w:lang w:eastAsia="ko-KR"/>
        </w:rPr>
        <w:t>), and</w:t>
      </w:r>
      <w:r w:rsidR="00DE2D76">
        <w:rPr>
          <w:rFonts w:eastAsia="Malgun Gothic"/>
          <w:kern w:val="2"/>
          <w:lang w:eastAsia="ko-KR"/>
        </w:rPr>
        <w:t xml:space="preserve"> in</w:t>
      </w:r>
      <w:r>
        <w:rPr>
          <w:rFonts w:eastAsia="Malgun Gothic"/>
          <w:kern w:val="2"/>
          <w:lang w:eastAsia="ko-KR"/>
        </w:rPr>
        <w:t xml:space="preserve"> </w:t>
      </w:r>
      <w:r w:rsidR="00DE2D76">
        <w:rPr>
          <w:rFonts w:eastAsia="Malgun Gothic"/>
          <w:kern w:val="2"/>
          <w:lang w:eastAsia="ko-KR"/>
        </w:rPr>
        <w:t xml:space="preserve">7.3.3.3.1, a </w:t>
      </w:r>
      <w:r w:rsidR="00344B9D">
        <w:rPr>
          <w:rFonts w:eastAsia="Malgun Gothic"/>
          <w:kern w:val="2"/>
          <w:lang w:eastAsia="ko-KR"/>
        </w:rPr>
        <w:t>transform</w:t>
      </w:r>
      <w:r w:rsidR="00344B9D" w:rsidRPr="00344B9D">
        <w:rPr>
          <w:rFonts w:eastAsia="Malgun Gothic"/>
          <w:kern w:val="2"/>
          <w:sz w:val="22"/>
          <w:lang w:eastAsia="ko-KR"/>
        </w:rPr>
        <w:t>_</w:t>
      </w:r>
      <w:r w:rsidR="00344B9D">
        <w:rPr>
          <w:rFonts w:eastAsia="Malgun Gothic"/>
          <w:kern w:val="2"/>
          <w:lang w:eastAsia="ko-KR"/>
        </w:rPr>
        <w:t>skip</w:t>
      </w:r>
      <w:r w:rsidR="00344B9D" w:rsidRPr="00344B9D">
        <w:rPr>
          <w:rFonts w:eastAsia="Malgun Gothic"/>
          <w:kern w:val="2"/>
          <w:sz w:val="22"/>
          <w:lang w:eastAsia="ko-KR"/>
        </w:rPr>
        <w:t>_</w:t>
      </w:r>
      <w:r w:rsidR="00344B9D">
        <w:rPr>
          <w:rFonts w:eastAsia="Malgun Gothic"/>
          <w:kern w:val="2"/>
          <w:lang w:eastAsia="ko-KR"/>
        </w:rPr>
        <w:t>flag is utilized, instead of a transform</w:t>
      </w:r>
      <w:r w:rsidR="00344B9D" w:rsidRPr="00344B9D">
        <w:rPr>
          <w:rFonts w:eastAsia="Malgun Gothic"/>
          <w:kern w:val="2"/>
          <w:sz w:val="22"/>
          <w:lang w:eastAsia="ko-KR"/>
        </w:rPr>
        <w:t>_</w:t>
      </w:r>
      <w:r w:rsidR="00344B9D" w:rsidRPr="00344B9D">
        <w:rPr>
          <w:rFonts w:eastAsia="Malgun Gothic"/>
          <w:b/>
          <w:kern w:val="2"/>
          <w:lang w:eastAsia="ko-KR"/>
        </w:rPr>
        <w:t>present</w:t>
      </w:r>
      <w:r w:rsidR="00344B9D" w:rsidRPr="00344B9D">
        <w:rPr>
          <w:rFonts w:eastAsia="Malgun Gothic"/>
          <w:kern w:val="2"/>
          <w:sz w:val="22"/>
          <w:lang w:eastAsia="ko-KR"/>
        </w:rPr>
        <w:t>_</w:t>
      </w:r>
      <w:r w:rsidR="00344B9D">
        <w:rPr>
          <w:rFonts w:eastAsia="Malgun Gothic"/>
          <w:kern w:val="2"/>
          <w:lang w:eastAsia="ko-KR"/>
        </w:rPr>
        <w:t>flag as is intended and applied in the H.BWC software as well as other text places (e.</w:t>
      </w:r>
      <w:r w:rsidR="00344B9D" w:rsidRPr="00344B9D">
        <w:rPr>
          <w:rFonts w:eastAsia="Malgun Gothic"/>
          <w:kern w:val="2"/>
          <w:vertAlign w:val="superscript"/>
          <w:lang w:eastAsia="ko-KR"/>
        </w:rPr>
        <w:t xml:space="preserve"> </w:t>
      </w:r>
      <w:r w:rsidR="00344B9D">
        <w:rPr>
          <w:rFonts w:eastAsia="Malgun Gothic"/>
          <w:kern w:val="2"/>
          <w:lang w:eastAsia="ko-KR"/>
        </w:rPr>
        <w:t>g., block_delta_zlsb_</w:t>
      </w:r>
      <w:r w:rsidR="00344B9D" w:rsidRPr="00344B9D">
        <w:rPr>
          <w:rFonts w:eastAsia="Malgun Gothic"/>
          <w:b/>
          <w:kern w:val="2"/>
          <w:lang w:eastAsia="ko-KR"/>
        </w:rPr>
        <w:t>present</w:t>
      </w:r>
      <w:r w:rsidR="00344B9D">
        <w:rPr>
          <w:rFonts w:eastAsia="Malgun Gothic"/>
          <w:kern w:val="2"/>
          <w:lang w:eastAsia="ko-KR"/>
        </w:rPr>
        <w:t>_flag).</w:t>
      </w:r>
    </w:p>
    <w:p w14:paraId="5026353A" w14:textId="7CC06CB0" w:rsidR="00646A0C" w:rsidRPr="009E34E9" w:rsidRDefault="00646A0C" w:rsidP="00646A0C">
      <w:pPr>
        <w:pStyle w:val="Heading2"/>
        <w:tabs>
          <w:tab w:val="right" w:pos="9356"/>
        </w:tabs>
        <w:spacing w:after="80"/>
        <w:ind w:left="539" w:hanging="539"/>
        <w:rPr>
          <w:rFonts w:ascii="Times New Roman" w:eastAsia="Malgun Gothic" w:hAnsi="Times New Roman"/>
          <w:lang w:val="en-US" w:eastAsia="ko-KR"/>
        </w:rPr>
      </w:pPr>
      <w:r>
        <w:rPr>
          <w:rFonts w:ascii="Times New Roman" w:hAnsi="Times New Roman"/>
          <w:lang w:val="en-US"/>
        </w:rPr>
        <w:lastRenderedPageBreak/>
        <w:t>Fix to block matching prediction</w:t>
      </w:r>
      <w:r>
        <w:rPr>
          <w:rFonts w:ascii="Times New Roman" w:hAnsi="Times New Roman"/>
          <w:lang w:val="en-US"/>
        </w:rPr>
        <w:tab/>
      </w:r>
      <w:r w:rsidRPr="00474009">
        <w:rPr>
          <w:rFonts w:ascii="Consolas" w:hAnsi="Consolas"/>
          <w:b w:val="0"/>
          <w:i w:val="0"/>
          <w:sz w:val="22"/>
          <w:lang w:val="en-US"/>
        </w:rPr>
        <w:t xml:space="preserve">#define </w:t>
      </w:r>
      <w:r>
        <w:rPr>
          <w:rFonts w:ascii="Consolas" w:hAnsi="Consolas"/>
          <w:b w:val="0"/>
          <w:i w:val="0"/>
          <w:sz w:val="22"/>
          <w:lang w:val="en-US"/>
        </w:rPr>
        <w:t>HHI</w:t>
      </w:r>
      <w:r w:rsidRPr="00474009">
        <w:rPr>
          <w:rFonts w:ascii="Consolas" w:hAnsi="Consolas"/>
          <w:b w:val="0"/>
          <w:i w:val="0"/>
          <w:sz w:val="22"/>
          <w:lang w:val="en-US"/>
        </w:rPr>
        <w:t>_</w:t>
      </w:r>
      <w:r>
        <w:rPr>
          <w:rFonts w:ascii="Consolas" w:hAnsi="Consolas"/>
          <w:b w:val="0"/>
          <w:i w:val="0"/>
          <w:sz w:val="22"/>
          <w:lang w:val="en-US"/>
        </w:rPr>
        <w:t>BUGFIX_BM</w:t>
      </w:r>
    </w:p>
    <w:p w14:paraId="1684F4D4" w14:textId="1C26184C" w:rsidR="009E46B0" w:rsidRDefault="00646A0C" w:rsidP="00646A0C">
      <w:pPr>
        <w:spacing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 xml:space="preserve">The block matching (BM) predictor in </w:t>
      </w:r>
      <w:r w:rsidRPr="00646A0C">
        <w:rPr>
          <w:rFonts w:eastAsia="Malgun Gothic"/>
          <w:spacing w:val="-2"/>
          <w:kern w:val="2"/>
          <w:lang w:eastAsia="ko-KR"/>
        </w:rPr>
        <w:t>H.B</w:t>
      </w:r>
      <w:r w:rsidRPr="00646A0C">
        <w:rPr>
          <w:rFonts w:eastAsia="Malgun Gothic"/>
          <w:spacing w:val="-4"/>
          <w:kern w:val="2"/>
          <w:lang w:eastAsia="ko-KR"/>
        </w:rPr>
        <w:t>WC</w:t>
      </w:r>
      <w:r w:rsidRPr="00646A0C">
        <w:rPr>
          <w:rFonts w:eastAsia="Malgun Gothic"/>
          <w:spacing w:val="-2"/>
          <w:kern w:val="2"/>
          <w:lang w:eastAsia="ko-KR"/>
        </w:rPr>
        <w:t xml:space="preserve"> </w:t>
      </w:r>
      <w:r>
        <w:rPr>
          <w:rFonts w:eastAsia="Malgun Gothic"/>
          <w:kern w:val="2"/>
          <w:lang w:eastAsia="ko-KR"/>
        </w:rPr>
        <w:t xml:space="preserve">applies temporal delta-coding of its parameter, with value-range checking related adjustment upon changing block sizes. This </w:t>
      </w:r>
      <w:r w:rsidR="009E46B0">
        <w:rPr>
          <w:rFonts w:eastAsia="Malgun Gothic"/>
          <w:kern w:val="2"/>
          <w:lang w:eastAsia="ko-KR"/>
        </w:rPr>
        <w:t xml:space="preserve">adjustment was found to be </w:t>
      </w:r>
      <w:r>
        <w:rPr>
          <w:rFonts w:eastAsia="Malgun Gothic"/>
          <w:kern w:val="2"/>
          <w:lang w:eastAsia="ko-KR"/>
        </w:rPr>
        <w:t>incomplete</w:t>
      </w:r>
      <w:r w:rsidR="009E46B0">
        <w:rPr>
          <w:rFonts w:eastAsia="Malgun Gothic"/>
          <w:kern w:val="2"/>
          <w:lang w:eastAsia="ko-KR"/>
        </w:rPr>
        <w:t xml:space="preserve"> in that it is only currently applied when the current block’s size is greater than the previous block’s size</w:t>
      </w:r>
      <w:r>
        <w:rPr>
          <w:rFonts w:eastAsia="Malgun Gothic"/>
          <w:kern w:val="2"/>
          <w:lang w:eastAsia="ko-KR"/>
        </w:rPr>
        <w:t>.</w:t>
      </w:r>
      <w:r w:rsidR="009E46B0">
        <w:rPr>
          <w:rFonts w:eastAsia="Malgun Gothic"/>
          <w:kern w:val="2"/>
          <w:lang w:eastAsia="ko-KR"/>
        </w:rPr>
        <w:t xml:space="preserve"> Therefore, it is proposed to apply an analogous adjustment in the opposite case, by </w:t>
      </w:r>
      <w:r w:rsidR="00F44F92">
        <w:rPr>
          <w:rFonts w:eastAsia="Malgun Gothic"/>
          <w:kern w:val="2"/>
          <w:lang w:eastAsia="ko-KR"/>
        </w:rPr>
        <w:t>extending</w:t>
      </w:r>
      <w:r w:rsidR="009E46B0">
        <w:rPr>
          <w:rFonts w:eastAsia="Malgun Gothic"/>
          <w:kern w:val="2"/>
          <w:lang w:eastAsia="ko-KR"/>
        </w:rPr>
        <w:t xml:space="preserve"> 7.3.3.3.3 of [3] as follows and correcting the software accordingly: before text</w:t>
      </w:r>
    </w:p>
    <w:p w14:paraId="6BA7806D" w14:textId="64FD49D0" w:rsidR="009E46B0" w:rsidRDefault="007429BB" w:rsidP="00646A0C">
      <w:pPr>
        <w:spacing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sz w:val="22"/>
          <w:lang w:eastAsia="ko-KR"/>
        </w:rPr>
        <w:t xml:space="preserve">if( bmOffsetPred &lt; ( 1 </w:t>
      </w:r>
      <w:r w:rsidR="009E46B0" w:rsidRPr="009E46B0">
        <w:rPr>
          <w:rFonts w:eastAsia="Malgun Gothic"/>
          <w:kern w:val="2"/>
          <w:sz w:val="22"/>
          <w:lang w:eastAsia="ko-KR"/>
        </w:rPr>
        <w:t>&lt;&lt;</w:t>
      </w:r>
      <w:r w:rsidR="009E46B0" w:rsidRPr="007429BB">
        <w:rPr>
          <w:rFonts w:eastAsia="Malgun Gothic"/>
          <w:kern w:val="2"/>
          <w:sz w:val="22"/>
          <w:vertAlign w:val="superscript"/>
          <w:lang w:eastAsia="ko-KR"/>
        </w:rPr>
        <w:t xml:space="preserve"> </w:t>
      </w:r>
      <w:r w:rsidR="009E46B0" w:rsidRPr="009E46B0">
        <w:rPr>
          <w:rFonts w:eastAsia="Malgun Gothic"/>
          <w:kern w:val="2"/>
          <w:sz w:val="22"/>
          <w:lang w:eastAsia="ko-KR"/>
        </w:rPr>
        <w:t xml:space="preserve"> Log2BlockSize ) )</w:t>
      </w:r>
    </w:p>
    <w:p w14:paraId="662A26BA" w14:textId="77777777" w:rsidR="009E46B0" w:rsidRDefault="009E46B0" w:rsidP="00646A0C">
      <w:pPr>
        <w:spacing w:after="120"/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add</w:t>
      </w:r>
    </w:p>
    <w:p w14:paraId="0FD2477C" w14:textId="65E9F469" w:rsidR="009E46B0" w:rsidRDefault="009E46B0" w:rsidP="009E46B0">
      <w:pPr>
        <w:spacing w:after="120"/>
        <w:rPr>
          <w:rFonts w:eastAsia="Malgun Gothic"/>
          <w:kern w:val="2"/>
          <w:lang w:eastAsia="ko-KR"/>
        </w:rPr>
      </w:pPr>
      <w:r w:rsidRPr="009E46B0">
        <w:rPr>
          <w:rFonts w:eastAsia="Malgun Gothic"/>
          <w:kern w:val="2"/>
          <w:sz w:val="22"/>
          <w:szCs w:val="22"/>
          <w:lang w:eastAsia="ko-KR"/>
        </w:rPr>
        <w:t>if( log2BMBlockSizePred &gt; Log2BlockSize &amp;&amp; bmOffsetMinusBlockSizePred &gt; ( Log2BlockSize &lt;&lt; 6 ) )</w:t>
      </w:r>
      <w:r>
        <w:rPr>
          <w:rFonts w:eastAsia="Malgun Gothic"/>
          <w:kern w:val="2"/>
          <w:sz w:val="22"/>
          <w:szCs w:val="22"/>
          <w:lang w:eastAsia="ko-KR"/>
        </w:rPr>
        <w:br/>
      </w:r>
      <w:r w:rsidRPr="009E46B0">
        <w:rPr>
          <w:rFonts w:eastAsia="Malgun Gothic"/>
          <w:kern w:val="2"/>
          <w:sz w:val="22"/>
          <w:szCs w:val="22"/>
          <w:lang w:eastAsia="ko-KR"/>
        </w:rPr>
        <w:t xml:space="preserve">  </w:t>
      </w:r>
      <w:r w:rsidR="00F44F92">
        <w:rPr>
          <w:rFonts w:eastAsia="Malgun Gothic"/>
          <w:kern w:val="2"/>
          <w:sz w:val="22"/>
          <w:szCs w:val="22"/>
          <w:lang w:eastAsia="ko-KR"/>
        </w:rPr>
        <w:t xml:space="preserve">     </w:t>
      </w:r>
      <w:r w:rsidRPr="009E46B0">
        <w:rPr>
          <w:rFonts w:eastAsia="Malgun Gothic"/>
          <w:kern w:val="2"/>
          <w:sz w:val="22"/>
          <w:szCs w:val="22"/>
          <w:lang w:eastAsia="ko-KR"/>
        </w:rPr>
        <w:t>bmOffsetPred = bmOffsetPred &gt;&gt; (</w:t>
      </w:r>
      <w:r w:rsidR="007429BB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Pr="009E46B0">
        <w:rPr>
          <w:rFonts w:eastAsia="Malgun Gothic"/>
          <w:kern w:val="2"/>
          <w:sz w:val="22"/>
          <w:szCs w:val="22"/>
          <w:lang w:eastAsia="ko-KR"/>
        </w:rPr>
        <w:t xml:space="preserve">log2BMBlockSizePred </w:t>
      </w:r>
      <w:r w:rsidR="00AE775E">
        <w:rPr>
          <w:rFonts w:eastAsia="Malgun Gothic"/>
          <w:kern w:val="2"/>
          <w:sz w:val="22"/>
          <w:szCs w:val="22"/>
          <w:lang w:eastAsia="ko-KR"/>
        </w:rPr>
        <w:t>–</w:t>
      </w:r>
      <w:r w:rsidRPr="009E46B0">
        <w:rPr>
          <w:rFonts w:eastAsia="Malgun Gothic"/>
          <w:kern w:val="2"/>
          <w:sz w:val="22"/>
          <w:szCs w:val="22"/>
          <w:lang w:eastAsia="ko-KR"/>
        </w:rPr>
        <w:t xml:space="preserve"> Log2BlockSize</w:t>
      </w:r>
      <w:r w:rsidR="007429BB">
        <w:rPr>
          <w:rFonts w:eastAsia="Malgun Gothic"/>
          <w:kern w:val="2"/>
          <w:sz w:val="22"/>
          <w:szCs w:val="22"/>
          <w:lang w:eastAsia="ko-KR"/>
        </w:rPr>
        <w:t xml:space="preserve"> </w:t>
      </w:r>
      <w:r w:rsidRPr="009E46B0">
        <w:rPr>
          <w:rFonts w:eastAsia="Malgun Gothic"/>
          <w:kern w:val="2"/>
          <w:sz w:val="22"/>
          <w:szCs w:val="22"/>
          <w:lang w:eastAsia="ko-KR"/>
        </w:rPr>
        <w:t>)</w:t>
      </w:r>
    </w:p>
    <w:p w14:paraId="514F2A72" w14:textId="7804A056" w:rsidR="00646A0C" w:rsidRDefault="00646A0C" w:rsidP="00646A0C">
      <w:pPr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Effect on coding efficiency, when measured in PRD based BD-rate [2]: –0.01% on ECG, 0% else.</w:t>
      </w:r>
    </w:p>
    <w:p w14:paraId="64CECFBE" w14:textId="77777777" w:rsidR="00646A0C" w:rsidRDefault="00646A0C" w:rsidP="00646A0C">
      <w:pPr>
        <w:rPr>
          <w:rFonts w:eastAsia="Malgun Gothic"/>
          <w:kern w:val="2"/>
          <w:lang w:eastAsia="ko-KR"/>
        </w:rPr>
      </w:pPr>
    </w:p>
    <w:p w14:paraId="4ED80FD1" w14:textId="41E21CDF" w:rsidR="009E34E9" w:rsidRPr="009E34E9" w:rsidRDefault="00CE3D04" w:rsidP="00C8442A">
      <w:pPr>
        <w:rPr>
          <w:rFonts w:eastAsia="Malgun Gothic"/>
          <w:kern w:val="2"/>
          <w:lang w:eastAsia="ko-KR"/>
        </w:rPr>
      </w:pPr>
      <w:r>
        <w:rPr>
          <w:rFonts w:eastAsia="Malgun Gothic"/>
          <w:kern w:val="2"/>
          <w:lang w:eastAsia="ko-KR"/>
        </w:rPr>
        <w:t>Detailed BD-rate results and patches for correction</w:t>
      </w:r>
      <w:r w:rsidR="009A4F63">
        <w:rPr>
          <w:rFonts w:eastAsia="Malgun Gothic"/>
          <w:kern w:val="2"/>
          <w:lang w:eastAsia="ko-KR"/>
        </w:rPr>
        <w:t>s</w:t>
      </w:r>
      <w:r>
        <w:rPr>
          <w:rFonts w:eastAsia="Malgun Gothic"/>
          <w:kern w:val="2"/>
          <w:lang w:eastAsia="ko-KR"/>
        </w:rPr>
        <w:t xml:space="preserve"> </w:t>
      </w:r>
      <w:r w:rsidR="009A4F63">
        <w:rPr>
          <w:rFonts w:eastAsia="Malgun Gothic"/>
          <w:kern w:val="2"/>
          <w:lang w:eastAsia="ko-KR"/>
        </w:rPr>
        <w:t>to</w:t>
      </w:r>
      <w:r>
        <w:rPr>
          <w:rFonts w:eastAsia="Malgun Gothic"/>
          <w:kern w:val="2"/>
          <w:lang w:eastAsia="ko-KR"/>
        </w:rPr>
        <w:t xml:space="preserve"> the software </w:t>
      </w:r>
      <w:r w:rsidR="009A4F63">
        <w:rPr>
          <w:rFonts w:eastAsia="Malgun Gothic"/>
          <w:kern w:val="2"/>
          <w:lang w:eastAsia="ko-KR"/>
        </w:rPr>
        <w:t>can be provided upon request.</w:t>
      </w:r>
    </w:p>
    <w:p w14:paraId="5741CFF1" w14:textId="28310B54" w:rsidR="009C7D9F" w:rsidRPr="009E34E9" w:rsidRDefault="009C7D9F" w:rsidP="009C7D9F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9E34E9">
        <w:rPr>
          <w:rFonts w:eastAsia="Times New Roman"/>
          <w:b/>
          <w:bCs/>
          <w:kern w:val="2"/>
          <w:sz w:val="32"/>
          <w:szCs w:val="32"/>
        </w:rPr>
        <w:t>References</w:t>
      </w:r>
    </w:p>
    <w:p w14:paraId="2832EE40" w14:textId="6A1516B4" w:rsidR="0096479A" w:rsidRPr="009E34E9" w:rsidRDefault="009C7D9F" w:rsidP="009C7D9F">
      <w:pPr>
        <w:ind w:left="357" w:hanging="357"/>
        <w:rPr>
          <w:kern w:val="2"/>
          <w:lang w:eastAsia="x-none"/>
        </w:rPr>
      </w:pPr>
      <w:r w:rsidRPr="009E34E9">
        <w:rPr>
          <w:kern w:val="2"/>
          <w:lang w:eastAsia="x-none"/>
        </w:rPr>
        <w:t>[1]</w:t>
      </w:r>
      <w:r w:rsidRPr="009E34E9">
        <w:rPr>
          <w:kern w:val="2"/>
          <w:lang w:eastAsia="x-none"/>
        </w:rPr>
        <w:tab/>
      </w:r>
      <w:r w:rsidR="0096479A" w:rsidRPr="009E34E9">
        <w:rPr>
          <w:kern w:val="2"/>
          <w:lang w:eastAsia="x-none"/>
        </w:rPr>
        <w:t xml:space="preserve">VCEG, “Reference software for biomedical waveform data compression,” tag BWC-1.0. </w:t>
      </w:r>
      <w:r w:rsidR="0096479A" w:rsidRPr="009E34E9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6479A" w:rsidRPr="009E34E9">
        <w:rPr>
          <w:kern w:val="2"/>
          <w:lang w:eastAsia="x-none"/>
        </w:rPr>
        <w:t xml:space="preserve">: </w:t>
      </w:r>
      <w:hyperlink r:id="rId8" w:history="1">
        <w:r w:rsidR="002C4C02" w:rsidRPr="009E34E9">
          <w:rPr>
            <w:rStyle w:val="Hyperlink"/>
            <w:kern w:val="2"/>
            <w:lang w:eastAsia="x-none"/>
          </w:rPr>
          <w:t>https://vcgit.hhi.fraunhofer.de/vceg-sw/bwc/-/tags</w:t>
        </w:r>
      </w:hyperlink>
      <w:r w:rsidR="002C4C02" w:rsidRPr="009E34E9">
        <w:rPr>
          <w:kern w:val="2"/>
          <w:lang w:eastAsia="x-none"/>
        </w:rPr>
        <w:t xml:space="preserve">, presets </w:t>
      </w:r>
      <w:r w:rsidR="002C4C02" w:rsidRPr="009E34E9">
        <w:rPr>
          <w:i/>
          <w:kern w:val="2"/>
          <w:lang w:eastAsia="x-none"/>
        </w:rPr>
        <w:t>combined...cfg</w:t>
      </w:r>
      <w:r w:rsidR="002C4C02" w:rsidRPr="009E34E9">
        <w:rPr>
          <w:kern w:val="2"/>
          <w:lang w:eastAsia="x-none"/>
        </w:rPr>
        <w:t xml:space="preserve"> in directory</w:t>
      </w:r>
      <w:r w:rsidR="002C4C02" w:rsidRPr="009E34E9">
        <w:rPr>
          <w:kern w:val="2"/>
          <w:vertAlign w:val="superscript"/>
          <w:lang w:eastAsia="x-none"/>
        </w:rPr>
        <w:t xml:space="preserve"> </w:t>
      </w:r>
      <w:r w:rsidR="002C4C02" w:rsidRPr="009E34E9">
        <w:rPr>
          <w:i/>
          <w:kern w:val="2"/>
          <w:lang w:eastAsia="x-none"/>
        </w:rPr>
        <w:t>bwc/cfg</w:t>
      </w:r>
    </w:p>
    <w:p w14:paraId="47681582" w14:textId="23F174B7" w:rsidR="00DE2D76" w:rsidRPr="009E34E9" w:rsidRDefault="0096479A" w:rsidP="00DE2D76">
      <w:pPr>
        <w:ind w:left="357" w:hanging="357"/>
        <w:rPr>
          <w:kern w:val="2"/>
          <w:lang w:eastAsia="x-none"/>
        </w:rPr>
      </w:pPr>
      <w:r w:rsidRPr="009E34E9">
        <w:rPr>
          <w:kern w:val="2"/>
          <w:lang w:eastAsia="x-none"/>
        </w:rPr>
        <w:t>[2]</w:t>
      </w:r>
      <w:r w:rsidRPr="009E34E9">
        <w:rPr>
          <w:kern w:val="2"/>
          <w:lang w:eastAsia="x-none"/>
        </w:rPr>
        <w:tab/>
      </w:r>
      <w:r w:rsidR="009C7D9F" w:rsidRPr="009E34E9">
        <w:rPr>
          <w:kern w:val="2"/>
          <w:lang w:eastAsia="x-none"/>
        </w:rPr>
        <w:t xml:space="preserve">J. Pfaff, C. Fersch, and Rapporteur Q6/21, “Common test conditions and evaluation procedures for H.BWC technical experiments,” </w:t>
      </w:r>
      <w:r w:rsidR="009C7D9F" w:rsidRPr="009E34E9">
        <w:rPr>
          <w:i/>
          <w:kern w:val="2"/>
          <w:lang w:eastAsia="x-none"/>
        </w:rPr>
        <w:t>ITU-T document SG21-TD68/WP3</w:t>
      </w:r>
      <w:r w:rsidR="009C7D9F" w:rsidRPr="009E34E9">
        <w:rPr>
          <w:kern w:val="2"/>
          <w:lang w:eastAsia="x-none"/>
        </w:rPr>
        <w:t xml:space="preserve">, Geneva, Jan. 2025. </w:t>
      </w:r>
      <w:r w:rsidR="009C7D9F" w:rsidRPr="009E34E9">
        <w:rPr>
          <w:kern w:val="2"/>
          <w:position w:val="2"/>
          <w:sz w:val="18"/>
          <w:szCs w:val="18"/>
          <w:lang w:eastAsia="x-none"/>
        </w:rPr>
        <w:sym w:font="Webdings" w:char="F0FC"/>
      </w:r>
      <w:r w:rsidR="009C7D9F" w:rsidRPr="009E34E9">
        <w:rPr>
          <w:kern w:val="2"/>
          <w:lang w:eastAsia="x-none"/>
        </w:rPr>
        <w:t xml:space="preserve">: </w:t>
      </w:r>
      <w:hyperlink r:id="rId9" w:history="1">
        <w:r w:rsidR="009C7D9F" w:rsidRPr="009E34E9">
          <w:rPr>
            <w:rStyle w:val="Hyperlink"/>
            <w:spacing w:val="-6"/>
            <w:kern w:val="2"/>
            <w:lang w:eastAsia="x-none"/>
          </w:rPr>
          <w:t>https://www.itu.int/wftp3/av-arch/video-site/2501_Gen/T25-SG21-TD-WP3-068-BWC-CTC.docx</w:t>
        </w:r>
      </w:hyperlink>
      <w:r w:rsidR="00DE2D76" w:rsidRPr="00DE2D76">
        <w:rPr>
          <w:kern w:val="2"/>
          <w:sz w:val="17"/>
          <w:szCs w:val="17"/>
          <w:lang w:eastAsia="x-none"/>
        </w:rPr>
        <w:t>.</w:t>
      </w:r>
    </w:p>
    <w:p w14:paraId="7C8C5D38" w14:textId="334817A8" w:rsidR="009C7D9F" w:rsidRPr="009E34E9" w:rsidRDefault="00DE2D76" w:rsidP="00DE2D76">
      <w:pPr>
        <w:ind w:left="357" w:hanging="357"/>
        <w:rPr>
          <w:kern w:val="2"/>
          <w:lang w:eastAsia="x-none"/>
        </w:rPr>
      </w:pPr>
      <w:r w:rsidRPr="009E34E9">
        <w:rPr>
          <w:kern w:val="2"/>
          <w:lang w:eastAsia="x-none"/>
        </w:rPr>
        <w:t>[</w:t>
      </w:r>
      <w:r>
        <w:rPr>
          <w:kern w:val="2"/>
          <w:lang w:eastAsia="x-none"/>
        </w:rPr>
        <w:t>3</w:t>
      </w:r>
      <w:r w:rsidRPr="009E34E9">
        <w:rPr>
          <w:kern w:val="2"/>
          <w:lang w:eastAsia="x-none"/>
        </w:rPr>
        <w:t>]</w:t>
      </w:r>
      <w:r w:rsidRPr="009E34E9">
        <w:rPr>
          <w:kern w:val="2"/>
          <w:lang w:eastAsia="x-none"/>
        </w:rPr>
        <w:tab/>
      </w:r>
      <w:r>
        <w:rPr>
          <w:kern w:val="2"/>
          <w:lang w:eastAsia="x-none"/>
        </w:rPr>
        <w:t>J. Pfaff and</w:t>
      </w:r>
      <w:r w:rsidRPr="009E34E9">
        <w:rPr>
          <w:kern w:val="2"/>
          <w:lang w:eastAsia="x-none"/>
        </w:rPr>
        <w:t xml:space="preserve"> C. Fersch</w:t>
      </w:r>
      <w:r>
        <w:rPr>
          <w:kern w:val="2"/>
          <w:lang w:eastAsia="x-none"/>
        </w:rPr>
        <w:t xml:space="preserve">, “H.BWC draft specification text,” </w:t>
      </w:r>
      <w:r w:rsidRPr="00DE2D76">
        <w:rPr>
          <w:i/>
          <w:kern w:val="2"/>
          <w:lang w:eastAsia="x-none"/>
        </w:rPr>
        <w:t>ITU-T document SG21-C0019</w:t>
      </w:r>
      <w:r>
        <w:rPr>
          <w:kern w:val="2"/>
          <w:lang w:eastAsia="x-none"/>
        </w:rPr>
        <w:t>, 2024.</w:t>
      </w:r>
    </w:p>
    <w:p w14:paraId="30EF17AE" w14:textId="55EAF216" w:rsidR="00AC172D" w:rsidRPr="009E34E9" w:rsidRDefault="00AC172D" w:rsidP="00AC172D">
      <w:pPr>
        <w:keepNext/>
        <w:numPr>
          <w:ilvl w:val="0"/>
          <w:numId w:val="14"/>
        </w:numPr>
        <w:tabs>
          <w:tab w:val="left" w:pos="360"/>
          <w:tab w:val="left" w:pos="720"/>
          <w:tab w:val="left" w:pos="1080"/>
          <w:tab w:val="left" w:pos="1440"/>
        </w:tabs>
        <w:overflowPunct w:val="0"/>
        <w:autoSpaceDE w:val="0"/>
        <w:autoSpaceDN w:val="0"/>
        <w:adjustRightInd w:val="0"/>
        <w:spacing w:before="240" w:after="120"/>
        <w:ind w:left="357" w:hanging="357"/>
        <w:jc w:val="left"/>
        <w:textAlignment w:val="baseline"/>
        <w:outlineLvl w:val="0"/>
        <w:rPr>
          <w:rFonts w:eastAsia="Times New Roman"/>
          <w:b/>
          <w:bCs/>
          <w:kern w:val="2"/>
          <w:sz w:val="32"/>
          <w:szCs w:val="32"/>
        </w:rPr>
      </w:pPr>
      <w:r w:rsidRPr="009E34E9">
        <w:rPr>
          <w:rFonts w:eastAsia="Times New Roman"/>
          <w:b/>
          <w:bCs/>
          <w:kern w:val="2"/>
          <w:sz w:val="32"/>
          <w:szCs w:val="32"/>
        </w:rPr>
        <w:t>Patent Rights Declaration</w:t>
      </w:r>
    </w:p>
    <w:p w14:paraId="0AE43643" w14:textId="2BC490FB" w:rsidR="00AC172D" w:rsidRPr="009E34E9" w:rsidRDefault="00AC172D" w:rsidP="00375ADE">
      <w:pPr>
        <w:spacing w:after="40"/>
        <w:rPr>
          <w:b/>
          <w:kern w:val="2"/>
          <w:lang w:eastAsia="x-none"/>
        </w:rPr>
      </w:pPr>
      <w:r w:rsidRPr="009E34E9">
        <w:rPr>
          <w:b/>
          <w:kern w:val="2"/>
          <w:lang w:eastAsia="x-none"/>
        </w:rPr>
        <w:t>Fraunhofer may have current or pending patent rights relating to the technology described in this contribution and, conditioned on reciprocity, is prepared to grant licenses under rea</w:t>
      </w:r>
      <w:r w:rsidRPr="009E34E9">
        <w:rPr>
          <w:b/>
          <w:kern w:val="2"/>
          <w:lang w:eastAsia="x-none"/>
        </w:rPr>
        <w:softHyphen/>
        <w:t>sonable and non-discriminatory terms as necessary for implementation of the resulting ITU-T Recommendation (per box 2 of the ITU-T/ITU-R/ISO/IEC patent statement and licensing declaration form).</w:t>
      </w:r>
    </w:p>
    <w:p w14:paraId="446E0F43" w14:textId="50D2FE4C" w:rsidR="00375AAB" w:rsidRPr="009E34E9" w:rsidRDefault="00A01676" w:rsidP="006B4362">
      <w:pPr>
        <w:jc w:val="center"/>
        <w:rPr>
          <w:rFonts w:eastAsia="Times New Roman"/>
          <w:kern w:val="2"/>
        </w:rPr>
      </w:pPr>
      <w:r w:rsidRPr="009E34E9">
        <w:rPr>
          <w:kern w:val="2"/>
        </w:rPr>
        <w:t>________________________</w:t>
      </w:r>
    </w:p>
    <w:sectPr w:rsidR="00375AAB" w:rsidRPr="009E34E9" w:rsidSect="008335E8">
      <w:pgSz w:w="11907" w:h="16840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08A7" w14:textId="77777777" w:rsidR="009951D8" w:rsidRDefault="009951D8" w:rsidP="00B20400">
      <w:r>
        <w:separator/>
      </w:r>
    </w:p>
  </w:endnote>
  <w:endnote w:type="continuationSeparator" w:id="0">
    <w:p w14:paraId="68DFE13D" w14:textId="77777777" w:rsidR="009951D8" w:rsidRDefault="009951D8" w:rsidP="00B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F8FD" w14:textId="77777777" w:rsidR="009951D8" w:rsidRDefault="009951D8" w:rsidP="00B20400">
      <w:r>
        <w:separator/>
      </w:r>
    </w:p>
  </w:footnote>
  <w:footnote w:type="continuationSeparator" w:id="0">
    <w:p w14:paraId="5FD80C63" w14:textId="77777777" w:rsidR="009951D8" w:rsidRDefault="009951D8" w:rsidP="00B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1" w15:restartNumberingAfterBreak="0">
    <w:nsid w:val="08747D0D"/>
    <w:multiLevelType w:val="hybridMultilevel"/>
    <w:tmpl w:val="44DA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64F29"/>
    <w:multiLevelType w:val="hybridMultilevel"/>
    <w:tmpl w:val="E61AFC46"/>
    <w:lvl w:ilvl="0" w:tplc="09CC450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5934"/>
    <w:multiLevelType w:val="hybridMultilevel"/>
    <w:tmpl w:val="AD7E3FE6"/>
    <w:lvl w:ilvl="0" w:tplc="EB2A2CA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5D4A"/>
    <w:multiLevelType w:val="hybridMultilevel"/>
    <w:tmpl w:val="54DE31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760C46"/>
    <w:multiLevelType w:val="hybridMultilevel"/>
    <w:tmpl w:val="38D0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71BB6"/>
    <w:multiLevelType w:val="hybridMultilevel"/>
    <w:tmpl w:val="8FB45B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7302DC"/>
    <w:multiLevelType w:val="hybridMultilevel"/>
    <w:tmpl w:val="A53A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896"/>
    <w:multiLevelType w:val="hybridMultilevel"/>
    <w:tmpl w:val="F022D9E0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80C58"/>
    <w:multiLevelType w:val="multilevel"/>
    <w:tmpl w:val="1840CFD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68C06A1"/>
    <w:multiLevelType w:val="hybridMultilevel"/>
    <w:tmpl w:val="1EC2454A"/>
    <w:lvl w:ilvl="0" w:tplc="8182C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2730"/>
    <w:multiLevelType w:val="hybridMultilevel"/>
    <w:tmpl w:val="246A7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214F2"/>
    <w:multiLevelType w:val="hybridMultilevel"/>
    <w:tmpl w:val="511057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2AEE"/>
    <w:multiLevelType w:val="hybridMultilevel"/>
    <w:tmpl w:val="15281146"/>
    <w:lvl w:ilvl="0" w:tplc="6588995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56878"/>
    <w:multiLevelType w:val="hybridMultilevel"/>
    <w:tmpl w:val="1858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50DD9"/>
    <w:multiLevelType w:val="hybridMultilevel"/>
    <w:tmpl w:val="F35C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120DC"/>
    <w:multiLevelType w:val="hybridMultilevel"/>
    <w:tmpl w:val="AC721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56560"/>
    <w:multiLevelType w:val="hybridMultilevel"/>
    <w:tmpl w:val="C0FC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86410"/>
    <w:multiLevelType w:val="hybridMultilevel"/>
    <w:tmpl w:val="26B44A44"/>
    <w:lvl w:ilvl="0" w:tplc="B2D083B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 w15:restartNumberingAfterBreak="0">
    <w:nsid w:val="42B85993"/>
    <w:multiLevelType w:val="hybridMultilevel"/>
    <w:tmpl w:val="075A53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5748D8"/>
    <w:multiLevelType w:val="hybridMultilevel"/>
    <w:tmpl w:val="9E163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717B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186E4C"/>
    <w:multiLevelType w:val="hybridMultilevel"/>
    <w:tmpl w:val="556EF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C7260"/>
    <w:multiLevelType w:val="hybridMultilevel"/>
    <w:tmpl w:val="442A9414"/>
    <w:lvl w:ilvl="0" w:tplc="B52A7BD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E4394"/>
    <w:multiLevelType w:val="hybridMultilevel"/>
    <w:tmpl w:val="FCB08F0C"/>
    <w:lvl w:ilvl="0" w:tplc="3A543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E769F5"/>
    <w:multiLevelType w:val="hybridMultilevel"/>
    <w:tmpl w:val="F1C23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11BF7"/>
    <w:multiLevelType w:val="hybridMultilevel"/>
    <w:tmpl w:val="D9DA0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F2EB5"/>
    <w:multiLevelType w:val="multilevel"/>
    <w:tmpl w:val="94F4C9B6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C747A66"/>
    <w:multiLevelType w:val="hybridMultilevel"/>
    <w:tmpl w:val="F99C9C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83C82"/>
    <w:multiLevelType w:val="hybridMultilevel"/>
    <w:tmpl w:val="1B005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C62A6"/>
    <w:multiLevelType w:val="hybridMultilevel"/>
    <w:tmpl w:val="7206CD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135C78"/>
    <w:multiLevelType w:val="multilevel"/>
    <w:tmpl w:val="1932D4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67E0295"/>
    <w:multiLevelType w:val="hybridMultilevel"/>
    <w:tmpl w:val="0BD674E4"/>
    <w:lvl w:ilvl="0" w:tplc="1B5E4D7C">
      <w:start w:val="100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94912"/>
    <w:multiLevelType w:val="hybridMultilevel"/>
    <w:tmpl w:val="1A56AB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4789">
    <w:abstractNumId w:val="31"/>
  </w:num>
  <w:num w:numId="2" w16cid:durableId="637684373">
    <w:abstractNumId w:val="5"/>
  </w:num>
  <w:num w:numId="3" w16cid:durableId="48723603">
    <w:abstractNumId w:val="4"/>
  </w:num>
  <w:num w:numId="4" w16cid:durableId="1928802974">
    <w:abstractNumId w:val="14"/>
  </w:num>
  <w:num w:numId="5" w16cid:durableId="1195848788">
    <w:abstractNumId w:val="10"/>
  </w:num>
  <w:num w:numId="6" w16cid:durableId="1364089636">
    <w:abstractNumId w:val="23"/>
  </w:num>
  <w:num w:numId="7" w16cid:durableId="141823474">
    <w:abstractNumId w:val="27"/>
  </w:num>
  <w:num w:numId="8" w16cid:durableId="1837190626">
    <w:abstractNumId w:val="1"/>
  </w:num>
  <w:num w:numId="9" w16cid:durableId="1770394131">
    <w:abstractNumId w:val="22"/>
  </w:num>
  <w:num w:numId="10" w16cid:durableId="388460464">
    <w:abstractNumId w:val="21"/>
  </w:num>
  <w:num w:numId="11" w16cid:durableId="2045671567">
    <w:abstractNumId w:val="3"/>
  </w:num>
  <w:num w:numId="12" w16cid:durableId="523052507">
    <w:abstractNumId w:val="26"/>
  </w:num>
  <w:num w:numId="13" w16cid:durableId="21433840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914318323">
    <w:abstractNumId w:val="9"/>
  </w:num>
  <w:num w:numId="15" w16cid:durableId="1968196843">
    <w:abstractNumId w:val="15"/>
  </w:num>
  <w:num w:numId="16" w16cid:durableId="496189451">
    <w:abstractNumId w:val="8"/>
  </w:num>
  <w:num w:numId="17" w16cid:durableId="1084229823">
    <w:abstractNumId w:val="31"/>
  </w:num>
  <w:num w:numId="18" w16cid:durableId="793519794">
    <w:abstractNumId w:val="31"/>
  </w:num>
  <w:num w:numId="19" w16cid:durableId="482626788">
    <w:abstractNumId w:val="9"/>
  </w:num>
  <w:num w:numId="20" w16cid:durableId="1376387616">
    <w:abstractNumId w:val="9"/>
  </w:num>
  <w:num w:numId="21" w16cid:durableId="382943468">
    <w:abstractNumId w:val="9"/>
  </w:num>
  <w:num w:numId="22" w16cid:durableId="524902366">
    <w:abstractNumId w:val="9"/>
  </w:num>
  <w:num w:numId="23" w16cid:durableId="1730231398">
    <w:abstractNumId w:val="9"/>
  </w:num>
  <w:num w:numId="24" w16cid:durableId="461387484">
    <w:abstractNumId w:val="9"/>
  </w:num>
  <w:num w:numId="25" w16cid:durableId="459417546">
    <w:abstractNumId w:val="9"/>
  </w:num>
  <w:num w:numId="26" w16cid:durableId="1562330786">
    <w:abstractNumId w:val="25"/>
  </w:num>
  <w:num w:numId="27" w16cid:durableId="1158838893">
    <w:abstractNumId w:val="2"/>
  </w:num>
  <w:num w:numId="28" w16cid:durableId="453334392">
    <w:abstractNumId w:val="30"/>
  </w:num>
  <w:num w:numId="29" w16cid:durableId="346444166">
    <w:abstractNumId w:val="17"/>
  </w:num>
  <w:num w:numId="30" w16cid:durableId="1175150077">
    <w:abstractNumId w:val="32"/>
  </w:num>
  <w:num w:numId="31" w16cid:durableId="694888199">
    <w:abstractNumId w:val="29"/>
  </w:num>
  <w:num w:numId="32" w16cid:durableId="1919097093">
    <w:abstractNumId w:val="16"/>
  </w:num>
  <w:num w:numId="33" w16cid:durableId="173033022">
    <w:abstractNumId w:val="11"/>
  </w:num>
  <w:num w:numId="34" w16cid:durableId="1858034125">
    <w:abstractNumId w:val="7"/>
  </w:num>
  <w:num w:numId="35" w16cid:durableId="673921299">
    <w:abstractNumId w:val="19"/>
  </w:num>
  <w:num w:numId="36" w16cid:durableId="1253197635">
    <w:abstractNumId w:val="18"/>
  </w:num>
  <w:num w:numId="37" w16cid:durableId="895315918">
    <w:abstractNumId w:val="6"/>
  </w:num>
  <w:num w:numId="38" w16cid:durableId="1813403296">
    <w:abstractNumId w:val="13"/>
  </w:num>
  <w:num w:numId="39" w16cid:durableId="1917083045">
    <w:abstractNumId w:val="20"/>
  </w:num>
  <w:num w:numId="40" w16cid:durableId="590889591">
    <w:abstractNumId w:val="28"/>
  </w:num>
  <w:num w:numId="41" w16cid:durableId="44838518">
    <w:abstractNumId w:val="12"/>
  </w:num>
  <w:num w:numId="42" w16cid:durableId="320471422">
    <w:abstractNumId w:val="24"/>
  </w:num>
  <w:num w:numId="43" w16cid:durableId="7075344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MzI1NzG1NDICkko6SsGpxcWZ+XkgBYa1AOzAnS4sAAAA"/>
  </w:docVars>
  <w:rsids>
    <w:rsidRoot w:val="00B90A7E"/>
    <w:rsid w:val="00024083"/>
    <w:rsid w:val="000263EA"/>
    <w:rsid w:val="0003329B"/>
    <w:rsid w:val="00045BDA"/>
    <w:rsid w:val="00060DDC"/>
    <w:rsid w:val="000756E1"/>
    <w:rsid w:val="00075FF1"/>
    <w:rsid w:val="000823B6"/>
    <w:rsid w:val="000C5CFF"/>
    <w:rsid w:val="000D1805"/>
    <w:rsid w:val="000E5C47"/>
    <w:rsid w:val="000E7013"/>
    <w:rsid w:val="000F4CD2"/>
    <w:rsid w:val="00102B45"/>
    <w:rsid w:val="00105EB1"/>
    <w:rsid w:val="00107501"/>
    <w:rsid w:val="00122430"/>
    <w:rsid w:val="00126C0D"/>
    <w:rsid w:val="00140CCF"/>
    <w:rsid w:val="0014304A"/>
    <w:rsid w:val="00156760"/>
    <w:rsid w:val="00160C41"/>
    <w:rsid w:val="00162520"/>
    <w:rsid w:val="0016750D"/>
    <w:rsid w:val="00175F89"/>
    <w:rsid w:val="001831D8"/>
    <w:rsid w:val="00192B40"/>
    <w:rsid w:val="001E7775"/>
    <w:rsid w:val="001F16A0"/>
    <w:rsid w:val="001F5053"/>
    <w:rsid w:val="00206A3D"/>
    <w:rsid w:val="002079A6"/>
    <w:rsid w:val="002205DC"/>
    <w:rsid w:val="0022764B"/>
    <w:rsid w:val="00227C93"/>
    <w:rsid w:val="00240F68"/>
    <w:rsid w:val="00243FC0"/>
    <w:rsid w:val="002703AF"/>
    <w:rsid w:val="00283242"/>
    <w:rsid w:val="00285A94"/>
    <w:rsid w:val="002917E9"/>
    <w:rsid w:val="00291AE3"/>
    <w:rsid w:val="00296667"/>
    <w:rsid w:val="002C4C02"/>
    <w:rsid w:val="002E0038"/>
    <w:rsid w:val="002F6615"/>
    <w:rsid w:val="00300AAC"/>
    <w:rsid w:val="00344B9D"/>
    <w:rsid w:val="00351F02"/>
    <w:rsid w:val="00360007"/>
    <w:rsid w:val="00363A05"/>
    <w:rsid w:val="00365B73"/>
    <w:rsid w:val="00375AAB"/>
    <w:rsid w:val="00375ADE"/>
    <w:rsid w:val="00383168"/>
    <w:rsid w:val="00384BC8"/>
    <w:rsid w:val="003B49B4"/>
    <w:rsid w:val="003C0E3C"/>
    <w:rsid w:val="003E12A5"/>
    <w:rsid w:val="003E2476"/>
    <w:rsid w:val="003F282F"/>
    <w:rsid w:val="003F6E03"/>
    <w:rsid w:val="00401FFD"/>
    <w:rsid w:val="004037B7"/>
    <w:rsid w:val="0041270F"/>
    <w:rsid w:val="004135F8"/>
    <w:rsid w:val="004176B7"/>
    <w:rsid w:val="0042394C"/>
    <w:rsid w:val="00436655"/>
    <w:rsid w:val="004503C9"/>
    <w:rsid w:val="00450603"/>
    <w:rsid w:val="00460404"/>
    <w:rsid w:val="00460594"/>
    <w:rsid w:val="00466D68"/>
    <w:rsid w:val="00470E08"/>
    <w:rsid w:val="00473271"/>
    <w:rsid w:val="00474009"/>
    <w:rsid w:val="00490C91"/>
    <w:rsid w:val="004B114F"/>
    <w:rsid w:val="004B11BF"/>
    <w:rsid w:val="004C0F9D"/>
    <w:rsid w:val="004D46A5"/>
    <w:rsid w:val="004F4F3A"/>
    <w:rsid w:val="00503620"/>
    <w:rsid w:val="00504A2A"/>
    <w:rsid w:val="00512270"/>
    <w:rsid w:val="005211E9"/>
    <w:rsid w:val="005301E2"/>
    <w:rsid w:val="00533688"/>
    <w:rsid w:val="00541652"/>
    <w:rsid w:val="00552120"/>
    <w:rsid w:val="0055317A"/>
    <w:rsid w:val="00555523"/>
    <w:rsid w:val="00557C54"/>
    <w:rsid w:val="00562BE7"/>
    <w:rsid w:val="00574B1F"/>
    <w:rsid w:val="00593A5E"/>
    <w:rsid w:val="005A3859"/>
    <w:rsid w:val="005A5F50"/>
    <w:rsid w:val="005B13F8"/>
    <w:rsid w:val="005B2F68"/>
    <w:rsid w:val="005C59BE"/>
    <w:rsid w:val="005E77E7"/>
    <w:rsid w:val="005F4C40"/>
    <w:rsid w:val="00606E3A"/>
    <w:rsid w:val="00624EAA"/>
    <w:rsid w:val="00646A0C"/>
    <w:rsid w:val="006527EA"/>
    <w:rsid w:val="006531B8"/>
    <w:rsid w:val="00655A2A"/>
    <w:rsid w:val="00656775"/>
    <w:rsid w:val="00666723"/>
    <w:rsid w:val="00687138"/>
    <w:rsid w:val="00687EC1"/>
    <w:rsid w:val="006A0006"/>
    <w:rsid w:val="006A162D"/>
    <w:rsid w:val="006A26CF"/>
    <w:rsid w:val="006A2DFE"/>
    <w:rsid w:val="006A6D3B"/>
    <w:rsid w:val="006B4362"/>
    <w:rsid w:val="006B4B6E"/>
    <w:rsid w:val="006C6FA3"/>
    <w:rsid w:val="006F0E7F"/>
    <w:rsid w:val="0071078D"/>
    <w:rsid w:val="00710A37"/>
    <w:rsid w:val="007340AC"/>
    <w:rsid w:val="007429BB"/>
    <w:rsid w:val="00742ECB"/>
    <w:rsid w:val="00747E13"/>
    <w:rsid w:val="00755EBF"/>
    <w:rsid w:val="00762D8F"/>
    <w:rsid w:val="00792321"/>
    <w:rsid w:val="007A15E7"/>
    <w:rsid w:val="007A581A"/>
    <w:rsid w:val="007B7B25"/>
    <w:rsid w:val="007C3BF8"/>
    <w:rsid w:val="007D7FAF"/>
    <w:rsid w:val="007E2CCE"/>
    <w:rsid w:val="007E3129"/>
    <w:rsid w:val="008335E8"/>
    <w:rsid w:val="008756FD"/>
    <w:rsid w:val="008765C8"/>
    <w:rsid w:val="00881CEB"/>
    <w:rsid w:val="008859B5"/>
    <w:rsid w:val="00892E04"/>
    <w:rsid w:val="00907D11"/>
    <w:rsid w:val="009119AC"/>
    <w:rsid w:val="00923339"/>
    <w:rsid w:val="00925929"/>
    <w:rsid w:val="009316BD"/>
    <w:rsid w:val="00934CEE"/>
    <w:rsid w:val="0095614F"/>
    <w:rsid w:val="0096479A"/>
    <w:rsid w:val="0096538F"/>
    <w:rsid w:val="0097384D"/>
    <w:rsid w:val="009743F8"/>
    <w:rsid w:val="00974844"/>
    <w:rsid w:val="0098260A"/>
    <w:rsid w:val="0099162E"/>
    <w:rsid w:val="009951D8"/>
    <w:rsid w:val="009A4F63"/>
    <w:rsid w:val="009C0D51"/>
    <w:rsid w:val="009C38AD"/>
    <w:rsid w:val="009C7D9F"/>
    <w:rsid w:val="009E34E9"/>
    <w:rsid w:val="009E46B0"/>
    <w:rsid w:val="00A01676"/>
    <w:rsid w:val="00A07FA8"/>
    <w:rsid w:val="00A16B64"/>
    <w:rsid w:val="00A214D7"/>
    <w:rsid w:val="00A23180"/>
    <w:rsid w:val="00A27D4E"/>
    <w:rsid w:val="00A411BA"/>
    <w:rsid w:val="00A52F7A"/>
    <w:rsid w:val="00A55A3C"/>
    <w:rsid w:val="00A67254"/>
    <w:rsid w:val="00A85A0D"/>
    <w:rsid w:val="00A90A9E"/>
    <w:rsid w:val="00AC172D"/>
    <w:rsid w:val="00AC1D13"/>
    <w:rsid w:val="00AC3731"/>
    <w:rsid w:val="00AD4601"/>
    <w:rsid w:val="00AE775E"/>
    <w:rsid w:val="00B07155"/>
    <w:rsid w:val="00B11F2A"/>
    <w:rsid w:val="00B20400"/>
    <w:rsid w:val="00B43B7F"/>
    <w:rsid w:val="00B45B1A"/>
    <w:rsid w:val="00B51E33"/>
    <w:rsid w:val="00B70A57"/>
    <w:rsid w:val="00B80665"/>
    <w:rsid w:val="00B859B5"/>
    <w:rsid w:val="00B90A7E"/>
    <w:rsid w:val="00BA1C91"/>
    <w:rsid w:val="00BB2C67"/>
    <w:rsid w:val="00BB65EC"/>
    <w:rsid w:val="00BC48E8"/>
    <w:rsid w:val="00BE6DE7"/>
    <w:rsid w:val="00C05960"/>
    <w:rsid w:val="00C06206"/>
    <w:rsid w:val="00C147AD"/>
    <w:rsid w:val="00C17E73"/>
    <w:rsid w:val="00C37AB7"/>
    <w:rsid w:val="00C45AD2"/>
    <w:rsid w:val="00C468F0"/>
    <w:rsid w:val="00C5535D"/>
    <w:rsid w:val="00C665B0"/>
    <w:rsid w:val="00C8442A"/>
    <w:rsid w:val="00C919F2"/>
    <w:rsid w:val="00C96A10"/>
    <w:rsid w:val="00CA2AB7"/>
    <w:rsid w:val="00CB2285"/>
    <w:rsid w:val="00CB4E6D"/>
    <w:rsid w:val="00CC3CE9"/>
    <w:rsid w:val="00CC4CAA"/>
    <w:rsid w:val="00CC5330"/>
    <w:rsid w:val="00CD7711"/>
    <w:rsid w:val="00CE3D04"/>
    <w:rsid w:val="00CF44C3"/>
    <w:rsid w:val="00D36C11"/>
    <w:rsid w:val="00D371BF"/>
    <w:rsid w:val="00D57545"/>
    <w:rsid w:val="00D63737"/>
    <w:rsid w:val="00D920B4"/>
    <w:rsid w:val="00DC0AC9"/>
    <w:rsid w:val="00DE2D76"/>
    <w:rsid w:val="00DF2746"/>
    <w:rsid w:val="00DF63DA"/>
    <w:rsid w:val="00E031B7"/>
    <w:rsid w:val="00E07EEF"/>
    <w:rsid w:val="00E21CE6"/>
    <w:rsid w:val="00E33D33"/>
    <w:rsid w:val="00E44677"/>
    <w:rsid w:val="00E57BDF"/>
    <w:rsid w:val="00E60AF8"/>
    <w:rsid w:val="00E81109"/>
    <w:rsid w:val="00E92EA1"/>
    <w:rsid w:val="00E93351"/>
    <w:rsid w:val="00EB60F2"/>
    <w:rsid w:val="00EC4230"/>
    <w:rsid w:val="00EE06F4"/>
    <w:rsid w:val="00EE6934"/>
    <w:rsid w:val="00EF7426"/>
    <w:rsid w:val="00F03221"/>
    <w:rsid w:val="00F338E5"/>
    <w:rsid w:val="00F3651A"/>
    <w:rsid w:val="00F44CD3"/>
    <w:rsid w:val="00F44F92"/>
    <w:rsid w:val="00F45456"/>
    <w:rsid w:val="00F60A3C"/>
    <w:rsid w:val="00F643B9"/>
    <w:rsid w:val="00F8233C"/>
    <w:rsid w:val="00F82CF5"/>
    <w:rsid w:val="00F956BE"/>
    <w:rsid w:val="00FA2321"/>
    <w:rsid w:val="00FB65EE"/>
    <w:rsid w:val="00FD46DA"/>
    <w:rsid w:val="00FD7AC1"/>
    <w:rsid w:val="00FE22C3"/>
    <w:rsid w:val="00FF1AB7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CBF06E"/>
  <w14:defaultImageDpi w14:val="330"/>
  <w15:docId w15:val="{483621E3-0919-4D90-BAD5-CD2BDD59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7E"/>
    <w:pPr>
      <w:jc w:val="both"/>
    </w:pPr>
    <w:rPr>
      <w:rFonts w:ascii="Times New Roman" w:eastAsia="MS Mincho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90A7E"/>
    <w:pPr>
      <w:keepNext/>
      <w:numPr>
        <w:numId w:val="14"/>
      </w:numPr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90A7E"/>
    <w:pPr>
      <w:keepNext/>
      <w:numPr>
        <w:ilvl w:val="1"/>
        <w:numId w:val="14"/>
      </w:numPr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90A7E"/>
    <w:pPr>
      <w:keepNext/>
      <w:numPr>
        <w:ilvl w:val="2"/>
        <w:numId w:val="14"/>
      </w:numPr>
      <w:spacing w:before="240" w:after="60"/>
      <w:outlineLvl w:val="2"/>
    </w:pPr>
    <w:rPr>
      <w:rFonts w:ascii="Calibri" w:eastAsia="Times New Roman" w:hAnsi="Calibri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B90A7E"/>
    <w:pPr>
      <w:keepNext/>
      <w:numPr>
        <w:ilvl w:val="3"/>
        <w:numId w:val="14"/>
      </w:numPr>
      <w:spacing w:before="240" w:after="60"/>
      <w:outlineLvl w:val="3"/>
    </w:pPr>
    <w:rPr>
      <w:rFonts w:ascii="Cambria" w:eastAsia="Times New Roman" w:hAnsi="Cambria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B90A7E"/>
    <w:pPr>
      <w:numPr>
        <w:ilvl w:val="4"/>
        <w:numId w:val="14"/>
      </w:numPr>
      <w:spacing w:before="240" w:after="60"/>
      <w:outlineLvl w:val="4"/>
    </w:pPr>
    <w:rPr>
      <w:rFonts w:ascii="Cambria" w:eastAsia="Times New Roman" w:hAnsi="Cambria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90A7E"/>
    <w:pPr>
      <w:numPr>
        <w:ilvl w:val="5"/>
        <w:numId w:val="14"/>
      </w:numPr>
      <w:spacing w:before="240" w:after="60"/>
      <w:outlineLvl w:val="5"/>
    </w:pPr>
    <w:rPr>
      <w:rFonts w:ascii="Cambria" w:eastAsia="Times New Roman" w:hAnsi="Cambria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B90A7E"/>
    <w:pPr>
      <w:numPr>
        <w:ilvl w:val="6"/>
        <w:numId w:val="14"/>
      </w:numPr>
      <w:spacing w:before="240" w:after="60"/>
      <w:outlineLvl w:val="6"/>
    </w:pPr>
    <w:rPr>
      <w:rFonts w:ascii="Cambria" w:eastAsia="Times New Roman" w:hAnsi="Cambria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B90A7E"/>
    <w:pPr>
      <w:numPr>
        <w:ilvl w:val="7"/>
        <w:numId w:val="14"/>
      </w:numPr>
      <w:spacing w:before="240" w:after="60"/>
      <w:outlineLvl w:val="7"/>
    </w:pPr>
    <w:rPr>
      <w:rFonts w:ascii="Cambria" w:eastAsia="Times New Roman" w:hAnsi="Cambria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90A7E"/>
    <w:pPr>
      <w:numPr>
        <w:ilvl w:val="8"/>
        <w:numId w:val="14"/>
      </w:numPr>
      <w:spacing w:before="240" w:after="60"/>
      <w:outlineLvl w:val="8"/>
    </w:pPr>
    <w:rPr>
      <w:rFonts w:ascii="Calibri" w:eastAsia="Times New Roman" w:hAnsi="Calibri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A7E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90A7E"/>
    <w:rPr>
      <w:rFonts w:ascii="Calibri" w:eastAsia="Times New Roman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B90A7E"/>
    <w:rPr>
      <w:rFonts w:ascii="Calibri" w:eastAsia="Times New Roman" w:hAnsi="Calibri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B90A7E"/>
    <w:rPr>
      <w:rFonts w:ascii="Cambria" w:eastAsia="Times New Roman" w:hAnsi="Cambria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90A7E"/>
    <w:rPr>
      <w:rFonts w:ascii="Cambria" w:eastAsia="Times New Roman" w:hAnsi="Cambria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90A7E"/>
    <w:rPr>
      <w:rFonts w:ascii="Cambria" w:eastAsia="Times New Roman" w:hAnsi="Cambria" w:cs="Times New Roman"/>
      <w:b/>
      <w:bCs/>
      <w:sz w:val="22"/>
      <w:szCs w:val="22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90A7E"/>
    <w:rPr>
      <w:rFonts w:ascii="Cambria" w:eastAsia="Times New Roman" w:hAnsi="Cambria" w:cs="Times New Roman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90A7E"/>
    <w:rPr>
      <w:rFonts w:ascii="Cambria" w:eastAsia="Times New Roman" w:hAnsi="Cambria" w:cs="Times New Roman"/>
      <w:i/>
      <w:iCs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90A7E"/>
    <w:rPr>
      <w:rFonts w:ascii="Calibri" w:eastAsia="Times New Roman" w:hAnsi="Calibri" w:cs="Times New Roman"/>
      <w:sz w:val="22"/>
      <w:szCs w:val="22"/>
      <w:lang w:val="x-none" w:eastAsia="x-none"/>
    </w:rPr>
  </w:style>
  <w:style w:type="paragraph" w:customStyle="1" w:styleId="AltH1">
    <w:name w:val="AltH1"/>
    <w:next w:val="Normal"/>
    <w:rsid w:val="008335E8"/>
    <w:pPr>
      <w:keepNext/>
      <w:numPr>
        <w:numId w:val="7"/>
      </w:numPr>
      <w:shd w:val="clear" w:color="auto" w:fill="CCCCCC"/>
      <w:spacing w:before="240" w:after="120"/>
    </w:pPr>
    <w:rPr>
      <w:rFonts w:ascii="Tahoma" w:eastAsia="SimSun" w:hAnsi="Tahoma" w:cs="Times New Roman"/>
      <w:b/>
      <w:color w:val="000080"/>
      <w:szCs w:val="20"/>
    </w:rPr>
  </w:style>
  <w:style w:type="paragraph" w:styleId="ListParagraph">
    <w:name w:val="List Paragraph"/>
    <w:basedOn w:val="Normal"/>
    <w:uiPriority w:val="34"/>
    <w:qFormat/>
    <w:rsid w:val="00755EBF"/>
    <w:pPr>
      <w:ind w:left="720"/>
      <w:contextualSpacing/>
      <w:jc w:val="left"/>
    </w:pPr>
    <w:rPr>
      <w:rFonts w:asciiTheme="minorHAnsi" w:eastAsiaTheme="minorEastAsia" w:hAnsiTheme="minorHAnsi" w:cstheme="minorBidi"/>
      <w:lang w:val="it-IT" w:eastAsia="it-IT"/>
    </w:rPr>
  </w:style>
  <w:style w:type="paragraph" w:styleId="Caption">
    <w:name w:val="caption"/>
    <w:basedOn w:val="Normal"/>
    <w:next w:val="Normal"/>
    <w:unhideWhenUsed/>
    <w:qFormat/>
    <w:rsid w:val="00755EBF"/>
    <w:pPr>
      <w:spacing w:after="200"/>
      <w:jc w:val="center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it-IT" w:eastAsia="it-IT"/>
    </w:rPr>
  </w:style>
  <w:style w:type="paragraph" w:customStyle="1" w:styleId="Titel1">
    <w:name w:val="Titel1"/>
    <w:basedOn w:val="Normal"/>
    <w:qFormat/>
    <w:rsid w:val="00755EBF"/>
    <w:pPr>
      <w:keepNext/>
      <w:spacing w:before="240" w:after="120"/>
      <w:jc w:val="left"/>
    </w:pPr>
    <w:rPr>
      <w:rFonts w:ascii="Arial" w:eastAsiaTheme="minorEastAsia" w:hAnsi="Arial" w:cstheme="minorBidi"/>
      <w:b/>
      <w:sz w:val="36"/>
      <w:lang w:val="en-GB" w:eastAsia="it-IT"/>
    </w:rPr>
  </w:style>
  <w:style w:type="paragraph" w:customStyle="1" w:styleId="figure">
    <w:name w:val="figure"/>
    <w:basedOn w:val="Normal"/>
    <w:qFormat/>
    <w:rsid w:val="00755EBF"/>
    <w:pPr>
      <w:keepNext/>
      <w:spacing w:before="240"/>
      <w:jc w:val="center"/>
    </w:pPr>
    <w:rPr>
      <w:rFonts w:eastAsiaTheme="minorEastAsia" w:cstheme="minorBidi"/>
      <w:i/>
      <w:sz w:val="20"/>
      <w:lang w:val="en-GB" w:eastAsia="it-IT"/>
    </w:rPr>
  </w:style>
  <w:style w:type="table" w:styleId="TableGrid">
    <w:name w:val="Table Grid"/>
    <w:basedOn w:val="TableNormal"/>
    <w:rsid w:val="00755EBF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figure"/>
    <w:qFormat/>
    <w:rsid w:val="00755EBF"/>
  </w:style>
  <w:style w:type="paragraph" w:customStyle="1" w:styleId="Titolo2">
    <w:name w:val="Titolo2"/>
    <w:basedOn w:val="Normal"/>
    <w:rsid w:val="00755EBF"/>
    <w:pPr>
      <w:spacing w:before="120"/>
      <w:jc w:val="left"/>
    </w:pPr>
    <w:rPr>
      <w:rFonts w:ascii="Arial" w:eastAsia="Batang" w:hAnsi="Arial" w:cs="Arial"/>
      <w:b/>
      <w:lang w:val="en-GB" w:eastAsia="ko-KR"/>
    </w:rPr>
  </w:style>
  <w:style w:type="paragraph" w:customStyle="1" w:styleId="ColorfulList-Accent11">
    <w:name w:val="Colorful List - Accent 11"/>
    <w:basedOn w:val="Normal"/>
    <w:qFormat/>
    <w:rsid w:val="00CB4E6D"/>
    <w:pPr>
      <w:ind w:left="720"/>
    </w:pPr>
  </w:style>
  <w:style w:type="character" w:styleId="Hyperlink">
    <w:name w:val="Hyperlink"/>
    <w:aliases w:val="超?级链"/>
    <w:rsid w:val="00C062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E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EB1"/>
    <w:rPr>
      <w:rFonts w:ascii="Tahoma" w:eastAsia="MS Mincho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375AAB"/>
    <w:rPr>
      <w:rFonts w:ascii="Times New Roman" w:eastAsia="MS Mincho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9335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8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C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C8"/>
    <w:rPr>
      <w:rFonts w:ascii="Times New Roman" w:eastAsia="MS Mincho" w:hAnsi="Times New Roman" w:cs="Times New Roman"/>
      <w:b/>
      <w:bCs/>
      <w:sz w:val="20"/>
      <w:szCs w:val="20"/>
    </w:rPr>
  </w:style>
  <w:style w:type="paragraph" w:customStyle="1" w:styleId="xmsolistparagraph">
    <w:name w:val="x_msolistparagraph"/>
    <w:basedOn w:val="Normal"/>
    <w:uiPriority w:val="99"/>
    <w:rsid w:val="00F60A3C"/>
    <w:pPr>
      <w:spacing w:before="100" w:beforeAutospacing="1" w:after="100" w:afterAutospacing="1"/>
      <w:jc w:val="left"/>
    </w:pPr>
    <w:rPr>
      <w:rFonts w:ascii="Calibri" w:eastAsiaTheme="minorHAnsi" w:hAnsi="Calibri" w:cs="Calibri"/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git.hhi.fraunhofer.de/vceg-sw/bwc/-/tag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ian.helmrich@hhi.fraunhof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wftp3/av-arch/video-site/2501_Gen/T25-SG21-TD-WP3-068-BWC-CT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Description and correction of errors in H.BWC test model since January meeting</vt:lpstr>
      <vt:lpstr/>
    </vt:vector>
  </TitlesOfParts>
  <Company>Fraunhofer HHI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 and correction of errors in H.BWC test model since January meeting</dc:title>
  <dc:creator>Christian Helmrich</dc:creator>
  <cp:lastModifiedBy>-v2</cp:lastModifiedBy>
  <cp:revision>4</cp:revision>
  <cp:lastPrinted>2025-03-23T09:00:00Z</cp:lastPrinted>
  <dcterms:created xsi:type="dcterms:W3CDTF">2025-03-24T10:00:00Z</dcterms:created>
  <dcterms:modified xsi:type="dcterms:W3CDTF">2025-03-25T02:43:00Z</dcterms:modified>
</cp:coreProperties>
</file>