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AE11F"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012CE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0C6351">
              <w:rPr>
                <w:lang w:val="en-CA"/>
              </w:rPr>
              <w:t>JVET</w:t>
            </w:r>
            <w:r w:rsidRPr="000C6351">
              <w:rPr>
                <w:lang w:val="en-CA"/>
              </w:rPr>
              <w:t>-</w:t>
            </w:r>
            <w:r w:rsidR="000C6351" w:rsidRPr="000C6351">
              <w:rPr>
                <w:lang w:val="en-CA"/>
              </w:rPr>
              <w:t>AG0078</w:t>
            </w:r>
            <w:r w:rsidR="006A0E5C" w:rsidRPr="000C6351">
              <w:rPr>
                <w:lang w:val="en-CA"/>
              </w:rPr>
              <w:t>-v</w:t>
            </w:r>
            <w:r w:rsidR="000C6351" w:rsidRPr="00B623FD">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DE2CE8" w:rsidRPr="005B217D" w14:paraId="188D2B50" w14:textId="77777777" w:rsidTr="00DE2CE8">
        <w:tc>
          <w:tcPr>
            <w:tcW w:w="1458" w:type="dxa"/>
          </w:tcPr>
          <w:p w14:paraId="7A6C85EB" w14:textId="77777777" w:rsidR="00DE2CE8" w:rsidRPr="005B217D" w:rsidRDefault="00DE2CE8" w:rsidP="00DE2CE8">
            <w:pPr>
              <w:spacing w:before="60" w:after="60"/>
              <w:rPr>
                <w:i/>
                <w:szCs w:val="22"/>
                <w:lang w:val="en-CA"/>
              </w:rPr>
            </w:pPr>
            <w:r w:rsidRPr="005B217D">
              <w:rPr>
                <w:i/>
                <w:szCs w:val="22"/>
                <w:lang w:val="en-CA"/>
              </w:rPr>
              <w:t>Title:</w:t>
            </w:r>
          </w:p>
        </w:tc>
        <w:tc>
          <w:tcPr>
            <w:tcW w:w="7902" w:type="dxa"/>
            <w:gridSpan w:val="3"/>
          </w:tcPr>
          <w:p w14:paraId="305A7026" w14:textId="47A7F675" w:rsidR="00DE2CE8" w:rsidRPr="005B217D" w:rsidRDefault="00DE2CE8" w:rsidP="00DE2CE8">
            <w:pPr>
              <w:spacing w:before="60" w:after="60"/>
              <w:rPr>
                <w:b/>
                <w:szCs w:val="22"/>
                <w:lang w:val="en-CA"/>
              </w:rPr>
            </w:pPr>
            <w:r>
              <w:rPr>
                <w:b/>
                <w:szCs w:val="22"/>
                <w:lang w:val="en-CA"/>
              </w:rPr>
              <w:t>AHG12</w:t>
            </w:r>
            <w:r w:rsidR="002610A0">
              <w:rPr>
                <w:b/>
                <w:szCs w:val="22"/>
                <w:lang w:val="en-CA"/>
              </w:rPr>
              <w:t>:</w:t>
            </w:r>
            <w:r>
              <w:rPr>
                <w:b/>
                <w:szCs w:val="22"/>
                <w:lang w:val="en-CA"/>
              </w:rPr>
              <w:t xml:space="preserve"> </w:t>
            </w:r>
            <w:r w:rsidR="00A83ED7">
              <w:rPr>
                <w:b/>
                <w:szCs w:val="22"/>
                <w:lang w:val="en-CA"/>
              </w:rPr>
              <w:t>Intra-prediction using Merged Histogram of Gradients</w:t>
            </w:r>
          </w:p>
        </w:tc>
      </w:tr>
      <w:tr w:rsidR="00DE2CE8" w:rsidRPr="005B217D" w14:paraId="3D8B01B2" w14:textId="77777777" w:rsidTr="00DE2CE8">
        <w:tc>
          <w:tcPr>
            <w:tcW w:w="1458" w:type="dxa"/>
          </w:tcPr>
          <w:p w14:paraId="7AC356CE" w14:textId="77777777" w:rsidR="00DE2CE8" w:rsidRPr="005B217D" w:rsidRDefault="00DE2CE8" w:rsidP="00DE2CE8">
            <w:pPr>
              <w:spacing w:before="60" w:after="60"/>
              <w:rPr>
                <w:i/>
                <w:szCs w:val="22"/>
                <w:lang w:val="en-CA"/>
              </w:rPr>
            </w:pPr>
            <w:r w:rsidRPr="005B217D">
              <w:rPr>
                <w:i/>
                <w:szCs w:val="22"/>
                <w:lang w:val="en-CA"/>
              </w:rPr>
              <w:t>Status:</w:t>
            </w:r>
          </w:p>
        </w:tc>
        <w:tc>
          <w:tcPr>
            <w:tcW w:w="7902" w:type="dxa"/>
            <w:gridSpan w:val="3"/>
          </w:tcPr>
          <w:p w14:paraId="32E60643" w14:textId="2AE97F1C" w:rsidR="00DE2CE8" w:rsidRPr="005B217D" w:rsidRDefault="00DE2CE8" w:rsidP="00DE2CE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E2CE8" w:rsidRPr="005B217D" w14:paraId="7E6D99E3" w14:textId="77777777" w:rsidTr="00DE2CE8">
        <w:tc>
          <w:tcPr>
            <w:tcW w:w="1458" w:type="dxa"/>
          </w:tcPr>
          <w:p w14:paraId="18CCDCD6" w14:textId="77777777" w:rsidR="00DE2CE8" w:rsidRPr="005B217D" w:rsidRDefault="00DE2CE8" w:rsidP="00DE2CE8">
            <w:pPr>
              <w:spacing w:before="60" w:after="60"/>
              <w:rPr>
                <w:i/>
                <w:szCs w:val="22"/>
                <w:lang w:val="en-CA"/>
              </w:rPr>
            </w:pPr>
            <w:r w:rsidRPr="005B217D">
              <w:rPr>
                <w:i/>
                <w:szCs w:val="22"/>
                <w:lang w:val="en-CA"/>
              </w:rPr>
              <w:t>Purpose:</w:t>
            </w:r>
          </w:p>
        </w:tc>
        <w:tc>
          <w:tcPr>
            <w:tcW w:w="7902" w:type="dxa"/>
            <w:gridSpan w:val="3"/>
          </w:tcPr>
          <w:p w14:paraId="0640C90D" w14:textId="56D85647" w:rsidR="00DE2CE8" w:rsidRPr="005B217D" w:rsidRDefault="00DE2CE8" w:rsidP="00DE2CE8">
            <w:pPr>
              <w:spacing w:before="60" w:after="60"/>
              <w:rPr>
                <w:szCs w:val="22"/>
                <w:lang w:val="en-CA"/>
              </w:rPr>
            </w:pPr>
            <w:r w:rsidRPr="005B217D">
              <w:rPr>
                <w:szCs w:val="22"/>
                <w:lang w:val="en-CA"/>
              </w:rPr>
              <w:t>Proposal</w:t>
            </w:r>
          </w:p>
        </w:tc>
      </w:tr>
      <w:tr w:rsidR="00DE2CE8" w:rsidRPr="005B217D" w14:paraId="714CD808" w14:textId="77777777" w:rsidTr="00DE2CE8">
        <w:tc>
          <w:tcPr>
            <w:tcW w:w="1458" w:type="dxa"/>
          </w:tcPr>
          <w:p w14:paraId="4DB59313" w14:textId="1FE45B33" w:rsidR="00DE2CE8" w:rsidRPr="005B217D" w:rsidRDefault="00DE2CE8" w:rsidP="00DE2CE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E21CB" w14:textId="77777777" w:rsidR="00DE2CE8" w:rsidRDefault="00DE2CE8" w:rsidP="00DE2CE8">
            <w:pPr>
              <w:spacing w:before="60" w:after="60"/>
              <w:rPr>
                <w:szCs w:val="22"/>
                <w:lang w:val="en-CA"/>
              </w:rPr>
            </w:pPr>
            <w:r>
              <w:rPr>
                <w:szCs w:val="22"/>
                <w:lang w:val="en-CA"/>
              </w:rPr>
              <w:t>Saverio Blasi</w:t>
            </w:r>
          </w:p>
          <w:p w14:paraId="1A10D1BD" w14:textId="0DB37A36" w:rsidR="001D50DD" w:rsidRDefault="001D50DD" w:rsidP="00DE2CE8">
            <w:pPr>
              <w:spacing w:before="60" w:after="60"/>
              <w:rPr>
                <w:szCs w:val="22"/>
                <w:lang w:val="en-CA"/>
              </w:rPr>
            </w:pPr>
            <w:r>
              <w:rPr>
                <w:szCs w:val="22"/>
                <w:lang w:val="en-CA"/>
              </w:rPr>
              <w:t>Ivan Zupancic</w:t>
            </w:r>
          </w:p>
          <w:p w14:paraId="70CE8AE1" w14:textId="71EFDD7C" w:rsidR="00DE2CE8" w:rsidRDefault="00DE2CE8" w:rsidP="00DE2CE8">
            <w:pPr>
              <w:spacing w:before="60" w:after="60"/>
              <w:rPr>
                <w:szCs w:val="22"/>
                <w:lang w:val="en-CA"/>
              </w:rPr>
            </w:pPr>
            <w:r>
              <w:rPr>
                <w:szCs w:val="22"/>
                <w:lang w:val="en-CA"/>
              </w:rPr>
              <w:t>Jani Lainema</w:t>
            </w:r>
          </w:p>
          <w:p w14:paraId="49D81240" w14:textId="168B7A43" w:rsidR="00DE2CE8" w:rsidRPr="005B217D" w:rsidRDefault="00DE2CE8" w:rsidP="00DE2CE8">
            <w:pPr>
              <w:spacing w:before="60" w:after="60"/>
              <w:rPr>
                <w:szCs w:val="22"/>
                <w:lang w:val="en-CA"/>
              </w:rPr>
            </w:pPr>
          </w:p>
        </w:tc>
        <w:tc>
          <w:tcPr>
            <w:tcW w:w="900" w:type="dxa"/>
          </w:tcPr>
          <w:p w14:paraId="0140ECA2" w14:textId="255D7D69" w:rsidR="00DE2CE8" w:rsidRPr="005B217D" w:rsidRDefault="00DE2CE8" w:rsidP="00DE2CE8">
            <w:pPr>
              <w:spacing w:before="60" w:after="60"/>
              <w:rPr>
                <w:szCs w:val="22"/>
                <w:lang w:val="en-CA"/>
              </w:rPr>
            </w:pPr>
            <w:r w:rsidRPr="005B217D">
              <w:rPr>
                <w:szCs w:val="22"/>
                <w:lang w:val="en-CA"/>
              </w:rPr>
              <w:t>Email:</w:t>
            </w:r>
          </w:p>
        </w:tc>
        <w:tc>
          <w:tcPr>
            <w:tcW w:w="3060" w:type="dxa"/>
          </w:tcPr>
          <w:p w14:paraId="32C2ABFD" w14:textId="5109BF3A" w:rsidR="00DE2CE8" w:rsidRPr="005B217D" w:rsidRDefault="00DE2CE8" w:rsidP="00DE2CE8">
            <w:pPr>
              <w:spacing w:before="60" w:after="60"/>
              <w:rPr>
                <w:szCs w:val="22"/>
                <w:lang w:val="en-CA"/>
              </w:rPr>
            </w:pPr>
            <w:r w:rsidRPr="00A9489D">
              <w:t>firstname.lastname</w:t>
            </w:r>
            <w:r w:rsidRPr="003A281C">
              <w:rPr>
                <w:lang w:val="en-GB"/>
              </w:rPr>
              <w:t>@nokia.com</w:t>
            </w:r>
          </w:p>
        </w:tc>
      </w:tr>
      <w:tr w:rsidR="00DE2CE8" w:rsidRPr="005B217D" w14:paraId="49AFAA61" w14:textId="77777777" w:rsidTr="00DE2CE8">
        <w:tc>
          <w:tcPr>
            <w:tcW w:w="1458" w:type="dxa"/>
          </w:tcPr>
          <w:p w14:paraId="2C08AF6B" w14:textId="6AF30BD1" w:rsidR="00DE2CE8" w:rsidRPr="005B217D" w:rsidRDefault="00DE2CE8" w:rsidP="00DE2CE8">
            <w:pPr>
              <w:spacing w:before="60" w:after="60"/>
              <w:rPr>
                <w:i/>
                <w:szCs w:val="22"/>
                <w:lang w:val="en-CA"/>
              </w:rPr>
            </w:pPr>
            <w:r w:rsidRPr="005B217D">
              <w:rPr>
                <w:i/>
                <w:szCs w:val="22"/>
                <w:lang w:val="en-CA"/>
              </w:rPr>
              <w:t>Source:</w:t>
            </w:r>
          </w:p>
        </w:tc>
        <w:tc>
          <w:tcPr>
            <w:tcW w:w="7902" w:type="dxa"/>
            <w:gridSpan w:val="3"/>
          </w:tcPr>
          <w:p w14:paraId="643E6B85" w14:textId="26340B66" w:rsidR="00DE2CE8" w:rsidRPr="005B217D" w:rsidRDefault="00DE2CE8" w:rsidP="00DE2CE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A441E0" w14:textId="59A8AC92" w:rsidR="00DE2CE8" w:rsidRDefault="00A83ED7" w:rsidP="00DE2CE8">
      <w:pPr>
        <w:rPr>
          <w:lang w:val="en-CA"/>
        </w:rPr>
      </w:pPr>
      <w:r w:rsidRPr="009F625F">
        <w:rPr>
          <w:lang w:val="en-CA"/>
        </w:rPr>
        <w:t xml:space="preserve">This contribution proposes </w:t>
      </w:r>
      <w:r>
        <w:rPr>
          <w:lang w:val="en-CA"/>
        </w:rPr>
        <w:t>a new</w:t>
      </w:r>
      <w:r w:rsidR="00A142A1">
        <w:rPr>
          <w:lang w:val="en-CA"/>
        </w:rPr>
        <w:t xml:space="preserve"> intra-prediction</w:t>
      </w:r>
      <w:r>
        <w:rPr>
          <w:lang w:val="en-CA"/>
        </w:rPr>
        <w:t xml:space="preserve"> mode </w:t>
      </w:r>
      <w:r w:rsidR="00A142A1">
        <w:rPr>
          <w:lang w:val="en-CA"/>
        </w:rPr>
        <w:t>based on the computation of</w:t>
      </w:r>
      <w:r>
        <w:rPr>
          <w:lang w:val="en-CA"/>
        </w:rPr>
        <w:t xml:space="preserve"> a Merged Histogram of Gradients using information from neighbouring blocks. </w:t>
      </w:r>
      <w:r w:rsidR="00A142A1">
        <w:rPr>
          <w:lang w:val="en-CA"/>
        </w:rPr>
        <w:t xml:space="preserve">The Merged Histogram of Gradients is then used to derive a set of intra modes and weights that are blended together to compute the intra prediction for a block. </w:t>
      </w:r>
      <w:r w:rsidR="00DE2CE8" w:rsidRPr="007F2D5E">
        <w:rPr>
          <w:lang w:val="en-CA"/>
        </w:rPr>
        <w:t xml:space="preserve">The impact on coding efficiency and runtimes </w:t>
      </w:r>
      <w:r w:rsidR="00DE2CE8">
        <w:rPr>
          <w:lang w:val="en-CA"/>
        </w:rPr>
        <w:t>of th</w:t>
      </w:r>
      <w:r w:rsidR="00DE2CE8" w:rsidRPr="009F625F">
        <w:rPr>
          <w:lang w:val="en-CA"/>
        </w:rPr>
        <w:t xml:space="preserve">e proposed </w:t>
      </w:r>
      <w:r w:rsidR="00A142A1">
        <w:rPr>
          <w:lang w:val="en-CA"/>
        </w:rPr>
        <w:t>method</w:t>
      </w:r>
      <w:r w:rsidR="00DE2CE8">
        <w:rPr>
          <w:lang w:val="en-CA"/>
        </w:rPr>
        <w:t xml:space="preserve"> </w:t>
      </w:r>
      <w:r w:rsidR="00DE2CE8" w:rsidRPr="007F2D5E">
        <w:rPr>
          <w:lang w:val="en-CA"/>
        </w:rPr>
        <w:t>over ECM-</w:t>
      </w:r>
      <w:r w:rsidR="00DE2CE8">
        <w:rPr>
          <w:lang w:val="en-CA"/>
        </w:rPr>
        <w:t>11</w:t>
      </w:r>
      <w:r w:rsidR="00DE2CE8" w:rsidRPr="007F2D5E">
        <w:rPr>
          <w:lang w:val="en-CA"/>
        </w:rPr>
        <w:t>.0 are reportedly {for Y, U, V, EncT, DecT</w:t>
      </w:r>
      <w:r w:rsidR="00DE2CE8">
        <w:rPr>
          <w:lang w:val="en-CA"/>
        </w:rPr>
        <w:t xml:space="preserve">, </w:t>
      </w:r>
      <w:r w:rsidR="0043513C">
        <w:rPr>
          <w:lang w:val="en-CA"/>
        </w:rPr>
        <w:t>Enc</w:t>
      </w:r>
      <w:r w:rsidR="00DE2CE8">
        <w:rPr>
          <w:lang w:val="en-CA"/>
        </w:rPr>
        <w:t>VmPeak</w:t>
      </w:r>
      <w:r w:rsidR="00255DAB">
        <w:rPr>
          <w:lang w:val="en-CA"/>
        </w:rPr>
        <w:t>, DecVmPeak</w:t>
      </w:r>
      <w:r w:rsidR="00DE2CE8" w:rsidRPr="007F2D5E">
        <w:rPr>
          <w:lang w:val="en-CA"/>
        </w:rPr>
        <w:t>}:</w:t>
      </w:r>
    </w:p>
    <w:p w14:paraId="32A03D5B" w14:textId="1EB7A3FE" w:rsidR="00C03BE0" w:rsidRDefault="00DE2CE8" w:rsidP="00DE2CE8">
      <w:pPr>
        <w:rPr>
          <w:highlight w:val="yellow"/>
          <w:lang w:val="en-CA"/>
        </w:rPr>
      </w:pPr>
      <w:r w:rsidRPr="00DE2CE8">
        <w:rPr>
          <w:highlight w:val="yellow"/>
          <w:lang w:val="en-CA"/>
        </w:rPr>
        <w:t>AI {-0.</w:t>
      </w:r>
      <w:r w:rsidR="00C03BE0">
        <w:rPr>
          <w:highlight w:val="yellow"/>
          <w:lang w:val="en-CA"/>
        </w:rPr>
        <w:t>10</w:t>
      </w:r>
      <w:r w:rsidRPr="00DE2CE8">
        <w:rPr>
          <w:highlight w:val="yellow"/>
          <w:lang w:val="en-CA"/>
        </w:rPr>
        <w:t>%, 0.0</w:t>
      </w:r>
      <w:r w:rsidR="00C03BE0">
        <w:rPr>
          <w:highlight w:val="yellow"/>
          <w:lang w:val="en-CA"/>
        </w:rPr>
        <w:t>0</w:t>
      </w:r>
      <w:r w:rsidRPr="00DE2CE8">
        <w:rPr>
          <w:highlight w:val="yellow"/>
          <w:lang w:val="en-CA"/>
        </w:rPr>
        <w:t>%, 0.0</w:t>
      </w:r>
      <w:r w:rsidR="00C03BE0">
        <w:rPr>
          <w:highlight w:val="yellow"/>
          <w:lang w:val="en-CA"/>
        </w:rPr>
        <w:t>0</w:t>
      </w:r>
      <w:r w:rsidRPr="00DE2CE8">
        <w:rPr>
          <w:highlight w:val="yellow"/>
          <w:lang w:val="en-CA"/>
        </w:rPr>
        <w:t>%, %, %, %</w:t>
      </w:r>
      <w:r w:rsidR="00255DAB" w:rsidRPr="00DE2CE8">
        <w:rPr>
          <w:highlight w:val="yellow"/>
          <w:lang w:val="en-CA"/>
        </w:rPr>
        <w:t>, %</w:t>
      </w:r>
      <w:r w:rsidRPr="00DE2CE8">
        <w:rPr>
          <w:highlight w:val="yellow"/>
          <w:lang w:val="en-CA"/>
        </w:rPr>
        <w:t xml:space="preserve">}, </w:t>
      </w:r>
    </w:p>
    <w:p w14:paraId="50FBB553" w14:textId="54DCB889" w:rsidR="00DE2CE8" w:rsidRDefault="00DE2CE8" w:rsidP="00DE2CE8">
      <w:pPr>
        <w:rPr>
          <w:lang w:val="en-CA"/>
        </w:rPr>
      </w:pPr>
      <w:r w:rsidRPr="00DE2CE8">
        <w:rPr>
          <w:highlight w:val="yellow"/>
          <w:lang w:val="en-CA"/>
        </w:rPr>
        <w:t>RA {%, %, %, %, %, %</w:t>
      </w:r>
      <w:r w:rsidR="00255DAB" w:rsidRPr="00DE2CE8">
        <w:rPr>
          <w:highlight w:val="yellow"/>
          <w:lang w:val="en-CA"/>
        </w:rPr>
        <w:t>, %</w:t>
      </w:r>
      <w:r w:rsidRPr="00DE2CE8">
        <w:rPr>
          <w:highlight w:val="yellow"/>
          <w:lang w:val="en-CA"/>
        </w:rPr>
        <w:t>}</w:t>
      </w:r>
    </w:p>
    <w:p w14:paraId="4DD3E7FA" w14:textId="6BD8493D" w:rsidR="00DE2CE8" w:rsidRDefault="00DE2CE8" w:rsidP="00DE2CE8">
      <w:pPr>
        <w:rPr>
          <w:lang w:val="en-CA"/>
        </w:rPr>
      </w:pPr>
    </w:p>
    <w:p w14:paraId="19D33A89" w14:textId="0C322424" w:rsidR="007920BE" w:rsidRDefault="00C30DED" w:rsidP="007920BE">
      <w:pPr>
        <w:pStyle w:val="Heading1"/>
        <w:rPr>
          <w:lang w:val="en-CA"/>
        </w:rPr>
      </w:pPr>
      <w:r>
        <w:rPr>
          <w:lang w:val="en-CA"/>
        </w:rPr>
        <w:t>Introduction</w:t>
      </w:r>
    </w:p>
    <w:p w14:paraId="46F101BE" w14:textId="4BA3723C" w:rsidR="00C30DED" w:rsidRDefault="00A142A1" w:rsidP="007920BE">
      <w:pPr>
        <w:rPr>
          <w:szCs w:val="22"/>
          <w:lang w:val="en-CA"/>
        </w:rPr>
      </w:pPr>
      <w:r>
        <w:rPr>
          <w:lang w:val="en-CA"/>
        </w:rPr>
        <w:t xml:space="preserve">ECM </w:t>
      </w:r>
      <w:r>
        <w:rPr>
          <w:szCs w:val="22"/>
          <w:lang w:val="en-CA"/>
        </w:rPr>
        <w:t xml:space="preserve">includes Decoder-side Intra Mode Derivation (DIMD). When using DIMD, </w:t>
      </w:r>
      <w:r w:rsidR="00C30DED">
        <w:rPr>
          <w:szCs w:val="22"/>
          <w:lang w:val="en-CA"/>
        </w:rPr>
        <w:t>a Histogram of Gradients (HoG) is computed for the current block, by analysing the directionality of the content in a template. A</w:t>
      </w:r>
      <w:r w:rsidR="00C30DED" w:rsidRPr="00C30DED">
        <w:rPr>
          <w:szCs w:val="22"/>
          <w:lang w:val="en-CA"/>
        </w:rPr>
        <w:t xml:space="preserve"> </w:t>
      </w:r>
      <w:r w:rsidR="00C30DED">
        <w:rPr>
          <w:szCs w:val="22"/>
          <w:lang w:val="en-CA"/>
        </w:rPr>
        <w:t>three-sample wide/high L-shaped template formed of already reconstructed samples is used. The HoG is formed accumulating the magnitudes of all gradients at a given direction, where directionality is estimated using the Sobel filter. U</w:t>
      </w:r>
      <w:r>
        <w:rPr>
          <w:szCs w:val="22"/>
          <w:lang w:val="en-CA"/>
        </w:rPr>
        <w:t>p to five DIMD modes are derived</w:t>
      </w:r>
      <w:r w:rsidR="00C30DED">
        <w:rPr>
          <w:szCs w:val="22"/>
          <w:lang w:val="en-CA"/>
        </w:rPr>
        <w:t xml:space="preserve"> as the modes with highest amplitudes in the HoG. The predictors obtained using the DIMD modes are blended together, using weights that depend on the amplitudes in the HoG. DIMD is signalled in ECM as a new mode.</w:t>
      </w:r>
    </w:p>
    <w:p w14:paraId="27F6226F" w14:textId="77777777" w:rsidR="00C30DED" w:rsidRDefault="00C30DED" w:rsidP="007920BE">
      <w:pPr>
        <w:rPr>
          <w:szCs w:val="22"/>
          <w:lang w:val="en-CA"/>
        </w:rPr>
      </w:pPr>
    </w:p>
    <w:p w14:paraId="30F66052" w14:textId="4E90A3F6" w:rsidR="00C30DED" w:rsidRDefault="00C30DED" w:rsidP="00C30DED">
      <w:pPr>
        <w:pStyle w:val="Heading1"/>
        <w:rPr>
          <w:lang w:val="en-CA"/>
        </w:rPr>
      </w:pPr>
      <w:r w:rsidRPr="00210388">
        <w:rPr>
          <w:lang w:val="en-CA"/>
        </w:rPr>
        <w:t>Proposed Method</w:t>
      </w:r>
    </w:p>
    <w:p w14:paraId="34712471" w14:textId="1B00F416" w:rsidR="00C30DED" w:rsidRDefault="00C30DED" w:rsidP="007920BE">
      <w:pPr>
        <w:rPr>
          <w:szCs w:val="22"/>
          <w:lang w:val="en-CA"/>
        </w:rPr>
      </w:pPr>
      <w:r>
        <w:rPr>
          <w:szCs w:val="22"/>
          <w:lang w:val="en-CA"/>
        </w:rPr>
        <w:t>This contribution proposes to add a new intra prediction mode, referred to as Merged Intra Mode Derivation (MIMD),</w:t>
      </w:r>
      <w:r>
        <w:rPr>
          <w:lang w:val="en-CA"/>
        </w:rPr>
        <w:t xml:space="preserve"> based on the computation of a Merged Histogram of Gradients (MHoG). Similar to DIMD, up to </w:t>
      </w:r>
      <w:r>
        <w:rPr>
          <w:szCs w:val="22"/>
          <w:lang w:val="en-CA"/>
        </w:rPr>
        <w:t xml:space="preserve">five MIMD modes are derived from the MHoG and are then blended together. The derivation of the modes and blending weights follows the same process to derive DIMD modes and blending weights from the HoG. </w:t>
      </w:r>
      <w:r w:rsidR="000A030F">
        <w:rPr>
          <w:szCs w:val="22"/>
          <w:lang w:val="en-CA"/>
        </w:rPr>
        <w:t>But differently than DIMD, the MHoG is not computed directly analysing the template samples, but rather is computed based on information extracted from neighbouring blocks.</w:t>
      </w:r>
    </w:p>
    <w:p w14:paraId="04A85545" w14:textId="1DEEF2A1" w:rsidR="005A21A1" w:rsidRDefault="000A030F" w:rsidP="000A030F">
      <w:pPr>
        <w:rPr>
          <w:szCs w:val="22"/>
          <w:lang w:val="en-CA"/>
        </w:rPr>
      </w:pPr>
      <w:r>
        <w:rPr>
          <w:szCs w:val="22"/>
          <w:lang w:val="en-CA"/>
        </w:rPr>
        <w:t xml:space="preserve">In particular, a number of </w:t>
      </w:r>
      <w:r w:rsidRPr="00FC6FF8">
        <w:rPr>
          <w:i/>
          <w:iCs/>
          <w:szCs w:val="22"/>
          <w:lang w:val="en-CA"/>
        </w:rPr>
        <w:t>N</w:t>
      </w:r>
      <w:r>
        <w:rPr>
          <w:szCs w:val="22"/>
          <w:lang w:val="en-CA"/>
        </w:rPr>
        <w:t xml:space="preserve"> neighbouring blocks is considered. A neighbouring block is considered if it is encoded with a</w:t>
      </w:r>
      <w:r w:rsidR="009D0D5F">
        <w:rPr>
          <w:szCs w:val="22"/>
          <w:lang w:val="en-CA"/>
        </w:rPr>
        <w:t>t least one</w:t>
      </w:r>
      <w:r>
        <w:rPr>
          <w:szCs w:val="22"/>
          <w:lang w:val="en-CA"/>
        </w:rPr>
        <w:t xml:space="preserve"> directional intra-prediction mode. In case the neighbouring block </w:t>
      </w:r>
      <w:r>
        <w:rPr>
          <w:i/>
          <w:iCs/>
          <w:szCs w:val="22"/>
          <w:lang w:val="en-CA"/>
        </w:rPr>
        <w:t xml:space="preserve">i </w:t>
      </w:r>
      <w:r>
        <w:rPr>
          <w:szCs w:val="22"/>
          <w:lang w:val="en-CA"/>
        </w:rPr>
        <w:t>is encoded using DIMD or MIMD, then its HoG or MHo</w:t>
      </w:r>
      <w:r w:rsidR="00880D45">
        <w:rPr>
          <w:szCs w:val="22"/>
          <w:lang w:val="en-CA"/>
        </w:rPr>
        <w:t>G</w:t>
      </w:r>
      <w:r>
        <w:rPr>
          <w:szCs w:val="22"/>
          <w:lang w:val="en-CA"/>
        </w:rPr>
        <w:t xml:space="preserve"> is directly considered as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Pr>
          <w:szCs w:val="22"/>
          <w:lang w:val="en-CA"/>
        </w:rPr>
        <w:t xml:space="preserve">, where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r>
          <w:rPr>
            <w:rFonts w:ascii="Cambria Math" w:hAnsi="Cambria Math"/>
            <w:szCs w:val="22"/>
            <w:lang w:val="en-CA"/>
          </w:rPr>
          <m:t>(m)</m:t>
        </m:r>
      </m:oMath>
      <w:r>
        <w:rPr>
          <w:szCs w:val="22"/>
          <w:lang w:val="en-CA"/>
        </w:rPr>
        <w:t xml:space="preserve"> refers to the amplitude of directional mode </w:t>
      </w:r>
      <w:r>
        <w:rPr>
          <w:i/>
          <w:iCs/>
          <w:szCs w:val="22"/>
          <w:lang w:val="en-CA"/>
        </w:rPr>
        <w:t>m</w:t>
      </w:r>
      <w:r>
        <w:rPr>
          <w:szCs w:val="22"/>
          <w:lang w:val="en-CA"/>
        </w:rPr>
        <w:t xml:space="preserve"> in the HoG</w:t>
      </w:r>
      <w:r w:rsidR="00F52D96">
        <w:rPr>
          <w:szCs w:val="22"/>
          <w:lang w:val="en-CA"/>
        </w:rPr>
        <w:t>, where</w:t>
      </w:r>
      <w:r w:rsidR="00F52D96" w:rsidRPr="00F52D96">
        <w:rPr>
          <w:i/>
          <w:iCs/>
          <w:szCs w:val="22"/>
          <w:lang w:val="en-CA"/>
        </w:rPr>
        <w:t xml:space="preserve"> </w:t>
      </w:r>
      <w:r w:rsidR="00F52D96">
        <w:rPr>
          <w:i/>
          <w:iCs/>
          <w:szCs w:val="22"/>
          <w:lang w:val="en-CA"/>
        </w:rPr>
        <w:t>m</w:t>
      </w:r>
      <w:r w:rsidR="00F52D96">
        <w:rPr>
          <w:szCs w:val="22"/>
          <w:lang w:val="en-CA"/>
        </w:rPr>
        <w:t xml:space="preserve"> can take values from 0 to </w:t>
      </w:r>
      <m:oMath>
        <m:r>
          <w:rPr>
            <w:rFonts w:ascii="Cambria Math" w:hAnsi="Cambria Math"/>
            <w:szCs w:val="22"/>
            <w:lang w:val="en-CA"/>
          </w:rPr>
          <m:t>M</m:t>
        </m:r>
      </m:oMath>
      <w:r w:rsidR="00F52D96">
        <w:rPr>
          <w:szCs w:val="22"/>
          <w:lang w:val="en-CA"/>
        </w:rPr>
        <w:t xml:space="preserve"> where </w:t>
      </w:r>
      <m:oMath>
        <m:r>
          <w:rPr>
            <w:rFonts w:ascii="Cambria Math" w:hAnsi="Cambria Math"/>
            <w:szCs w:val="22"/>
            <w:lang w:val="en-CA"/>
          </w:rPr>
          <m:t>M</m:t>
        </m:r>
      </m:oMath>
      <w:r w:rsidR="00F52D96">
        <w:rPr>
          <w:szCs w:val="22"/>
          <w:lang w:val="en-CA"/>
        </w:rPr>
        <w:t xml:space="preserve"> is the maximum number of intra-prediction modes</w:t>
      </w:r>
      <w:r>
        <w:rPr>
          <w:szCs w:val="22"/>
          <w:lang w:val="en-CA"/>
        </w:rPr>
        <w:t xml:space="preserve">. </w:t>
      </w:r>
      <w:r w:rsidR="005A21A1">
        <w:rPr>
          <w:szCs w:val="22"/>
          <w:lang w:val="en-CA"/>
        </w:rPr>
        <w:t xml:space="preserve">A normalisation process can be used when considering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sidR="005A21A1">
        <w:rPr>
          <w:szCs w:val="22"/>
          <w:lang w:val="en-CA"/>
        </w:rPr>
        <w:t xml:space="preserve">. </w:t>
      </w:r>
    </w:p>
    <w:p w14:paraId="54D52CF8" w14:textId="77777777" w:rsidR="005A21A1" w:rsidRDefault="000A030F" w:rsidP="000A030F">
      <w:pPr>
        <w:rPr>
          <w:szCs w:val="22"/>
          <w:lang w:val="en-CA"/>
        </w:rPr>
      </w:pPr>
      <w:r>
        <w:rPr>
          <w:szCs w:val="22"/>
          <w:lang w:val="en-CA"/>
        </w:rPr>
        <w:lastRenderedPageBreak/>
        <w:t xml:space="preserve">In case the neighbouring block </w:t>
      </w:r>
      <w:r>
        <w:rPr>
          <w:i/>
          <w:iCs/>
          <w:szCs w:val="22"/>
          <w:lang w:val="en-CA"/>
        </w:rPr>
        <w:t>i</w:t>
      </w:r>
      <w:r>
        <w:rPr>
          <w:szCs w:val="22"/>
          <w:lang w:val="en-CA"/>
        </w:rPr>
        <w:t xml:space="preserve"> is instead encoded using a</w:t>
      </w:r>
      <w:r w:rsidR="009D0D5F">
        <w:rPr>
          <w:szCs w:val="22"/>
          <w:lang w:val="en-CA"/>
        </w:rPr>
        <w:t xml:space="preserve"> </w:t>
      </w:r>
      <w:r>
        <w:rPr>
          <w:szCs w:val="22"/>
          <w:lang w:val="en-CA"/>
        </w:rPr>
        <w:t xml:space="preserve">non-DIMD intra-prediction directional mode </w:t>
      </w:r>
      <w:r>
        <w:rPr>
          <w:i/>
          <w:iCs/>
          <w:szCs w:val="22"/>
          <w:lang w:val="en-CA"/>
        </w:rPr>
        <w:t>m</w:t>
      </w:r>
      <w:r>
        <w:rPr>
          <w:szCs w:val="22"/>
          <w:lang w:val="en-CA"/>
        </w:rPr>
        <w:t xml:space="preserve">, then an HoG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Pr>
          <w:szCs w:val="22"/>
          <w:lang w:val="en-CA"/>
        </w:rPr>
        <w:t xml:space="preserve"> is derived for that neighbouring block, where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k</m:t>
            </m:r>
          </m:e>
        </m:d>
        <m:r>
          <w:rPr>
            <w:rFonts w:ascii="Cambria Math" w:hAnsi="Cambria Math"/>
            <w:szCs w:val="22"/>
            <w:lang w:val="en-CA"/>
          </w:rPr>
          <m:t>=0</m:t>
        </m:r>
      </m:oMath>
      <w:r>
        <w:rPr>
          <w:szCs w:val="22"/>
          <w:lang w:val="en-CA"/>
        </w:rPr>
        <w:t xml:space="preserve"> for </w:t>
      </w:r>
      <m:oMath>
        <m:r>
          <w:rPr>
            <w:rFonts w:ascii="Cambria Math" w:hAnsi="Cambria Math"/>
            <w:szCs w:val="22"/>
            <w:lang w:val="en-CA"/>
          </w:rPr>
          <m:t>k=0, 1, … M</m:t>
        </m:r>
      </m:oMath>
      <w:r>
        <w:rPr>
          <w:szCs w:val="22"/>
          <w:lang w:val="en-CA"/>
        </w:rPr>
        <w:t xml:space="preserve">, </w:t>
      </w:r>
      <m:oMath>
        <m:r>
          <w:rPr>
            <w:rFonts w:ascii="Cambria Math" w:hAnsi="Cambria Math"/>
            <w:szCs w:val="22"/>
            <w:lang w:val="en-CA"/>
          </w:rPr>
          <m:t>k≠m</m:t>
        </m:r>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m</m:t>
            </m:r>
          </m:e>
        </m:d>
        <m:r>
          <w:rPr>
            <w:rFonts w:ascii="Cambria Math" w:hAnsi="Cambria Math"/>
            <w:szCs w:val="22"/>
            <w:lang w:val="en-CA"/>
          </w:rPr>
          <m:t>=A</m:t>
        </m:r>
      </m:oMath>
      <w:r>
        <w:rPr>
          <w:szCs w:val="22"/>
          <w:lang w:val="en-CA"/>
        </w:rPr>
        <w:t xml:space="preserve">, where the value </w:t>
      </w:r>
      <m:oMath>
        <m:r>
          <w:rPr>
            <w:rFonts w:ascii="Cambria Math" w:hAnsi="Cambria Math"/>
            <w:szCs w:val="22"/>
            <w:lang w:val="en-CA"/>
          </w:rPr>
          <m:t>A</m:t>
        </m:r>
      </m:oMath>
      <w:r>
        <w:rPr>
          <w:szCs w:val="22"/>
          <w:lang w:val="en-CA"/>
        </w:rPr>
        <w:t xml:space="preserve"> depends on the size of the current block. </w:t>
      </w:r>
      <w:r w:rsidR="000E6E9D">
        <w:rPr>
          <w:szCs w:val="22"/>
          <w:lang w:val="en-CA"/>
        </w:rPr>
        <w:t>For neighbouring blocks encoded using SGPM or TIMD</w:t>
      </w:r>
      <w:r w:rsidR="009D0D5F">
        <w:rPr>
          <w:szCs w:val="22"/>
          <w:lang w:val="en-CA"/>
        </w:rPr>
        <w:t xml:space="preserve"> where more than one directional intra prediction modes may be available, </w:t>
      </w:r>
      <w:r w:rsidR="000E6E9D">
        <w:rPr>
          <w:szCs w:val="22"/>
          <w:lang w:val="en-CA"/>
        </w:rPr>
        <w:t xml:space="preserve">both </w:t>
      </w:r>
      <w:r w:rsidR="009D0D5F">
        <w:rPr>
          <w:szCs w:val="22"/>
          <w:lang w:val="en-CA"/>
        </w:rPr>
        <w:t xml:space="preserve">directional </w:t>
      </w:r>
      <w:r w:rsidR="000E6E9D">
        <w:rPr>
          <w:szCs w:val="22"/>
          <w:lang w:val="en-CA"/>
        </w:rPr>
        <w:t xml:space="preserve">modes can be considered in the derivation of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oMath>
      <w:r w:rsidR="000E6E9D">
        <w:rPr>
          <w:szCs w:val="22"/>
          <w:lang w:val="en-CA"/>
        </w:rPr>
        <w:t xml:space="preserve">. </w:t>
      </w:r>
    </w:p>
    <w:p w14:paraId="2F5D75D7" w14:textId="3DC9A9A5" w:rsidR="000A030F" w:rsidRDefault="00FB3389" w:rsidP="000A030F">
      <w:pPr>
        <w:rPr>
          <w:szCs w:val="22"/>
          <w:lang w:val="en-CA"/>
        </w:rPr>
      </w:pPr>
      <w:r>
        <w:rPr>
          <w:szCs w:val="22"/>
          <w:lang w:val="en-CA"/>
        </w:rPr>
        <w:t>Then</w:t>
      </w:r>
      <w:r w:rsidR="000E6E9D">
        <w:rPr>
          <w:szCs w:val="22"/>
          <w:lang w:val="en-CA"/>
        </w:rPr>
        <w:t xml:space="preserve">, the MHoG </w:t>
      </w:r>
      <m:oMath>
        <m:acc>
          <m:accPr>
            <m:chr m:val="̃"/>
            <m:ctrlPr>
              <w:rPr>
                <w:rFonts w:ascii="Cambria Math" w:hAnsi="Cambria Math"/>
                <w:i/>
                <w:szCs w:val="22"/>
                <w:lang w:val="en-CA"/>
              </w:rPr>
            </m:ctrlPr>
          </m:accPr>
          <m:e>
            <m:r>
              <w:rPr>
                <w:rFonts w:ascii="Cambria Math" w:hAnsi="Cambria Math"/>
                <w:szCs w:val="22"/>
                <w:lang w:val="en-CA"/>
              </w:rPr>
              <m:t>H</m:t>
            </m:r>
          </m:e>
        </m:acc>
      </m:oMath>
      <w:r w:rsidR="000E6E9D">
        <w:rPr>
          <w:szCs w:val="22"/>
          <w:lang w:val="en-CA"/>
        </w:rPr>
        <w:t xml:space="preserve"> can be computed</w:t>
      </w:r>
      <w:r w:rsidR="005A21A1">
        <w:rPr>
          <w:szCs w:val="22"/>
          <w:lang w:val="en-CA"/>
        </w:rPr>
        <w:t xml:space="preserve"> using all the HoGs extracted from available neighbouring blocks</w:t>
      </w:r>
      <w:r w:rsidR="000E6E9D">
        <w:rPr>
          <w:szCs w:val="22"/>
          <w:lang w:val="en-CA"/>
        </w:rPr>
        <w:t xml:space="preserve"> as</w:t>
      </w:r>
      <w:r w:rsidR="000A030F">
        <w:rPr>
          <w:szCs w:val="22"/>
          <w:lang w:val="en-CA"/>
        </w:rPr>
        <w:t>:</w:t>
      </w:r>
    </w:p>
    <w:p w14:paraId="2F7E85E9" w14:textId="54E91DAE" w:rsidR="000A030F" w:rsidRPr="00B3069C" w:rsidRDefault="009960F9" w:rsidP="000A030F">
      <w:pPr>
        <w:rPr>
          <w:szCs w:val="22"/>
          <w:lang w:val="en-CA"/>
        </w:rPr>
      </w:pPr>
      <m:oMathPara>
        <m:oMath>
          <m:acc>
            <m:accPr>
              <m:chr m:val="̃"/>
              <m:ctrlPr>
                <w:rPr>
                  <w:rFonts w:ascii="Cambria Math" w:hAnsi="Cambria Math"/>
                  <w:i/>
                  <w:szCs w:val="22"/>
                  <w:lang w:val="en-CA"/>
                </w:rPr>
              </m:ctrlPr>
            </m:accPr>
            <m:e>
              <m:r>
                <w:rPr>
                  <w:rFonts w:ascii="Cambria Math" w:hAnsi="Cambria Math"/>
                  <w:szCs w:val="22"/>
                  <w:lang w:val="en-CA"/>
                </w:rPr>
                <m:t>H</m:t>
              </m:r>
            </m:e>
          </m:acc>
          <m:d>
            <m:dPr>
              <m:ctrlPr>
                <w:rPr>
                  <w:rFonts w:ascii="Cambria Math" w:hAnsi="Cambria Math"/>
                  <w:i/>
                  <w:szCs w:val="22"/>
                  <w:lang w:val="en-CA"/>
                </w:rPr>
              </m:ctrlPr>
            </m:dPr>
            <m:e>
              <m:r>
                <w:rPr>
                  <w:rFonts w:ascii="Cambria Math" w:hAnsi="Cambria Math"/>
                  <w:szCs w:val="22"/>
                  <w:lang w:val="en-CA"/>
                </w:rPr>
                <m:t>m</m:t>
              </m:r>
            </m:e>
          </m:d>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 xml:space="preserve"> </m:t>
              </m:r>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N-1</m:t>
                  </m:r>
                </m:sup>
                <m:e>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m:t>
                      </m:r>
                    </m:sub>
                  </m:sSub>
                  <m:r>
                    <w:rPr>
                      <w:rFonts w:ascii="Cambria Math" w:hAnsi="Cambria Math"/>
                      <w:szCs w:val="22"/>
                      <w:lang w:val="en-CA"/>
                    </w:rPr>
                    <m:t>(m)</m:t>
                  </m:r>
                </m:e>
              </m:nary>
            </m:num>
            <m:den>
              <m:r>
                <w:rPr>
                  <w:rFonts w:ascii="Cambria Math" w:hAnsi="Cambria Math"/>
                  <w:szCs w:val="22"/>
                  <w:lang w:val="en-CA"/>
                </w:rPr>
                <m:t>N</m:t>
              </m:r>
            </m:den>
          </m:f>
        </m:oMath>
      </m:oMathPara>
    </w:p>
    <w:p w14:paraId="0D486F36" w14:textId="2830CE06" w:rsidR="00FB3389" w:rsidRDefault="00FB3389" w:rsidP="00FB3389">
      <w:pPr>
        <w:rPr>
          <w:szCs w:val="22"/>
          <w:lang w:val="en-CA"/>
        </w:rPr>
      </w:pPr>
      <w:r>
        <w:rPr>
          <w:szCs w:val="22"/>
          <w:lang w:val="en-CA"/>
        </w:rPr>
        <w:t>Finally, the MHoG is used to compute MIMD modes and weights. The directional modes and their weights corresponding to the five highest amplitudes in the MHoG are selected as directional modes and weights for MIMD.</w:t>
      </w:r>
    </w:p>
    <w:p w14:paraId="183B351F" w14:textId="535FDB1B" w:rsidR="00A142A1" w:rsidRDefault="00A142A1" w:rsidP="007920BE">
      <w:pPr>
        <w:rPr>
          <w:szCs w:val="22"/>
          <w:lang w:val="en-CA"/>
        </w:rPr>
      </w:pPr>
    </w:p>
    <w:p w14:paraId="3004264D" w14:textId="1F4D353A" w:rsidR="00FB3389" w:rsidRDefault="00FB3389" w:rsidP="00FB3389">
      <w:pPr>
        <w:pStyle w:val="Heading1"/>
        <w:rPr>
          <w:lang w:val="en-CA"/>
        </w:rPr>
      </w:pPr>
      <w:r>
        <w:rPr>
          <w:lang w:val="en-CA"/>
        </w:rPr>
        <w:t>Integration in ECM</w:t>
      </w:r>
    </w:p>
    <w:p w14:paraId="596A2F39" w14:textId="78EFF033" w:rsidR="000E558E" w:rsidRDefault="00FB3389" w:rsidP="000E558E">
      <w:pPr>
        <w:rPr>
          <w:lang w:val="en-CA"/>
        </w:rPr>
      </w:pPr>
      <w:r>
        <w:rPr>
          <w:lang w:val="en-CA"/>
        </w:rPr>
        <w:t xml:space="preserve">MIMD is signalled as a sub-mode of DIMD. In order to speed-up the encoding process, MIMD is only signalled for blocks with an area larger than 4x4 samples. Also, MIMD is only signalled for blocks that have one immediate neighbour above or on the left that is encoded using DIMD or MIMD. Under these conditions, MIMD is then signalled with a CABAC coded CU level flag. One new CABAC context was included to support coding of the MIMD flag. </w:t>
      </w:r>
      <w:r w:rsidR="000E558E">
        <w:rPr>
          <w:lang w:val="en-CA"/>
        </w:rPr>
        <w:t>As a further complexity optimisation, the Planar prediction used within the DIMD and MIMD blending process was modified to make use of PDPC. This allows the intra-prediction blocks computed during the SATD stage at the encoder side to be reused to form the DIMD and MIMD final predictors.</w:t>
      </w:r>
    </w:p>
    <w:p w14:paraId="1FDAE85E" w14:textId="4F8FA939" w:rsidR="005E09F1" w:rsidRDefault="005E09F1" w:rsidP="00B623FD">
      <w:pPr>
        <w:keepNext/>
      </w:pPr>
    </w:p>
    <w:p w14:paraId="12A51353" w14:textId="77777777" w:rsidR="000901A6" w:rsidRPr="005B217D" w:rsidRDefault="000901A6" w:rsidP="000901A6">
      <w:pPr>
        <w:pStyle w:val="Heading1"/>
        <w:rPr>
          <w:lang w:val="en-CA"/>
        </w:rPr>
      </w:pPr>
      <w:r>
        <w:rPr>
          <w:lang w:val="en-CA"/>
        </w:rPr>
        <w:t>Experimental results</w:t>
      </w:r>
    </w:p>
    <w:p w14:paraId="61E307C7" w14:textId="4136AE7B" w:rsidR="000901A6" w:rsidRDefault="000901A6" w:rsidP="000901A6">
      <w:pPr>
        <w:rPr>
          <w:lang w:val="en-CA"/>
        </w:rPr>
      </w:pPr>
      <w:r>
        <w:rPr>
          <w:lang w:val="en-CA"/>
        </w:rPr>
        <w:t>The tables below summarize the coding efficiency and runtime impact of the proposed method in ECM</w:t>
      </w:r>
      <w:r w:rsidR="005D6ACC">
        <w:rPr>
          <w:lang w:val="en-CA"/>
        </w:rPr>
        <w:t> 11</w:t>
      </w:r>
      <w:r>
        <w:rPr>
          <w:lang w:val="en-CA"/>
        </w:rPr>
        <w:t>.0 using the JVET common test conditions.</w:t>
      </w:r>
    </w:p>
    <w:p w14:paraId="3BCE68CA" w14:textId="77777777" w:rsidR="006E7251" w:rsidRDefault="006E7251" w:rsidP="000901A6">
      <w:pPr>
        <w:rPr>
          <w:lang w:val="en-CA"/>
        </w:rPr>
      </w:pPr>
    </w:p>
    <w:p w14:paraId="55B803FB" w14:textId="77777777" w:rsidR="005D6ACC" w:rsidRDefault="005D6ACC" w:rsidP="000901A6">
      <w:pPr>
        <w:rPr>
          <w:lang w:val="en-CA"/>
        </w:rPr>
      </w:pPr>
    </w:p>
    <w:tbl>
      <w:tblPr>
        <w:tblW w:w="9304" w:type="dxa"/>
        <w:tblLook w:val="04A0" w:firstRow="1" w:lastRow="0" w:firstColumn="1" w:lastColumn="0" w:noHBand="0" w:noVBand="1"/>
      </w:tblPr>
      <w:tblGrid>
        <w:gridCol w:w="1020"/>
        <w:gridCol w:w="1213"/>
        <w:gridCol w:w="1213"/>
        <w:gridCol w:w="1213"/>
        <w:gridCol w:w="894"/>
        <w:gridCol w:w="894"/>
        <w:gridCol w:w="1422"/>
        <w:gridCol w:w="1435"/>
      </w:tblGrid>
      <w:tr w:rsidR="005D6ACC" w:rsidRPr="005D6ACC" w14:paraId="10B68D4D" w14:textId="77777777" w:rsidTr="00B56584">
        <w:trPr>
          <w:trHeight w:val="255"/>
        </w:trPr>
        <w:tc>
          <w:tcPr>
            <w:tcW w:w="1020" w:type="dxa"/>
            <w:tcBorders>
              <w:top w:val="nil"/>
              <w:left w:val="nil"/>
              <w:bottom w:val="nil"/>
              <w:right w:val="nil"/>
            </w:tcBorders>
            <w:shd w:val="clear" w:color="auto" w:fill="auto"/>
            <w:noWrap/>
            <w:vAlign w:val="center"/>
            <w:hideMark/>
          </w:tcPr>
          <w:p w14:paraId="5D74AE1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28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46A1B5"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All Intra Main 10 </w:t>
            </w:r>
          </w:p>
        </w:tc>
      </w:tr>
      <w:tr w:rsidR="005D6ACC" w:rsidRPr="005D6ACC" w14:paraId="7CFF3A01" w14:textId="77777777" w:rsidTr="00B56584">
        <w:trPr>
          <w:trHeight w:val="255"/>
        </w:trPr>
        <w:tc>
          <w:tcPr>
            <w:tcW w:w="1020" w:type="dxa"/>
            <w:tcBorders>
              <w:top w:val="nil"/>
              <w:left w:val="nil"/>
              <w:bottom w:val="nil"/>
              <w:right w:val="nil"/>
            </w:tcBorders>
            <w:shd w:val="clear" w:color="auto" w:fill="auto"/>
            <w:noWrap/>
            <w:vAlign w:val="center"/>
            <w:hideMark/>
          </w:tcPr>
          <w:p w14:paraId="46576FB4"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84" w:type="dxa"/>
            <w:gridSpan w:val="7"/>
            <w:tcBorders>
              <w:top w:val="nil"/>
              <w:left w:val="single" w:sz="8" w:space="0" w:color="auto"/>
              <w:bottom w:val="nil"/>
              <w:right w:val="single" w:sz="8" w:space="0" w:color="000000"/>
            </w:tcBorders>
            <w:shd w:val="clear" w:color="auto" w:fill="auto"/>
            <w:noWrap/>
            <w:vAlign w:val="center"/>
            <w:hideMark/>
          </w:tcPr>
          <w:p w14:paraId="2365371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555365A2" w14:textId="77777777" w:rsidTr="00B56584">
        <w:trPr>
          <w:trHeight w:val="255"/>
        </w:trPr>
        <w:tc>
          <w:tcPr>
            <w:tcW w:w="1020" w:type="dxa"/>
            <w:tcBorders>
              <w:top w:val="nil"/>
              <w:left w:val="nil"/>
              <w:bottom w:val="nil"/>
              <w:right w:val="nil"/>
            </w:tcBorders>
            <w:shd w:val="clear" w:color="auto" w:fill="auto"/>
            <w:noWrap/>
            <w:vAlign w:val="center"/>
            <w:hideMark/>
          </w:tcPr>
          <w:p w14:paraId="6661319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3" w:type="dxa"/>
            <w:tcBorders>
              <w:top w:val="nil"/>
              <w:left w:val="single" w:sz="8" w:space="0" w:color="auto"/>
              <w:bottom w:val="single" w:sz="8" w:space="0" w:color="auto"/>
              <w:right w:val="nil"/>
            </w:tcBorders>
            <w:shd w:val="clear" w:color="auto" w:fill="auto"/>
            <w:noWrap/>
            <w:vAlign w:val="center"/>
            <w:hideMark/>
          </w:tcPr>
          <w:p w14:paraId="39B8908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1213" w:type="dxa"/>
            <w:tcBorders>
              <w:top w:val="nil"/>
              <w:left w:val="nil"/>
              <w:bottom w:val="single" w:sz="8" w:space="0" w:color="auto"/>
              <w:right w:val="nil"/>
            </w:tcBorders>
            <w:shd w:val="clear" w:color="auto" w:fill="auto"/>
            <w:noWrap/>
            <w:vAlign w:val="center"/>
            <w:hideMark/>
          </w:tcPr>
          <w:p w14:paraId="788D4BA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1213" w:type="dxa"/>
            <w:tcBorders>
              <w:top w:val="nil"/>
              <w:left w:val="nil"/>
              <w:bottom w:val="single" w:sz="8" w:space="0" w:color="auto"/>
              <w:right w:val="single" w:sz="4" w:space="0" w:color="auto"/>
            </w:tcBorders>
            <w:shd w:val="clear" w:color="auto" w:fill="auto"/>
            <w:noWrap/>
            <w:vAlign w:val="center"/>
            <w:hideMark/>
          </w:tcPr>
          <w:p w14:paraId="5F9B4F5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894" w:type="dxa"/>
            <w:tcBorders>
              <w:top w:val="nil"/>
              <w:left w:val="nil"/>
              <w:bottom w:val="single" w:sz="8" w:space="0" w:color="auto"/>
              <w:right w:val="nil"/>
            </w:tcBorders>
            <w:shd w:val="clear" w:color="auto" w:fill="auto"/>
            <w:noWrap/>
            <w:vAlign w:val="center"/>
            <w:hideMark/>
          </w:tcPr>
          <w:p w14:paraId="6440373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EncT</w:t>
            </w:r>
          </w:p>
        </w:tc>
        <w:tc>
          <w:tcPr>
            <w:tcW w:w="894" w:type="dxa"/>
            <w:tcBorders>
              <w:top w:val="nil"/>
              <w:left w:val="nil"/>
              <w:bottom w:val="single" w:sz="8" w:space="0" w:color="auto"/>
              <w:right w:val="nil"/>
            </w:tcBorders>
            <w:shd w:val="clear" w:color="auto" w:fill="auto"/>
            <w:noWrap/>
            <w:vAlign w:val="center"/>
            <w:hideMark/>
          </w:tcPr>
          <w:p w14:paraId="0E940F8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DecT</w:t>
            </w:r>
          </w:p>
        </w:tc>
        <w:tc>
          <w:tcPr>
            <w:tcW w:w="1422" w:type="dxa"/>
            <w:tcBorders>
              <w:top w:val="nil"/>
              <w:left w:val="single" w:sz="4" w:space="0" w:color="auto"/>
              <w:bottom w:val="single" w:sz="8" w:space="0" w:color="auto"/>
              <w:right w:val="nil"/>
            </w:tcBorders>
            <w:shd w:val="clear" w:color="auto" w:fill="auto"/>
            <w:noWrap/>
            <w:vAlign w:val="center"/>
            <w:hideMark/>
          </w:tcPr>
          <w:p w14:paraId="61257FB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EncVmPeak</w:t>
            </w:r>
          </w:p>
        </w:tc>
        <w:tc>
          <w:tcPr>
            <w:tcW w:w="1435" w:type="dxa"/>
            <w:tcBorders>
              <w:top w:val="nil"/>
              <w:left w:val="single" w:sz="4" w:space="0" w:color="auto"/>
              <w:bottom w:val="single" w:sz="8" w:space="0" w:color="auto"/>
              <w:right w:val="single" w:sz="8" w:space="0" w:color="auto"/>
            </w:tcBorders>
            <w:shd w:val="clear" w:color="auto" w:fill="auto"/>
            <w:noWrap/>
            <w:vAlign w:val="center"/>
            <w:hideMark/>
          </w:tcPr>
          <w:p w14:paraId="76A28EF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DecVmPeak</w:t>
            </w:r>
          </w:p>
        </w:tc>
      </w:tr>
      <w:tr w:rsidR="00B623FD" w:rsidRPr="005D6ACC" w14:paraId="1939188B"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7B6ED1D6"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1213" w:type="dxa"/>
            <w:tcBorders>
              <w:top w:val="nil"/>
              <w:left w:val="nil"/>
              <w:bottom w:val="nil"/>
              <w:right w:val="nil"/>
            </w:tcBorders>
            <w:shd w:val="clear" w:color="auto" w:fill="auto"/>
            <w:noWrap/>
            <w:vAlign w:val="center"/>
            <w:hideMark/>
          </w:tcPr>
          <w:p w14:paraId="657504B6" w14:textId="2975B13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13" w:type="dxa"/>
            <w:tcBorders>
              <w:top w:val="nil"/>
              <w:left w:val="nil"/>
              <w:bottom w:val="nil"/>
              <w:right w:val="nil"/>
            </w:tcBorders>
            <w:shd w:val="clear" w:color="auto" w:fill="auto"/>
            <w:noWrap/>
            <w:vAlign w:val="center"/>
            <w:hideMark/>
          </w:tcPr>
          <w:p w14:paraId="5542B1A0" w14:textId="231C32D8"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13" w:type="dxa"/>
            <w:tcBorders>
              <w:top w:val="nil"/>
              <w:left w:val="nil"/>
              <w:bottom w:val="nil"/>
              <w:right w:val="single" w:sz="4" w:space="0" w:color="auto"/>
            </w:tcBorders>
            <w:shd w:val="clear" w:color="auto" w:fill="auto"/>
            <w:noWrap/>
            <w:vAlign w:val="center"/>
            <w:hideMark/>
          </w:tcPr>
          <w:p w14:paraId="7AA53C76" w14:textId="0BD7543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94" w:type="dxa"/>
            <w:tcBorders>
              <w:top w:val="nil"/>
              <w:left w:val="nil"/>
              <w:bottom w:val="nil"/>
              <w:right w:val="nil"/>
            </w:tcBorders>
            <w:shd w:val="clear" w:color="auto" w:fill="auto"/>
            <w:noWrap/>
            <w:vAlign w:val="center"/>
          </w:tcPr>
          <w:p w14:paraId="300D65F1" w14:textId="5EC6DAA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0D0C97C2" w14:textId="0DC04C7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3726B2B6" w14:textId="2541F90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62A2C3A9" w14:textId="6EFB30D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0A06CB04"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E6F406C"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1213" w:type="dxa"/>
            <w:tcBorders>
              <w:top w:val="nil"/>
              <w:left w:val="nil"/>
              <w:bottom w:val="nil"/>
              <w:right w:val="nil"/>
            </w:tcBorders>
            <w:shd w:val="clear" w:color="auto" w:fill="auto"/>
            <w:noWrap/>
            <w:vAlign w:val="center"/>
            <w:hideMark/>
          </w:tcPr>
          <w:p w14:paraId="4D07445A" w14:textId="358CD9BB"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213" w:type="dxa"/>
            <w:tcBorders>
              <w:top w:val="nil"/>
              <w:left w:val="nil"/>
              <w:bottom w:val="nil"/>
              <w:right w:val="nil"/>
            </w:tcBorders>
            <w:shd w:val="clear" w:color="auto" w:fill="auto"/>
            <w:noWrap/>
            <w:vAlign w:val="center"/>
            <w:hideMark/>
          </w:tcPr>
          <w:p w14:paraId="2AD617B9" w14:textId="7789B51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nil"/>
              <w:right w:val="single" w:sz="4" w:space="0" w:color="auto"/>
            </w:tcBorders>
            <w:shd w:val="clear" w:color="auto" w:fill="auto"/>
            <w:noWrap/>
            <w:vAlign w:val="center"/>
            <w:hideMark/>
          </w:tcPr>
          <w:p w14:paraId="7258E4AD" w14:textId="78F46115"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94" w:type="dxa"/>
            <w:tcBorders>
              <w:top w:val="nil"/>
              <w:left w:val="nil"/>
              <w:bottom w:val="nil"/>
              <w:right w:val="nil"/>
            </w:tcBorders>
            <w:shd w:val="clear" w:color="auto" w:fill="auto"/>
            <w:noWrap/>
            <w:vAlign w:val="center"/>
          </w:tcPr>
          <w:p w14:paraId="5749C432" w14:textId="523D520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43F89C0A" w14:textId="15817419"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3386F85C" w14:textId="224F9F7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5BF2BB42" w14:textId="63A5CE3B"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0FBAB252"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1A70B7B"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1213" w:type="dxa"/>
            <w:tcBorders>
              <w:top w:val="nil"/>
              <w:left w:val="nil"/>
              <w:bottom w:val="nil"/>
              <w:right w:val="nil"/>
            </w:tcBorders>
            <w:shd w:val="clear" w:color="auto" w:fill="auto"/>
            <w:noWrap/>
            <w:vAlign w:val="center"/>
            <w:hideMark/>
          </w:tcPr>
          <w:p w14:paraId="40703BE9" w14:textId="6AE58F23"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213" w:type="dxa"/>
            <w:tcBorders>
              <w:top w:val="nil"/>
              <w:left w:val="nil"/>
              <w:bottom w:val="nil"/>
              <w:right w:val="nil"/>
            </w:tcBorders>
            <w:shd w:val="clear" w:color="auto" w:fill="auto"/>
            <w:noWrap/>
            <w:vAlign w:val="center"/>
            <w:hideMark/>
          </w:tcPr>
          <w:p w14:paraId="2CB72566" w14:textId="03B12C8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nil"/>
              <w:left w:val="nil"/>
              <w:bottom w:val="nil"/>
              <w:right w:val="single" w:sz="4" w:space="0" w:color="auto"/>
            </w:tcBorders>
            <w:shd w:val="clear" w:color="auto" w:fill="auto"/>
            <w:noWrap/>
            <w:vAlign w:val="center"/>
            <w:hideMark/>
          </w:tcPr>
          <w:p w14:paraId="09228609" w14:textId="3F05DF6E"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94" w:type="dxa"/>
            <w:tcBorders>
              <w:top w:val="nil"/>
              <w:left w:val="nil"/>
              <w:bottom w:val="nil"/>
              <w:right w:val="nil"/>
            </w:tcBorders>
            <w:shd w:val="clear" w:color="auto" w:fill="auto"/>
            <w:noWrap/>
            <w:vAlign w:val="center"/>
          </w:tcPr>
          <w:p w14:paraId="0C7CC1CB" w14:textId="5F595520"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292336E7" w14:textId="0123A87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46FE1190" w14:textId="50035A30"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BF48C65" w14:textId="2BA7C5A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58E1749F"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0857AD0A"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1213" w:type="dxa"/>
            <w:tcBorders>
              <w:top w:val="nil"/>
              <w:left w:val="nil"/>
              <w:bottom w:val="nil"/>
              <w:right w:val="nil"/>
            </w:tcBorders>
            <w:shd w:val="clear" w:color="auto" w:fill="auto"/>
            <w:noWrap/>
            <w:vAlign w:val="center"/>
            <w:hideMark/>
          </w:tcPr>
          <w:p w14:paraId="2696036B" w14:textId="5E571B71"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13" w:type="dxa"/>
            <w:tcBorders>
              <w:top w:val="nil"/>
              <w:left w:val="nil"/>
              <w:bottom w:val="nil"/>
              <w:right w:val="nil"/>
            </w:tcBorders>
            <w:shd w:val="clear" w:color="auto" w:fill="auto"/>
            <w:noWrap/>
            <w:vAlign w:val="center"/>
            <w:hideMark/>
          </w:tcPr>
          <w:p w14:paraId="640DEED8" w14:textId="4EC4B49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13" w:type="dxa"/>
            <w:tcBorders>
              <w:top w:val="nil"/>
              <w:left w:val="nil"/>
              <w:bottom w:val="nil"/>
              <w:right w:val="single" w:sz="4" w:space="0" w:color="auto"/>
            </w:tcBorders>
            <w:shd w:val="clear" w:color="auto" w:fill="auto"/>
            <w:noWrap/>
            <w:vAlign w:val="center"/>
            <w:hideMark/>
          </w:tcPr>
          <w:p w14:paraId="0590BF8C" w14:textId="6B50C5F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94" w:type="dxa"/>
            <w:tcBorders>
              <w:top w:val="nil"/>
              <w:left w:val="nil"/>
              <w:bottom w:val="nil"/>
              <w:right w:val="nil"/>
            </w:tcBorders>
            <w:shd w:val="clear" w:color="auto" w:fill="auto"/>
            <w:noWrap/>
            <w:vAlign w:val="center"/>
          </w:tcPr>
          <w:p w14:paraId="1D1100A1" w14:textId="14C78F04"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3051DEC1" w14:textId="46C650B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4FDB69C7" w14:textId="4113422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2F75E510" w14:textId="1ADE1C41"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5F03D36A"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5C43E17C"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1213" w:type="dxa"/>
            <w:tcBorders>
              <w:top w:val="nil"/>
              <w:left w:val="nil"/>
              <w:bottom w:val="nil"/>
              <w:right w:val="nil"/>
            </w:tcBorders>
            <w:shd w:val="clear" w:color="auto" w:fill="auto"/>
            <w:noWrap/>
            <w:vAlign w:val="center"/>
            <w:hideMark/>
          </w:tcPr>
          <w:p w14:paraId="332E3734" w14:textId="55EE98AB"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213" w:type="dxa"/>
            <w:tcBorders>
              <w:top w:val="nil"/>
              <w:left w:val="nil"/>
              <w:bottom w:val="nil"/>
              <w:right w:val="nil"/>
            </w:tcBorders>
            <w:shd w:val="clear" w:color="auto" w:fill="auto"/>
            <w:noWrap/>
            <w:vAlign w:val="center"/>
            <w:hideMark/>
          </w:tcPr>
          <w:p w14:paraId="0F08819D" w14:textId="3D63B4A8"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13" w:type="dxa"/>
            <w:tcBorders>
              <w:top w:val="nil"/>
              <w:left w:val="nil"/>
              <w:bottom w:val="nil"/>
              <w:right w:val="single" w:sz="4" w:space="0" w:color="auto"/>
            </w:tcBorders>
            <w:shd w:val="clear" w:color="auto" w:fill="auto"/>
            <w:noWrap/>
            <w:vAlign w:val="center"/>
            <w:hideMark/>
          </w:tcPr>
          <w:p w14:paraId="54610E98" w14:textId="3516776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894" w:type="dxa"/>
            <w:tcBorders>
              <w:top w:val="nil"/>
              <w:left w:val="nil"/>
              <w:bottom w:val="nil"/>
              <w:right w:val="nil"/>
            </w:tcBorders>
            <w:shd w:val="clear" w:color="auto" w:fill="auto"/>
            <w:noWrap/>
            <w:vAlign w:val="center"/>
          </w:tcPr>
          <w:p w14:paraId="2A79BDA7" w14:textId="39EEC91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1B6D80BE" w14:textId="18A52CB5"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52F0C107" w14:textId="13B0DBD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792A18BC" w14:textId="02EDC66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3CCE9074"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30D271BC"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 xml:space="preserve">Overall </w:t>
            </w:r>
          </w:p>
        </w:tc>
        <w:tc>
          <w:tcPr>
            <w:tcW w:w="1213" w:type="dxa"/>
            <w:tcBorders>
              <w:top w:val="single" w:sz="8" w:space="0" w:color="auto"/>
              <w:left w:val="nil"/>
              <w:bottom w:val="nil"/>
              <w:right w:val="nil"/>
            </w:tcBorders>
            <w:shd w:val="clear" w:color="auto" w:fill="auto"/>
            <w:noWrap/>
            <w:vAlign w:val="center"/>
            <w:hideMark/>
          </w:tcPr>
          <w:p w14:paraId="1462062D" w14:textId="76E04ED4"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13" w:type="dxa"/>
            <w:tcBorders>
              <w:top w:val="single" w:sz="8" w:space="0" w:color="auto"/>
              <w:left w:val="nil"/>
              <w:bottom w:val="nil"/>
              <w:right w:val="nil"/>
            </w:tcBorders>
            <w:shd w:val="clear" w:color="auto" w:fill="auto"/>
            <w:noWrap/>
            <w:vAlign w:val="center"/>
            <w:hideMark/>
          </w:tcPr>
          <w:p w14:paraId="0F93ADC3" w14:textId="163D01D3"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single" w:sz="8" w:space="0" w:color="auto"/>
              <w:left w:val="nil"/>
              <w:bottom w:val="nil"/>
              <w:right w:val="single" w:sz="4" w:space="0" w:color="auto"/>
            </w:tcBorders>
            <w:shd w:val="clear" w:color="auto" w:fill="auto"/>
            <w:noWrap/>
            <w:vAlign w:val="center"/>
            <w:hideMark/>
          </w:tcPr>
          <w:p w14:paraId="2F7DDB45" w14:textId="3D7BA7E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894" w:type="dxa"/>
            <w:tcBorders>
              <w:top w:val="single" w:sz="8" w:space="0" w:color="auto"/>
              <w:left w:val="nil"/>
              <w:bottom w:val="nil"/>
              <w:right w:val="nil"/>
            </w:tcBorders>
            <w:shd w:val="clear" w:color="auto" w:fill="auto"/>
            <w:noWrap/>
            <w:vAlign w:val="center"/>
          </w:tcPr>
          <w:p w14:paraId="0A51C035" w14:textId="4BE66313"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single" w:sz="8" w:space="0" w:color="auto"/>
              <w:left w:val="nil"/>
              <w:bottom w:val="nil"/>
              <w:right w:val="nil"/>
            </w:tcBorders>
            <w:shd w:val="clear" w:color="auto" w:fill="auto"/>
            <w:noWrap/>
            <w:vAlign w:val="center"/>
          </w:tcPr>
          <w:p w14:paraId="7D47786F" w14:textId="6073B54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single" w:sz="8" w:space="0" w:color="auto"/>
              <w:left w:val="single" w:sz="4" w:space="0" w:color="auto"/>
              <w:bottom w:val="single" w:sz="8" w:space="0" w:color="auto"/>
              <w:right w:val="nil"/>
            </w:tcBorders>
            <w:shd w:val="clear" w:color="auto" w:fill="auto"/>
            <w:noWrap/>
            <w:vAlign w:val="center"/>
          </w:tcPr>
          <w:p w14:paraId="39E42998" w14:textId="51FE5BC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011C7C06" w14:textId="2613CC38"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0DFC4667"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5B88744D"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1213" w:type="dxa"/>
            <w:tcBorders>
              <w:top w:val="single" w:sz="8" w:space="0" w:color="auto"/>
              <w:left w:val="nil"/>
              <w:bottom w:val="nil"/>
              <w:right w:val="nil"/>
            </w:tcBorders>
            <w:shd w:val="clear" w:color="auto" w:fill="auto"/>
            <w:noWrap/>
            <w:vAlign w:val="center"/>
            <w:hideMark/>
          </w:tcPr>
          <w:p w14:paraId="1CE2A230" w14:textId="608E3B89"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single" w:sz="8" w:space="0" w:color="auto"/>
              <w:left w:val="nil"/>
              <w:bottom w:val="nil"/>
              <w:right w:val="nil"/>
            </w:tcBorders>
            <w:shd w:val="clear" w:color="auto" w:fill="auto"/>
            <w:noWrap/>
            <w:vAlign w:val="center"/>
            <w:hideMark/>
          </w:tcPr>
          <w:p w14:paraId="3D74DAB6" w14:textId="4B8EE3A4"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213" w:type="dxa"/>
            <w:tcBorders>
              <w:top w:val="single" w:sz="8" w:space="0" w:color="auto"/>
              <w:left w:val="nil"/>
              <w:bottom w:val="nil"/>
              <w:right w:val="single" w:sz="4" w:space="0" w:color="auto"/>
            </w:tcBorders>
            <w:shd w:val="clear" w:color="auto" w:fill="auto"/>
            <w:noWrap/>
            <w:vAlign w:val="center"/>
            <w:hideMark/>
          </w:tcPr>
          <w:p w14:paraId="46F758B3" w14:textId="43BFE17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94" w:type="dxa"/>
            <w:tcBorders>
              <w:top w:val="single" w:sz="8" w:space="0" w:color="auto"/>
              <w:left w:val="nil"/>
              <w:bottom w:val="nil"/>
              <w:right w:val="nil"/>
            </w:tcBorders>
            <w:shd w:val="clear" w:color="auto" w:fill="auto"/>
            <w:noWrap/>
            <w:vAlign w:val="center"/>
          </w:tcPr>
          <w:p w14:paraId="1A12AA0A" w14:textId="333A939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single" w:sz="8" w:space="0" w:color="auto"/>
              <w:left w:val="nil"/>
              <w:bottom w:val="nil"/>
              <w:right w:val="nil"/>
            </w:tcBorders>
            <w:shd w:val="clear" w:color="auto" w:fill="auto"/>
            <w:noWrap/>
            <w:vAlign w:val="center"/>
          </w:tcPr>
          <w:p w14:paraId="59120165" w14:textId="693CC22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22CC6FA3" w14:textId="5AF111C8"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7E381EE" w14:textId="6D4407A9"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5FF2D099"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2225A713"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1213" w:type="dxa"/>
            <w:tcBorders>
              <w:top w:val="nil"/>
              <w:left w:val="nil"/>
              <w:bottom w:val="nil"/>
              <w:right w:val="nil"/>
            </w:tcBorders>
            <w:shd w:val="clear" w:color="auto" w:fill="auto"/>
            <w:noWrap/>
            <w:vAlign w:val="center"/>
            <w:hideMark/>
          </w:tcPr>
          <w:p w14:paraId="19874C96" w14:textId="65E6CEB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nil"/>
              <w:right w:val="nil"/>
            </w:tcBorders>
            <w:shd w:val="clear" w:color="auto" w:fill="auto"/>
            <w:noWrap/>
            <w:vAlign w:val="center"/>
            <w:hideMark/>
          </w:tcPr>
          <w:p w14:paraId="7691D14F" w14:textId="629500BE"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213" w:type="dxa"/>
            <w:tcBorders>
              <w:top w:val="nil"/>
              <w:left w:val="nil"/>
              <w:bottom w:val="nil"/>
              <w:right w:val="single" w:sz="4" w:space="0" w:color="auto"/>
            </w:tcBorders>
            <w:shd w:val="clear" w:color="auto" w:fill="auto"/>
            <w:noWrap/>
            <w:vAlign w:val="center"/>
            <w:hideMark/>
          </w:tcPr>
          <w:p w14:paraId="5317B417" w14:textId="094A770E"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94" w:type="dxa"/>
            <w:tcBorders>
              <w:top w:val="nil"/>
              <w:left w:val="nil"/>
              <w:bottom w:val="nil"/>
              <w:right w:val="nil"/>
            </w:tcBorders>
            <w:shd w:val="clear" w:color="auto" w:fill="auto"/>
            <w:noWrap/>
            <w:vAlign w:val="center"/>
          </w:tcPr>
          <w:p w14:paraId="4F64C1E0" w14:textId="08C61B7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676EA150" w14:textId="33198E96"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1A2F6C55" w14:textId="767FD3D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285BAC6E" w14:textId="20EF375A"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65B43FFD" w14:textId="77777777" w:rsidTr="00B623FD">
        <w:trPr>
          <w:trHeight w:val="25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1397938" w14:textId="77777777"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TGM</w:t>
            </w:r>
          </w:p>
        </w:tc>
        <w:tc>
          <w:tcPr>
            <w:tcW w:w="1213" w:type="dxa"/>
            <w:tcBorders>
              <w:top w:val="nil"/>
              <w:left w:val="nil"/>
              <w:bottom w:val="single" w:sz="8" w:space="0" w:color="auto"/>
              <w:right w:val="nil"/>
            </w:tcBorders>
            <w:shd w:val="clear" w:color="auto" w:fill="auto"/>
            <w:noWrap/>
            <w:vAlign w:val="center"/>
            <w:hideMark/>
          </w:tcPr>
          <w:p w14:paraId="14EC0195" w14:textId="142B3391"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nil"/>
              <w:left w:val="nil"/>
              <w:bottom w:val="single" w:sz="8" w:space="0" w:color="auto"/>
              <w:right w:val="nil"/>
            </w:tcBorders>
            <w:shd w:val="clear" w:color="auto" w:fill="auto"/>
            <w:noWrap/>
            <w:vAlign w:val="center"/>
            <w:hideMark/>
          </w:tcPr>
          <w:p w14:paraId="3D05795D" w14:textId="5865FA2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13" w:type="dxa"/>
            <w:tcBorders>
              <w:top w:val="nil"/>
              <w:left w:val="nil"/>
              <w:bottom w:val="single" w:sz="8" w:space="0" w:color="auto"/>
              <w:right w:val="single" w:sz="4" w:space="0" w:color="auto"/>
            </w:tcBorders>
            <w:shd w:val="clear" w:color="auto" w:fill="auto"/>
            <w:noWrap/>
            <w:vAlign w:val="center"/>
            <w:hideMark/>
          </w:tcPr>
          <w:p w14:paraId="160DA7A9" w14:textId="5B3B422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94" w:type="dxa"/>
            <w:tcBorders>
              <w:top w:val="nil"/>
              <w:left w:val="nil"/>
              <w:bottom w:val="single" w:sz="8" w:space="0" w:color="auto"/>
              <w:right w:val="nil"/>
            </w:tcBorders>
            <w:shd w:val="clear" w:color="auto" w:fill="auto"/>
            <w:noWrap/>
            <w:vAlign w:val="center"/>
          </w:tcPr>
          <w:p w14:paraId="24E5C97A" w14:textId="0B668A2C"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single" w:sz="8" w:space="0" w:color="auto"/>
              <w:right w:val="nil"/>
            </w:tcBorders>
            <w:shd w:val="clear" w:color="auto" w:fill="auto"/>
            <w:noWrap/>
            <w:vAlign w:val="center"/>
          </w:tcPr>
          <w:p w14:paraId="1E6F00F3" w14:textId="77CF7AF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single" w:sz="8" w:space="0" w:color="auto"/>
              <w:right w:val="nil"/>
            </w:tcBorders>
            <w:shd w:val="clear" w:color="auto" w:fill="auto"/>
            <w:noWrap/>
            <w:vAlign w:val="center"/>
          </w:tcPr>
          <w:p w14:paraId="23842386" w14:textId="6DAC8242"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single" w:sz="8" w:space="0" w:color="auto"/>
              <w:right w:val="single" w:sz="8" w:space="0" w:color="auto"/>
            </w:tcBorders>
            <w:shd w:val="clear" w:color="auto" w:fill="auto"/>
            <w:noWrap/>
            <w:vAlign w:val="center"/>
          </w:tcPr>
          <w:p w14:paraId="1F539CD4" w14:textId="0E0E10FF" w:rsidR="00B56584" w:rsidRPr="005D6ACC" w:rsidRDefault="00B56584" w:rsidP="00B5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D6ACC" w:rsidRPr="005D6ACC" w14:paraId="7B295B94" w14:textId="77777777" w:rsidTr="00B56584">
        <w:trPr>
          <w:trHeight w:val="255"/>
        </w:trPr>
        <w:tc>
          <w:tcPr>
            <w:tcW w:w="1020" w:type="dxa"/>
            <w:tcBorders>
              <w:top w:val="nil"/>
              <w:left w:val="nil"/>
              <w:bottom w:val="nil"/>
              <w:right w:val="nil"/>
            </w:tcBorders>
            <w:shd w:val="clear" w:color="auto" w:fill="auto"/>
            <w:noWrap/>
            <w:vAlign w:val="center"/>
            <w:hideMark/>
          </w:tcPr>
          <w:p w14:paraId="4F07B7F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nil"/>
            </w:tcBorders>
            <w:shd w:val="clear" w:color="auto" w:fill="auto"/>
            <w:noWrap/>
            <w:vAlign w:val="center"/>
            <w:hideMark/>
          </w:tcPr>
          <w:p w14:paraId="762A07AD"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13" w:type="dxa"/>
            <w:tcBorders>
              <w:top w:val="nil"/>
              <w:left w:val="nil"/>
              <w:bottom w:val="nil"/>
              <w:right w:val="nil"/>
            </w:tcBorders>
            <w:shd w:val="clear" w:color="auto" w:fill="auto"/>
            <w:noWrap/>
            <w:vAlign w:val="center"/>
            <w:hideMark/>
          </w:tcPr>
          <w:p w14:paraId="45755C7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13" w:type="dxa"/>
            <w:tcBorders>
              <w:top w:val="nil"/>
              <w:left w:val="nil"/>
              <w:bottom w:val="nil"/>
              <w:right w:val="nil"/>
            </w:tcBorders>
            <w:shd w:val="clear" w:color="auto" w:fill="auto"/>
            <w:noWrap/>
            <w:vAlign w:val="center"/>
            <w:hideMark/>
          </w:tcPr>
          <w:p w14:paraId="4F5F70D2" w14:textId="77777777" w:rsid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64FF48C8"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52BF1CCE"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6E19AF99"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5AC71CD"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495AFCB" w14:textId="77777777" w:rsidR="006E7251"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p w14:paraId="42698C10" w14:textId="77777777" w:rsidR="006E7251" w:rsidRPr="005D6ACC" w:rsidRDefault="006E7251"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4" w:type="dxa"/>
            <w:tcBorders>
              <w:top w:val="nil"/>
              <w:left w:val="nil"/>
              <w:bottom w:val="nil"/>
              <w:right w:val="nil"/>
            </w:tcBorders>
            <w:shd w:val="clear" w:color="auto" w:fill="auto"/>
            <w:noWrap/>
            <w:vAlign w:val="center"/>
            <w:hideMark/>
          </w:tcPr>
          <w:p w14:paraId="662F102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4" w:type="dxa"/>
            <w:tcBorders>
              <w:top w:val="nil"/>
              <w:left w:val="nil"/>
              <w:bottom w:val="nil"/>
              <w:right w:val="nil"/>
            </w:tcBorders>
            <w:shd w:val="clear" w:color="auto" w:fill="auto"/>
            <w:noWrap/>
            <w:vAlign w:val="center"/>
            <w:hideMark/>
          </w:tcPr>
          <w:p w14:paraId="368CDB2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22" w:type="dxa"/>
            <w:tcBorders>
              <w:top w:val="nil"/>
              <w:left w:val="nil"/>
              <w:bottom w:val="nil"/>
              <w:right w:val="nil"/>
            </w:tcBorders>
            <w:shd w:val="clear" w:color="auto" w:fill="auto"/>
            <w:noWrap/>
            <w:vAlign w:val="center"/>
            <w:hideMark/>
          </w:tcPr>
          <w:p w14:paraId="54BF44B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35" w:type="dxa"/>
            <w:tcBorders>
              <w:top w:val="nil"/>
              <w:left w:val="nil"/>
              <w:bottom w:val="nil"/>
              <w:right w:val="nil"/>
            </w:tcBorders>
            <w:shd w:val="clear" w:color="auto" w:fill="auto"/>
            <w:noWrap/>
            <w:vAlign w:val="center"/>
            <w:hideMark/>
          </w:tcPr>
          <w:p w14:paraId="48BC4ED7"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D6ACC" w:rsidRPr="005D6ACC" w14:paraId="7B7A81D0" w14:textId="77777777" w:rsidTr="00B56584">
        <w:trPr>
          <w:trHeight w:val="255"/>
        </w:trPr>
        <w:tc>
          <w:tcPr>
            <w:tcW w:w="1020" w:type="dxa"/>
            <w:tcBorders>
              <w:top w:val="nil"/>
              <w:left w:val="nil"/>
              <w:bottom w:val="nil"/>
              <w:right w:val="nil"/>
            </w:tcBorders>
            <w:shd w:val="clear" w:color="auto" w:fill="auto"/>
            <w:noWrap/>
            <w:vAlign w:val="center"/>
            <w:hideMark/>
          </w:tcPr>
          <w:p w14:paraId="7CAB35EC"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093FF"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Random Access Main 10</w:t>
            </w:r>
          </w:p>
        </w:tc>
      </w:tr>
      <w:tr w:rsidR="005D6ACC" w:rsidRPr="005D6ACC" w14:paraId="659A1CF6" w14:textId="77777777" w:rsidTr="00B56584">
        <w:trPr>
          <w:trHeight w:val="255"/>
        </w:trPr>
        <w:tc>
          <w:tcPr>
            <w:tcW w:w="1020" w:type="dxa"/>
            <w:tcBorders>
              <w:top w:val="nil"/>
              <w:left w:val="nil"/>
              <w:bottom w:val="nil"/>
              <w:right w:val="nil"/>
            </w:tcBorders>
            <w:shd w:val="clear" w:color="auto" w:fill="auto"/>
            <w:noWrap/>
            <w:vAlign w:val="center"/>
            <w:hideMark/>
          </w:tcPr>
          <w:p w14:paraId="25D30326"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284" w:type="dxa"/>
            <w:gridSpan w:val="7"/>
            <w:tcBorders>
              <w:top w:val="nil"/>
              <w:left w:val="single" w:sz="8" w:space="0" w:color="auto"/>
              <w:bottom w:val="nil"/>
              <w:right w:val="single" w:sz="8" w:space="0" w:color="000000"/>
            </w:tcBorders>
            <w:shd w:val="clear" w:color="auto" w:fill="auto"/>
            <w:noWrap/>
            <w:vAlign w:val="center"/>
            <w:hideMark/>
          </w:tcPr>
          <w:p w14:paraId="2B2C8293"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 ECM-11.0</w:t>
            </w:r>
          </w:p>
        </w:tc>
      </w:tr>
      <w:tr w:rsidR="005D6ACC" w:rsidRPr="005D6ACC" w14:paraId="29EA8D0F" w14:textId="77777777" w:rsidTr="00B56584">
        <w:trPr>
          <w:trHeight w:val="255"/>
        </w:trPr>
        <w:tc>
          <w:tcPr>
            <w:tcW w:w="1020" w:type="dxa"/>
            <w:tcBorders>
              <w:top w:val="nil"/>
              <w:left w:val="nil"/>
              <w:bottom w:val="nil"/>
              <w:right w:val="nil"/>
            </w:tcBorders>
            <w:shd w:val="clear" w:color="auto" w:fill="auto"/>
            <w:noWrap/>
            <w:vAlign w:val="center"/>
            <w:hideMark/>
          </w:tcPr>
          <w:p w14:paraId="645608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3" w:type="dxa"/>
            <w:tcBorders>
              <w:top w:val="nil"/>
              <w:left w:val="single" w:sz="8" w:space="0" w:color="auto"/>
              <w:bottom w:val="single" w:sz="8" w:space="0" w:color="auto"/>
              <w:right w:val="nil"/>
            </w:tcBorders>
            <w:shd w:val="clear" w:color="auto" w:fill="auto"/>
            <w:noWrap/>
            <w:vAlign w:val="center"/>
            <w:hideMark/>
          </w:tcPr>
          <w:p w14:paraId="53863A0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Y</w:t>
            </w:r>
          </w:p>
        </w:tc>
        <w:tc>
          <w:tcPr>
            <w:tcW w:w="1213" w:type="dxa"/>
            <w:tcBorders>
              <w:top w:val="nil"/>
              <w:left w:val="nil"/>
              <w:bottom w:val="single" w:sz="8" w:space="0" w:color="auto"/>
              <w:right w:val="nil"/>
            </w:tcBorders>
            <w:shd w:val="clear" w:color="auto" w:fill="auto"/>
            <w:noWrap/>
            <w:vAlign w:val="center"/>
            <w:hideMark/>
          </w:tcPr>
          <w:p w14:paraId="5F6D687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U</w:t>
            </w:r>
          </w:p>
        </w:tc>
        <w:tc>
          <w:tcPr>
            <w:tcW w:w="1213" w:type="dxa"/>
            <w:tcBorders>
              <w:top w:val="nil"/>
              <w:left w:val="nil"/>
              <w:bottom w:val="single" w:sz="8" w:space="0" w:color="auto"/>
              <w:right w:val="single" w:sz="4" w:space="0" w:color="auto"/>
            </w:tcBorders>
            <w:shd w:val="clear" w:color="auto" w:fill="auto"/>
            <w:noWrap/>
            <w:vAlign w:val="center"/>
            <w:hideMark/>
          </w:tcPr>
          <w:p w14:paraId="034DD7C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V</w:t>
            </w:r>
          </w:p>
        </w:tc>
        <w:tc>
          <w:tcPr>
            <w:tcW w:w="894" w:type="dxa"/>
            <w:tcBorders>
              <w:top w:val="nil"/>
              <w:left w:val="nil"/>
              <w:bottom w:val="single" w:sz="8" w:space="0" w:color="auto"/>
              <w:right w:val="nil"/>
            </w:tcBorders>
            <w:shd w:val="clear" w:color="auto" w:fill="auto"/>
            <w:noWrap/>
            <w:vAlign w:val="center"/>
            <w:hideMark/>
          </w:tcPr>
          <w:p w14:paraId="5C5CB840"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EncT</w:t>
            </w:r>
          </w:p>
        </w:tc>
        <w:tc>
          <w:tcPr>
            <w:tcW w:w="894" w:type="dxa"/>
            <w:tcBorders>
              <w:top w:val="nil"/>
              <w:left w:val="nil"/>
              <w:bottom w:val="single" w:sz="8" w:space="0" w:color="auto"/>
              <w:right w:val="nil"/>
            </w:tcBorders>
            <w:shd w:val="clear" w:color="auto" w:fill="auto"/>
            <w:noWrap/>
            <w:vAlign w:val="center"/>
            <w:hideMark/>
          </w:tcPr>
          <w:p w14:paraId="6C1554DA"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DecT</w:t>
            </w:r>
          </w:p>
        </w:tc>
        <w:tc>
          <w:tcPr>
            <w:tcW w:w="1422" w:type="dxa"/>
            <w:tcBorders>
              <w:top w:val="nil"/>
              <w:left w:val="single" w:sz="4" w:space="0" w:color="auto"/>
              <w:bottom w:val="single" w:sz="8" w:space="0" w:color="auto"/>
              <w:right w:val="nil"/>
            </w:tcBorders>
            <w:shd w:val="clear" w:color="auto" w:fill="auto"/>
            <w:noWrap/>
            <w:vAlign w:val="center"/>
            <w:hideMark/>
          </w:tcPr>
          <w:p w14:paraId="09652BBB"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EncVmPeak</w:t>
            </w:r>
          </w:p>
        </w:tc>
        <w:tc>
          <w:tcPr>
            <w:tcW w:w="1435" w:type="dxa"/>
            <w:tcBorders>
              <w:top w:val="nil"/>
              <w:left w:val="single" w:sz="4" w:space="0" w:color="auto"/>
              <w:bottom w:val="single" w:sz="8" w:space="0" w:color="auto"/>
              <w:right w:val="single" w:sz="8" w:space="0" w:color="auto"/>
            </w:tcBorders>
            <w:shd w:val="clear" w:color="auto" w:fill="auto"/>
            <w:noWrap/>
            <w:vAlign w:val="center"/>
            <w:hideMark/>
          </w:tcPr>
          <w:p w14:paraId="094B5438"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DecVmPeak</w:t>
            </w:r>
          </w:p>
        </w:tc>
      </w:tr>
      <w:tr w:rsidR="00B623FD" w:rsidRPr="005D6ACC" w14:paraId="623F6D5B"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26325271"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A1</w:t>
            </w:r>
          </w:p>
        </w:tc>
        <w:tc>
          <w:tcPr>
            <w:tcW w:w="1213" w:type="dxa"/>
            <w:tcBorders>
              <w:top w:val="nil"/>
              <w:left w:val="nil"/>
              <w:bottom w:val="nil"/>
              <w:right w:val="nil"/>
            </w:tcBorders>
            <w:shd w:val="clear" w:color="auto" w:fill="auto"/>
            <w:noWrap/>
            <w:vAlign w:val="center"/>
          </w:tcPr>
          <w:p w14:paraId="7391724B" w14:textId="4CAEB338"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nil"/>
            </w:tcBorders>
            <w:shd w:val="clear" w:color="auto" w:fill="auto"/>
            <w:noWrap/>
            <w:vAlign w:val="center"/>
          </w:tcPr>
          <w:p w14:paraId="2DDA9EC2" w14:textId="651E481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single" w:sz="4" w:space="0" w:color="auto"/>
            </w:tcBorders>
            <w:shd w:val="clear" w:color="auto" w:fill="auto"/>
            <w:noWrap/>
            <w:vAlign w:val="center"/>
          </w:tcPr>
          <w:p w14:paraId="37094787" w14:textId="55C108B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7A09D1B8" w14:textId="6977B383"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65BF6B37" w14:textId="302E856D"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7B81020E" w14:textId="03C182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F38D490" w14:textId="31B6B6DE"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0FDA1B4C"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6531C1E"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A2</w:t>
            </w:r>
          </w:p>
        </w:tc>
        <w:tc>
          <w:tcPr>
            <w:tcW w:w="1213" w:type="dxa"/>
            <w:tcBorders>
              <w:top w:val="nil"/>
              <w:left w:val="nil"/>
              <w:bottom w:val="nil"/>
              <w:right w:val="nil"/>
            </w:tcBorders>
            <w:shd w:val="clear" w:color="auto" w:fill="auto"/>
            <w:noWrap/>
            <w:vAlign w:val="center"/>
          </w:tcPr>
          <w:p w14:paraId="2D6A7F7E" w14:textId="49923FD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nil"/>
            </w:tcBorders>
            <w:shd w:val="clear" w:color="auto" w:fill="auto"/>
            <w:noWrap/>
            <w:vAlign w:val="center"/>
          </w:tcPr>
          <w:p w14:paraId="69A9E162" w14:textId="0AA8B34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single" w:sz="4" w:space="0" w:color="auto"/>
            </w:tcBorders>
            <w:shd w:val="clear" w:color="auto" w:fill="auto"/>
            <w:noWrap/>
            <w:vAlign w:val="center"/>
          </w:tcPr>
          <w:p w14:paraId="353859EC" w14:textId="04F1F11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4DDE8D19" w14:textId="50BB2B2A"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6DD7D42B" w14:textId="3773D75B"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0BF35888" w14:textId="7219838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19803E5" w14:textId="57D7476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3C5960CC"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3D55E171"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B</w:t>
            </w:r>
          </w:p>
        </w:tc>
        <w:tc>
          <w:tcPr>
            <w:tcW w:w="1213" w:type="dxa"/>
            <w:tcBorders>
              <w:top w:val="nil"/>
              <w:left w:val="nil"/>
              <w:bottom w:val="nil"/>
              <w:right w:val="nil"/>
            </w:tcBorders>
            <w:shd w:val="clear" w:color="auto" w:fill="auto"/>
            <w:noWrap/>
            <w:vAlign w:val="center"/>
          </w:tcPr>
          <w:p w14:paraId="22B673AF" w14:textId="72F997F6"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13" w:type="dxa"/>
            <w:tcBorders>
              <w:top w:val="nil"/>
              <w:left w:val="nil"/>
              <w:bottom w:val="nil"/>
              <w:right w:val="nil"/>
            </w:tcBorders>
            <w:shd w:val="clear" w:color="auto" w:fill="auto"/>
            <w:noWrap/>
            <w:vAlign w:val="center"/>
          </w:tcPr>
          <w:p w14:paraId="4C80CCED" w14:textId="6C47A742"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213" w:type="dxa"/>
            <w:tcBorders>
              <w:top w:val="nil"/>
              <w:left w:val="nil"/>
              <w:bottom w:val="nil"/>
              <w:right w:val="single" w:sz="4" w:space="0" w:color="auto"/>
            </w:tcBorders>
            <w:shd w:val="clear" w:color="auto" w:fill="auto"/>
            <w:noWrap/>
            <w:vAlign w:val="center"/>
          </w:tcPr>
          <w:p w14:paraId="04427D76" w14:textId="13E8889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894" w:type="dxa"/>
            <w:tcBorders>
              <w:top w:val="nil"/>
              <w:left w:val="nil"/>
              <w:bottom w:val="nil"/>
              <w:right w:val="nil"/>
            </w:tcBorders>
            <w:shd w:val="clear" w:color="auto" w:fill="auto"/>
            <w:noWrap/>
            <w:vAlign w:val="center"/>
          </w:tcPr>
          <w:p w14:paraId="05D3D7C9" w14:textId="08E5C688"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2B09EB2D" w14:textId="71FE1636"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368FD6D2" w14:textId="3BA70868"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4730F5FA" w14:textId="11FA621D"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5BA9E44D"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BE337F1"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C</w:t>
            </w:r>
          </w:p>
        </w:tc>
        <w:tc>
          <w:tcPr>
            <w:tcW w:w="1213" w:type="dxa"/>
            <w:tcBorders>
              <w:top w:val="nil"/>
              <w:left w:val="nil"/>
              <w:bottom w:val="nil"/>
              <w:right w:val="nil"/>
            </w:tcBorders>
            <w:shd w:val="clear" w:color="auto" w:fill="auto"/>
            <w:noWrap/>
            <w:vAlign w:val="center"/>
          </w:tcPr>
          <w:p w14:paraId="66E5FD7A" w14:textId="5ACCB4D6"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13" w:type="dxa"/>
            <w:tcBorders>
              <w:top w:val="nil"/>
              <w:left w:val="nil"/>
              <w:bottom w:val="nil"/>
              <w:right w:val="nil"/>
            </w:tcBorders>
            <w:shd w:val="clear" w:color="auto" w:fill="auto"/>
            <w:noWrap/>
            <w:vAlign w:val="center"/>
          </w:tcPr>
          <w:p w14:paraId="203A24DD" w14:textId="7A42677B"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13" w:type="dxa"/>
            <w:tcBorders>
              <w:top w:val="nil"/>
              <w:left w:val="nil"/>
              <w:bottom w:val="nil"/>
              <w:right w:val="single" w:sz="4" w:space="0" w:color="auto"/>
            </w:tcBorders>
            <w:shd w:val="clear" w:color="auto" w:fill="auto"/>
            <w:noWrap/>
            <w:vAlign w:val="center"/>
          </w:tcPr>
          <w:p w14:paraId="71A4E934" w14:textId="6088CF8B"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894" w:type="dxa"/>
            <w:tcBorders>
              <w:top w:val="nil"/>
              <w:left w:val="nil"/>
              <w:bottom w:val="nil"/>
              <w:right w:val="nil"/>
            </w:tcBorders>
            <w:shd w:val="clear" w:color="auto" w:fill="auto"/>
            <w:noWrap/>
            <w:vAlign w:val="center"/>
          </w:tcPr>
          <w:p w14:paraId="5E937590" w14:textId="524C982A"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5A11F0F3" w14:textId="5F766E1B"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7D5579BC" w14:textId="5D6ADC65"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532C0ADF" w14:textId="6795FFAE"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26D814B3"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1FA84F44"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E</w:t>
            </w:r>
          </w:p>
        </w:tc>
        <w:tc>
          <w:tcPr>
            <w:tcW w:w="1213" w:type="dxa"/>
            <w:tcBorders>
              <w:top w:val="nil"/>
              <w:left w:val="nil"/>
              <w:bottom w:val="nil"/>
              <w:right w:val="nil"/>
            </w:tcBorders>
            <w:shd w:val="clear" w:color="auto" w:fill="auto"/>
            <w:noWrap/>
            <w:vAlign w:val="center"/>
          </w:tcPr>
          <w:p w14:paraId="16F5AFC2" w14:textId="7B8EFD0E"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213" w:type="dxa"/>
            <w:tcBorders>
              <w:top w:val="nil"/>
              <w:left w:val="nil"/>
              <w:bottom w:val="nil"/>
              <w:right w:val="nil"/>
            </w:tcBorders>
            <w:shd w:val="clear" w:color="auto" w:fill="auto"/>
            <w:noWrap/>
            <w:vAlign w:val="center"/>
          </w:tcPr>
          <w:p w14:paraId="6A6466F6"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nil"/>
              <w:right w:val="single" w:sz="4" w:space="0" w:color="auto"/>
            </w:tcBorders>
            <w:shd w:val="clear" w:color="auto" w:fill="auto"/>
            <w:noWrap/>
            <w:vAlign w:val="center"/>
          </w:tcPr>
          <w:p w14:paraId="28CEE221" w14:textId="378F0210"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894" w:type="dxa"/>
            <w:tcBorders>
              <w:top w:val="nil"/>
              <w:left w:val="nil"/>
              <w:bottom w:val="nil"/>
              <w:right w:val="nil"/>
            </w:tcBorders>
            <w:shd w:val="clear" w:color="auto" w:fill="auto"/>
            <w:noWrap/>
            <w:vAlign w:val="center"/>
          </w:tcPr>
          <w:p w14:paraId="23C5E202" w14:textId="7CF9D4E9"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797C2E48"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2C086BE8" w14:textId="1769DE41"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5A205E8C" w14:textId="53801930"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244D2F33"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4A9EE9D3"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D6ACC">
              <w:rPr>
                <w:rFonts w:ascii="Arial" w:hAnsi="Arial" w:cs="Arial"/>
                <w:b/>
                <w:bCs/>
                <w:color w:val="000000"/>
                <w:sz w:val="18"/>
                <w:szCs w:val="18"/>
                <w:lang w:val="en-GB" w:eastAsia="en-GB"/>
              </w:rPr>
              <w:t>Overall</w:t>
            </w:r>
          </w:p>
        </w:tc>
        <w:tc>
          <w:tcPr>
            <w:tcW w:w="1213" w:type="dxa"/>
            <w:tcBorders>
              <w:top w:val="single" w:sz="8" w:space="0" w:color="auto"/>
              <w:left w:val="nil"/>
              <w:bottom w:val="nil"/>
              <w:right w:val="nil"/>
            </w:tcBorders>
            <w:shd w:val="clear" w:color="auto" w:fill="auto"/>
            <w:noWrap/>
            <w:vAlign w:val="center"/>
          </w:tcPr>
          <w:p w14:paraId="4D7D127A" w14:textId="044F02F2"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13" w:type="dxa"/>
            <w:tcBorders>
              <w:top w:val="single" w:sz="8" w:space="0" w:color="auto"/>
              <w:left w:val="nil"/>
              <w:bottom w:val="nil"/>
              <w:right w:val="nil"/>
            </w:tcBorders>
            <w:shd w:val="clear" w:color="auto" w:fill="auto"/>
            <w:noWrap/>
            <w:vAlign w:val="center"/>
          </w:tcPr>
          <w:p w14:paraId="523AAF75" w14:textId="6630BD4D"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13" w:type="dxa"/>
            <w:tcBorders>
              <w:top w:val="single" w:sz="8" w:space="0" w:color="auto"/>
              <w:left w:val="nil"/>
              <w:bottom w:val="nil"/>
              <w:right w:val="single" w:sz="4" w:space="0" w:color="auto"/>
            </w:tcBorders>
            <w:shd w:val="clear" w:color="auto" w:fill="auto"/>
            <w:noWrap/>
            <w:vAlign w:val="center"/>
          </w:tcPr>
          <w:p w14:paraId="3069ECE1" w14:textId="76DB266F"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94" w:type="dxa"/>
            <w:tcBorders>
              <w:top w:val="single" w:sz="8" w:space="0" w:color="auto"/>
              <w:left w:val="nil"/>
              <w:bottom w:val="nil"/>
              <w:right w:val="nil"/>
            </w:tcBorders>
            <w:shd w:val="clear" w:color="auto" w:fill="auto"/>
            <w:noWrap/>
            <w:vAlign w:val="center"/>
          </w:tcPr>
          <w:p w14:paraId="6AB13141" w14:textId="252BD7AE"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single" w:sz="8" w:space="0" w:color="auto"/>
              <w:left w:val="nil"/>
              <w:bottom w:val="nil"/>
              <w:right w:val="nil"/>
            </w:tcBorders>
            <w:shd w:val="clear" w:color="auto" w:fill="auto"/>
            <w:noWrap/>
            <w:vAlign w:val="center"/>
          </w:tcPr>
          <w:p w14:paraId="2ABB6953" w14:textId="1DFDF493"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single" w:sz="8" w:space="0" w:color="auto"/>
              <w:left w:val="single" w:sz="4" w:space="0" w:color="auto"/>
              <w:bottom w:val="single" w:sz="8" w:space="0" w:color="auto"/>
              <w:right w:val="nil"/>
            </w:tcBorders>
            <w:shd w:val="clear" w:color="auto" w:fill="auto"/>
            <w:noWrap/>
            <w:vAlign w:val="center"/>
          </w:tcPr>
          <w:p w14:paraId="72C45F67" w14:textId="329C6506"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728CF2D8" w14:textId="34DC64CE"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2FD644D2" w14:textId="77777777" w:rsidTr="00B623FD">
        <w:trPr>
          <w:trHeight w:val="255"/>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40186C34"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D</w:t>
            </w:r>
          </w:p>
        </w:tc>
        <w:tc>
          <w:tcPr>
            <w:tcW w:w="1213" w:type="dxa"/>
            <w:tcBorders>
              <w:top w:val="single" w:sz="8" w:space="0" w:color="auto"/>
              <w:left w:val="nil"/>
              <w:bottom w:val="nil"/>
              <w:right w:val="nil"/>
            </w:tcBorders>
            <w:shd w:val="clear" w:color="auto" w:fill="auto"/>
            <w:noWrap/>
            <w:vAlign w:val="center"/>
          </w:tcPr>
          <w:p w14:paraId="03FBD4F8" w14:textId="505E6D01"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13" w:type="dxa"/>
            <w:tcBorders>
              <w:top w:val="single" w:sz="8" w:space="0" w:color="auto"/>
              <w:left w:val="nil"/>
              <w:bottom w:val="nil"/>
              <w:right w:val="nil"/>
            </w:tcBorders>
            <w:shd w:val="clear" w:color="auto" w:fill="auto"/>
            <w:noWrap/>
            <w:vAlign w:val="center"/>
          </w:tcPr>
          <w:p w14:paraId="6F25EBE8" w14:textId="5188A2CB"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213" w:type="dxa"/>
            <w:tcBorders>
              <w:top w:val="single" w:sz="8" w:space="0" w:color="auto"/>
              <w:left w:val="nil"/>
              <w:bottom w:val="nil"/>
              <w:right w:val="single" w:sz="4" w:space="0" w:color="auto"/>
            </w:tcBorders>
            <w:shd w:val="clear" w:color="auto" w:fill="auto"/>
            <w:noWrap/>
            <w:vAlign w:val="center"/>
          </w:tcPr>
          <w:p w14:paraId="1CD81DDE" w14:textId="01DA2103"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894" w:type="dxa"/>
            <w:tcBorders>
              <w:top w:val="single" w:sz="8" w:space="0" w:color="auto"/>
              <w:left w:val="nil"/>
              <w:bottom w:val="nil"/>
              <w:right w:val="nil"/>
            </w:tcBorders>
            <w:shd w:val="clear" w:color="auto" w:fill="auto"/>
            <w:noWrap/>
            <w:vAlign w:val="center"/>
          </w:tcPr>
          <w:p w14:paraId="29FE876B" w14:textId="5C7C75A2"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single" w:sz="8" w:space="0" w:color="auto"/>
              <w:left w:val="nil"/>
              <w:bottom w:val="nil"/>
              <w:right w:val="nil"/>
            </w:tcBorders>
            <w:shd w:val="clear" w:color="auto" w:fill="auto"/>
            <w:noWrap/>
            <w:vAlign w:val="center"/>
          </w:tcPr>
          <w:p w14:paraId="249DEF6F" w14:textId="2DB9A8E3"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59F74DD0" w14:textId="4690C88F"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7F711241" w14:textId="3B6AE35A"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46262" w:rsidRPr="005D6ACC" w14:paraId="3E237082" w14:textId="77777777" w:rsidTr="00B623FD">
        <w:trPr>
          <w:trHeight w:val="255"/>
        </w:trPr>
        <w:tc>
          <w:tcPr>
            <w:tcW w:w="1020" w:type="dxa"/>
            <w:tcBorders>
              <w:top w:val="nil"/>
              <w:left w:val="single" w:sz="8" w:space="0" w:color="auto"/>
              <w:bottom w:val="nil"/>
              <w:right w:val="single" w:sz="8" w:space="0" w:color="auto"/>
            </w:tcBorders>
            <w:shd w:val="clear" w:color="auto" w:fill="auto"/>
            <w:noWrap/>
            <w:vAlign w:val="center"/>
            <w:hideMark/>
          </w:tcPr>
          <w:p w14:paraId="4A1AF3D8" w14:textId="7777777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F</w:t>
            </w:r>
          </w:p>
        </w:tc>
        <w:tc>
          <w:tcPr>
            <w:tcW w:w="1213" w:type="dxa"/>
            <w:tcBorders>
              <w:top w:val="nil"/>
              <w:left w:val="nil"/>
              <w:bottom w:val="nil"/>
              <w:right w:val="nil"/>
            </w:tcBorders>
            <w:shd w:val="clear" w:color="auto" w:fill="auto"/>
            <w:noWrap/>
            <w:vAlign w:val="center"/>
          </w:tcPr>
          <w:p w14:paraId="07099138" w14:textId="28312CB5"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13" w:type="dxa"/>
            <w:tcBorders>
              <w:top w:val="nil"/>
              <w:left w:val="nil"/>
              <w:bottom w:val="nil"/>
              <w:right w:val="nil"/>
            </w:tcBorders>
            <w:shd w:val="clear" w:color="auto" w:fill="auto"/>
            <w:noWrap/>
            <w:vAlign w:val="center"/>
          </w:tcPr>
          <w:p w14:paraId="1514CC77" w14:textId="018CF394"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213" w:type="dxa"/>
            <w:tcBorders>
              <w:top w:val="nil"/>
              <w:left w:val="nil"/>
              <w:bottom w:val="nil"/>
              <w:right w:val="single" w:sz="4" w:space="0" w:color="auto"/>
            </w:tcBorders>
            <w:shd w:val="clear" w:color="auto" w:fill="auto"/>
            <w:noWrap/>
            <w:vAlign w:val="center"/>
          </w:tcPr>
          <w:p w14:paraId="59F4B0C5" w14:textId="17691463"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894" w:type="dxa"/>
            <w:tcBorders>
              <w:top w:val="nil"/>
              <w:left w:val="nil"/>
              <w:bottom w:val="nil"/>
              <w:right w:val="nil"/>
            </w:tcBorders>
            <w:shd w:val="clear" w:color="auto" w:fill="auto"/>
            <w:noWrap/>
            <w:vAlign w:val="center"/>
          </w:tcPr>
          <w:p w14:paraId="1B2E509B" w14:textId="2B10B15C"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nil"/>
              <w:right w:val="nil"/>
            </w:tcBorders>
            <w:shd w:val="clear" w:color="auto" w:fill="auto"/>
            <w:noWrap/>
            <w:vAlign w:val="center"/>
          </w:tcPr>
          <w:p w14:paraId="5AD71862" w14:textId="3A70E88C"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nil"/>
              <w:right w:val="nil"/>
            </w:tcBorders>
            <w:shd w:val="clear" w:color="auto" w:fill="auto"/>
            <w:noWrap/>
            <w:vAlign w:val="center"/>
          </w:tcPr>
          <w:p w14:paraId="08CF4BC9" w14:textId="18961057"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nil"/>
              <w:right w:val="single" w:sz="8" w:space="0" w:color="auto"/>
            </w:tcBorders>
            <w:shd w:val="clear" w:color="auto" w:fill="auto"/>
            <w:noWrap/>
            <w:vAlign w:val="center"/>
          </w:tcPr>
          <w:p w14:paraId="139B0BE1" w14:textId="4FFD860A" w:rsidR="00B46262" w:rsidRPr="005D6ACC" w:rsidRDefault="00B46262" w:rsidP="00B46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623FD" w:rsidRPr="005D6ACC" w14:paraId="444D9191" w14:textId="77777777" w:rsidTr="00B623FD">
        <w:trPr>
          <w:trHeight w:val="255"/>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70A006C9" w14:textId="77777777"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D6ACC">
              <w:rPr>
                <w:rFonts w:ascii="Arial" w:hAnsi="Arial" w:cs="Arial"/>
                <w:color w:val="000000"/>
                <w:sz w:val="18"/>
                <w:szCs w:val="18"/>
                <w:lang w:val="en-GB" w:eastAsia="en-GB"/>
              </w:rPr>
              <w:t>Class TGM</w:t>
            </w:r>
          </w:p>
        </w:tc>
        <w:tc>
          <w:tcPr>
            <w:tcW w:w="1213" w:type="dxa"/>
            <w:tcBorders>
              <w:top w:val="nil"/>
              <w:left w:val="nil"/>
              <w:bottom w:val="single" w:sz="8" w:space="0" w:color="auto"/>
              <w:right w:val="nil"/>
            </w:tcBorders>
            <w:shd w:val="clear" w:color="auto" w:fill="auto"/>
            <w:noWrap/>
            <w:vAlign w:val="center"/>
          </w:tcPr>
          <w:p w14:paraId="46314BE0" w14:textId="4C0BFC7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single" w:sz="8" w:space="0" w:color="auto"/>
              <w:right w:val="nil"/>
            </w:tcBorders>
            <w:shd w:val="clear" w:color="auto" w:fill="auto"/>
            <w:noWrap/>
            <w:vAlign w:val="center"/>
          </w:tcPr>
          <w:p w14:paraId="6C3897C7" w14:textId="02E0F1A5"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3" w:type="dxa"/>
            <w:tcBorders>
              <w:top w:val="nil"/>
              <w:left w:val="nil"/>
              <w:bottom w:val="single" w:sz="8" w:space="0" w:color="auto"/>
              <w:right w:val="single" w:sz="4" w:space="0" w:color="auto"/>
            </w:tcBorders>
            <w:shd w:val="clear" w:color="auto" w:fill="auto"/>
            <w:noWrap/>
            <w:vAlign w:val="center"/>
          </w:tcPr>
          <w:p w14:paraId="5223B177" w14:textId="0AA2F1F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single" w:sz="8" w:space="0" w:color="auto"/>
              <w:right w:val="nil"/>
            </w:tcBorders>
            <w:shd w:val="clear" w:color="auto" w:fill="auto"/>
            <w:noWrap/>
            <w:vAlign w:val="center"/>
          </w:tcPr>
          <w:p w14:paraId="3E5C0BF4" w14:textId="2828DB29"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4" w:type="dxa"/>
            <w:tcBorders>
              <w:top w:val="nil"/>
              <w:left w:val="nil"/>
              <w:bottom w:val="single" w:sz="8" w:space="0" w:color="auto"/>
              <w:right w:val="nil"/>
            </w:tcBorders>
            <w:shd w:val="clear" w:color="auto" w:fill="auto"/>
            <w:noWrap/>
            <w:vAlign w:val="center"/>
          </w:tcPr>
          <w:p w14:paraId="6C4374CB" w14:textId="426C833C"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2" w:type="dxa"/>
            <w:tcBorders>
              <w:top w:val="nil"/>
              <w:left w:val="single" w:sz="4" w:space="0" w:color="auto"/>
              <w:bottom w:val="single" w:sz="8" w:space="0" w:color="auto"/>
              <w:right w:val="nil"/>
            </w:tcBorders>
            <w:shd w:val="clear" w:color="auto" w:fill="auto"/>
            <w:noWrap/>
            <w:vAlign w:val="center"/>
          </w:tcPr>
          <w:p w14:paraId="72E471D3" w14:textId="57F36D19"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35" w:type="dxa"/>
            <w:tcBorders>
              <w:top w:val="nil"/>
              <w:left w:val="nil"/>
              <w:bottom w:val="single" w:sz="8" w:space="0" w:color="auto"/>
              <w:right w:val="single" w:sz="8" w:space="0" w:color="auto"/>
            </w:tcBorders>
            <w:shd w:val="clear" w:color="auto" w:fill="auto"/>
            <w:noWrap/>
            <w:vAlign w:val="center"/>
          </w:tcPr>
          <w:p w14:paraId="40EFA303" w14:textId="30AD4794" w:rsidR="005D6ACC" w:rsidRPr="005D6ACC" w:rsidRDefault="005D6ACC" w:rsidP="005D6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101619D1" w14:textId="77777777" w:rsidR="006E7251" w:rsidRDefault="006E7251" w:rsidP="006E7251">
      <w:pPr>
        <w:pStyle w:val="Heading1"/>
        <w:numPr>
          <w:ilvl w:val="0"/>
          <w:numId w:val="0"/>
        </w:numPr>
        <w:ind w:left="360"/>
        <w:rPr>
          <w:lang w:val="en-CA"/>
        </w:rPr>
      </w:pPr>
    </w:p>
    <w:p w14:paraId="5F0CF8E4" w14:textId="565B854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0E21330" w14:textId="77777777" w:rsidR="007920BE" w:rsidRPr="005B217D" w:rsidRDefault="007920BE" w:rsidP="007920BE">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D704" w14:textId="77777777" w:rsidR="00E36841" w:rsidRDefault="00E36841">
      <w:r>
        <w:separator/>
      </w:r>
    </w:p>
  </w:endnote>
  <w:endnote w:type="continuationSeparator" w:id="0">
    <w:p w14:paraId="5AEF3C32" w14:textId="77777777" w:rsidR="00E36841" w:rsidRDefault="00E36841">
      <w:r>
        <w:continuationSeparator/>
      </w:r>
    </w:p>
  </w:endnote>
  <w:endnote w:type="continuationNotice" w:id="1">
    <w:p w14:paraId="41803691" w14:textId="77777777" w:rsidR="00743038" w:rsidRDefault="007430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A289B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60F9">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F6440" w14:textId="77777777" w:rsidR="00E36841" w:rsidRDefault="00E36841">
      <w:r>
        <w:separator/>
      </w:r>
    </w:p>
  </w:footnote>
  <w:footnote w:type="continuationSeparator" w:id="0">
    <w:p w14:paraId="0AC140CD" w14:textId="77777777" w:rsidR="00E36841" w:rsidRDefault="00E36841">
      <w:r>
        <w:continuationSeparator/>
      </w:r>
    </w:p>
  </w:footnote>
  <w:footnote w:type="continuationNotice" w:id="1">
    <w:p w14:paraId="487B6A78" w14:textId="77777777" w:rsidR="00743038" w:rsidRDefault="007430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3A1FEF"/>
    <w:multiLevelType w:val="hybridMultilevel"/>
    <w:tmpl w:val="AC885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840303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481089">
    <w:abstractNumId w:val="10"/>
  </w:num>
  <w:num w:numId="3" w16cid:durableId="1874224772">
    <w:abstractNumId w:val="9"/>
  </w:num>
  <w:num w:numId="4" w16cid:durableId="1673293481">
    <w:abstractNumId w:val="7"/>
  </w:num>
  <w:num w:numId="5" w16cid:durableId="441072026">
    <w:abstractNumId w:val="8"/>
  </w:num>
  <w:num w:numId="6" w16cid:durableId="135219010">
    <w:abstractNumId w:val="4"/>
  </w:num>
  <w:num w:numId="7" w16cid:durableId="1581477240">
    <w:abstractNumId w:val="6"/>
  </w:num>
  <w:num w:numId="8" w16cid:durableId="361520389">
    <w:abstractNumId w:val="4"/>
  </w:num>
  <w:num w:numId="9" w16cid:durableId="466969164">
    <w:abstractNumId w:val="1"/>
  </w:num>
  <w:num w:numId="10" w16cid:durableId="1446969806">
    <w:abstractNumId w:val="3"/>
  </w:num>
  <w:num w:numId="11" w16cid:durableId="322516590">
    <w:abstractNumId w:val="2"/>
  </w:num>
  <w:num w:numId="12" w16cid:durableId="1190022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01A6"/>
    <w:rsid w:val="00092AF4"/>
    <w:rsid w:val="00094479"/>
    <w:rsid w:val="000962AC"/>
    <w:rsid w:val="000A030F"/>
    <w:rsid w:val="000B0C0F"/>
    <w:rsid w:val="000B1C6B"/>
    <w:rsid w:val="000B4142"/>
    <w:rsid w:val="000B4FF9"/>
    <w:rsid w:val="000C09AC"/>
    <w:rsid w:val="000C228D"/>
    <w:rsid w:val="000C2BAA"/>
    <w:rsid w:val="000C5F4C"/>
    <w:rsid w:val="000C6351"/>
    <w:rsid w:val="000E00F3"/>
    <w:rsid w:val="000E3DCF"/>
    <w:rsid w:val="000E558E"/>
    <w:rsid w:val="000E6E9D"/>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50DD"/>
    <w:rsid w:val="001E0248"/>
    <w:rsid w:val="001E02BE"/>
    <w:rsid w:val="001E3B37"/>
    <w:rsid w:val="001F065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5DAB"/>
    <w:rsid w:val="002610A0"/>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7EA"/>
    <w:rsid w:val="003E6F90"/>
    <w:rsid w:val="003E73ED"/>
    <w:rsid w:val="003F5D0F"/>
    <w:rsid w:val="00412240"/>
    <w:rsid w:val="00414101"/>
    <w:rsid w:val="004219CF"/>
    <w:rsid w:val="004234F0"/>
    <w:rsid w:val="00427EEC"/>
    <w:rsid w:val="00433DDB"/>
    <w:rsid w:val="0043513C"/>
    <w:rsid w:val="00435A29"/>
    <w:rsid w:val="00437619"/>
    <w:rsid w:val="00465A1E"/>
    <w:rsid w:val="00466817"/>
    <w:rsid w:val="0049445A"/>
    <w:rsid w:val="004957D9"/>
    <w:rsid w:val="004A2A63"/>
    <w:rsid w:val="004B210C"/>
    <w:rsid w:val="004B6170"/>
    <w:rsid w:val="004D405F"/>
    <w:rsid w:val="004E4F4F"/>
    <w:rsid w:val="004E6789"/>
    <w:rsid w:val="004F61E3"/>
    <w:rsid w:val="00502E10"/>
    <w:rsid w:val="0050354E"/>
    <w:rsid w:val="0051015C"/>
    <w:rsid w:val="00510E2E"/>
    <w:rsid w:val="00516CF1"/>
    <w:rsid w:val="00525336"/>
    <w:rsid w:val="00531AE9"/>
    <w:rsid w:val="00536188"/>
    <w:rsid w:val="00550A66"/>
    <w:rsid w:val="00567EC7"/>
    <w:rsid w:val="00570013"/>
    <w:rsid w:val="005753EC"/>
    <w:rsid w:val="005801A2"/>
    <w:rsid w:val="005952A5"/>
    <w:rsid w:val="005A21A1"/>
    <w:rsid w:val="005A33A1"/>
    <w:rsid w:val="005B217D"/>
    <w:rsid w:val="005C385F"/>
    <w:rsid w:val="005C7C26"/>
    <w:rsid w:val="005D6ACC"/>
    <w:rsid w:val="005E09F1"/>
    <w:rsid w:val="005E1AC6"/>
    <w:rsid w:val="005E3F2B"/>
    <w:rsid w:val="005F6F1B"/>
    <w:rsid w:val="006131F4"/>
    <w:rsid w:val="00615995"/>
    <w:rsid w:val="00616155"/>
    <w:rsid w:val="0062148E"/>
    <w:rsid w:val="00624B33"/>
    <w:rsid w:val="0063041A"/>
    <w:rsid w:val="00630AA2"/>
    <w:rsid w:val="00631D8B"/>
    <w:rsid w:val="00646707"/>
    <w:rsid w:val="00657F7E"/>
    <w:rsid w:val="00662E58"/>
    <w:rsid w:val="006637F2"/>
    <w:rsid w:val="006642A5"/>
    <w:rsid w:val="00664DCF"/>
    <w:rsid w:val="006809BA"/>
    <w:rsid w:val="006A0E5C"/>
    <w:rsid w:val="006A48E6"/>
    <w:rsid w:val="006C5D39"/>
    <w:rsid w:val="006D6D9B"/>
    <w:rsid w:val="006E2810"/>
    <w:rsid w:val="006E5417"/>
    <w:rsid w:val="006E7251"/>
    <w:rsid w:val="006F0794"/>
    <w:rsid w:val="006F2822"/>
    <w:rsid w:val="006F6E01"/>
    <w:rsid w:val="006F7528"/>
    <w:rsid w:val="007023DE"/>
    <w:rsid w:val="00712F60"/>
    <w:rsid w:val="00720E3B"/>
    <w:rsid w:val="00735925"/>
    <w:rsid w:val="00743038"/>
    <w:rsid w:val="0074393F"/>
    <w:rsid w:val="00745F6B"/>
    <w:rsid w:val="0075175B"/>
    <w:rsid w:val="0075585E"/>
    <w:rsid w:val="00770571"/>
    <w:rsid w:val="007768FF"/>
    <w:rsid w:val="007824D3"/>
    <w:rsid w:val="007920BE"/>
    <w:rsid w:val="00796EE3"/>
    <w:rsid w:val="007A7D29"/>
    <w:rsid w:val="007B4AB8"/>
    <w:rsid w:val="007C081C"/>
    <w:rsid w:val="007D1181"/>
    <w:rsid w:val="007E01A3"/>
    <w:rsid w:val="007F1F8B"/>
    <w:rsid w:val="007F6205"/>
    <w:rsid w:val="007F67A1"/>
    <w:rsid w:val="00801A7B"/>
    <w:rsid w:val="00811C05"/>
    <w:rsid w:val="008206C8"/>
    <w:rsid w:val="0086387C"/>
    <w:rsid w:val="008711BB"/>
    <w:rsid w:val="00874A6C"/>
    <w:rsid w:val="00876C65"/>
    <w:rsid w:val="00880D45"/>
    <w:rsid w:val="00882F72"/>
    <w:rsid w:val="00893DC4"/>
    <w:rsid w:val="008A147E"/>
    <w:rsid w:val="008A4B4C"/>
    <w:rsid w:val="008C239F"/>
    <w:rsid w:val="008D1E3D"/>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60F9"/>
    <w:rsid w:val="009A523D"/>
    <w:rsid w:val="009B02A1"/>
    <w:rsid w:val="009B3361"/>
    <w:rsid w:val="009B7F3F"/>
    <w:rsid w:val="009D0D5F"/>
    <w:rsid w:val="009D7CE6"/>
    <w:rsid w:val="009E448E"/>
    <w:rsid w:val="009E649C"/>
    <w:rsid w:val="009F496B"/>
    <w:rsid w:val="00A01439"/>
    <w:rsid w:val="00A02E61"/>
    <w:rsid w:val="00A05CFF"/>
    <w:rsid w:val="00A13048"/>
    <w:rsid w:val="00A1381E"/>
    <w:rsid w:val="00A142A1"/>
    <w:rsid w:val="00A46843"/>
    <w:rsid w:val="00A56B97"/>
    <w:rsid w:val="00A6093D"/>
    <w:rsid w:val="00A703CE"/>
    <w:rsid w:val="00A72017"/>
    <w:rsid w:val="00A767DC"/>
    <w:rsid w:val="00A76A6D"/>
    <w:rsid w:val="00A83253"/>
    <w:rsid w:val="00A83ED7"/>
    <w:rsid w:val="00AA6E84"/>
    <w:rsid w:val="00AB1A1C"/>
    <w:rsid w:val="00AB4721"/>
    <w:rsid w:val="00AB7405"/>
    <w:rsid w:val="00AD05A8"/>
    <w:rsid w:val="00AE341B"/>
    <w:rsid w:val="00AF51C5"/>
    <w:rsid w:val="00B01905"/>
    <w:rsid w:val="00B07CA7"/>
    <w:rsid w:val="00B1279A"/>
    <w:rsid w:val="00B3640F"/>
    <w:rsid w:val="00B4194A"/>
    <w:rsid w:val="00B437E8"/>
    <w:rsid w:val="00B46262"/>
    <w:rsid w:val="00B51F2C"/>
    <w:rsid w:val="00B5222E"/>
    <w:rsid w:val="00B53179"/>
    <w:rsid w:val="00B532EA"/>
    <w:rsid w:val="00B56584"/>
    <w:rsid w:val="00B57A23"/>
    <w:rsid w:val="00B600CD"/>
    <w:rsid w:val="00B61C96"/>
    <w:rsid w:val="00B623FD"/>
    <w:rsid w:val="00B73A2A"/>
    <w:rsid w:val="00B75A51"/>
    <w:rsid w:val="00B827C6"/>
    <w:rsid w:val="00B94B06"/>
    <w:rsid w:val="00B94C28"/>
    <w:rsid w:val="00BA78B2"/>
    <w:rsid w:val="00BC10BA"/>
    <w:rsid w:val="00BC5AFD"/>
    <w:rsid w:val="00C00DDE"/>
    <w:rsid w:val="00C01200"/>
    <w:rsid w:val="00C03BE0"/>
    <w:rsid w:val="00C04F43"/>
    <w:rsid w:val="00C05271"/>
    <w:rsid w:val="00C0609D"/>
    <w:rsid w:val="00C115AB"/>
    <w:rsid w:val="00C26CCB"/>
    <w:rsid w:val="00C30249"/>
    <w:rsid w:val="00C30DED"/>
    <w:rsid w:val="00C35F74"/>
    <w:rsid w:val="00C3723B"/>
    <w:rsid w:val="00C42466"/>
    <w:rsid w:val="00C51B0A"/>
    <w:rsid w:val="00C606C9"/>
    <w:rsid w:val="00C80288"/>
    <w:rsid w:val="00C836F0"/>
    <w:rsid w:val="00C84003"/>
    <w:rsid w:val="00C85042"/>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2CE8"/>
    <w:rsid w:val="00DE2D86"/>
    <w:rsid w:val="00DE6B43"/>
    <w:rsid w:val="00E041C6"/>
    <w:rsid w:val="00E11923"/>
    <w:rsid w:val="00E207D8"/>
    <w:rsid w:val="00E262D4"/>
    <w:rsid w:val="00E36250"/>
    <w:rsid w:val="00E36841"/>
    <w:rsid w:val="00E47F2D"/>
    <w:rsid w:val="00E50057"/>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2D96"/>
    <w:rsid w:val="00F601A0"/>
    <w:rsid w:val="00F712E9"/>
    <w:rsid w:val="00F73032"/>
    <w:rsid w:val="00F848FC"/>
    <w:rsid w:val="00F906F6"/>
    <w:rsid w:val="00F9282A"/>
    <w:rsid w:val="00F96BAD"/>
    <w:rsid w:val="00FA139D"/>
    <w:rsid w:val="00FA60F5"/>
    <w:rsid w:val="00FB0E84"/>
    <w:rsid w:val="00FB3389"/>
    <w:rsid w:val="00FB503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E09F1"/>
    <w:pPr>
      <w:spacing w:before="0" w:after="200"/>
    </w:pPr>
    <w:rPr>
      <w:i/>
      <w:iCs/>
      <w:color w:val="44546A" w:themeColor="text2"/>
      <w:sz w:val="18"/>
      <w:szCs w:val="18"/>
    </w:rPr>
  </w:style>
  <w:style w:type="paragraph" w:styleId="ListParagraph">
    <w:name w:val="List Paragraph"/>
    <w:basedOn w:val="Normal"/>
    <w:uiPriority w:val="34"/>
    <w:qFormat/>
    <w:rsid w:val="005E09F1"/>
    <w:pPr>
      <w:ind w:left="720"/>
      <w:contextualSpacing/>
    </w:pPr>
  </w:style>
  <w:style w:type="character" w:styleId="CommentReference">
    <w:name w:val="annotation reference"/>
    <w:basedOn w:val="DefaultParagraphFont"/>
    <w:rsid w:val="00880D45"/>
    <w:rPr>
      <w:sz w:val="16"/>
      <w:szCs w:val="16"/>
    </w:rPr>
  </w:style>
  <w:style w:type="paragraph" w:styleId="CommentText">
    <w:name w:val="annotation text"/>
    <w:basedOn w:val="Normal"/>
    <w:link w:val="CommentTextChar"/>
    <w:rsid w:val="00880D45"/>
    <w:rPr>
      <w:sz w:val="20"/>
    </w:rPr>
  </w:style>
  <w:style w:type="character" w:customStyle="1" w:styleId="CommentTextChar">
    <w:name w:val="Comment Text Char"/>
    <w:basedOn w:val="DefaultParagraphFont"/>
    <w:link w:val="CommentText"/>
    <w:rsid w:val="00880D45"/>
  </w:style>
  <w:style w:type="paragraph" w:styleId="CommentSubject">
    <w:name w:val="annotation subject"/>
    <w:basedOn w:val="CommentText"/>
    <w:next w:val="CommentText"/>
    <w:link w:val="CommentSubjectChar"/>
    <w:semiHidden/>
    <w:unhideWhenUsed/>
    <w:rsid w:val="00880D45"/>
    <w:rPr>
      <w:b/>
      <w:bCs/>
    </w:rPr>
  </w:style>
  <w:style w:type="character" w:customStyle="1" w:styleId="CommentSubjectChar">
    <w:name w:val="Comment Subject Char"/>
    <w:basedOn w:val="CommentTextChar"/>
    <w:link w:val="CommentSubject"/>
    <w:semiHidden/>
    <w:rsid w:val="00880D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95225">
      <w:bodyDiv w:val="1"/>
      <w:marLeft w:val="0"/>
      <w:marRight w:val="0"/>
      <w:marTop w:val="0"/>
      <w:marBottom w:val="0"/>
      <w:divBdr>
        <w:top w:val="none" w:sz="0" w:space="0" w:color="auto"/>
        <w:left w:val="none" w:sz="0" w:space="0" w:color="auto"/>
        <w:bottom w:val="none" w:sz="0" w:space="0" w:color="auto"/>
        <w:right w:val="none" w:sz="0" w:space="0" w:color="auto"/>
      </w:divBdr>
    </w:div>
    <w:div w:id="1405105849">
      <w:bodyDiv w:val="1"/>
      <w:marLeft w:val="0"/>
      <w:marRight w:val="0"/>
      <w:marTop w:val="0"/>
      <w:marBottom w:val="0"/>
      <w:divBdr>
        <w:top w:val="none" w:sz="0" w:space="0" w:color="auto"/>
        <w:left w:val="none" w:sz="0" w:space="0" w:color="auto"/>
        <w:bottom w:val="none" w:sz="0" w:space="0" w:color="auto"/>
        <w:right w:val="none" w:sz="0" w:space="0" w:color="auto"/>
      </w:divBdr>
    </w:div>
    <w:div w:id="15726896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398582">
      <w:bodyDiv w:val="1"/>
      <w:marLeft w:val="0"/>
      <w:marRight w:val="0"/>
      <w:marTop w:val="0"/>
      <w:marBottom w:val="0"/>
      <w:divBdr>
        <w:top w:val="none" w:sz="0" w:space="0" w:color="auto"/>
        <w:left w:val="none" w:sz="0" w:space="0" w:color="auto"/>
        <w:bottom w:val="none" w:sz="0" w:space="0" w:color="auto"/>
        <w:right w:val="none" w:sz="0" w:space="0" w:color="auto"/>
      </w:divBdr>
    </w:div>
    <w:div w:id="1914661205">
      <w:bodyDiv w:val="1"/>
      <w:marLeft w:val="0"/>
      <w:marRight w:val="0"/>
      <w:marTop w:val="0"/>
      <w:marBottom w:val="0"/>
      <w:divBdr>
        <w:top w:val="none" w:sz="0" w:space="0" w:color="auto"/>
        <w:left w:val="none" w:sz="0" w:space="0" w:color="auto"/>
        <w:bottom w:val="none" w:sz="0" w:space="0" w:color="auto"/>
        <w:right w:val="none" w:sz="0" w:space="0" w:color="auto"/>
      </w:divBdr>
    </w:div>
    <w:div w:id="206471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891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8</cp:revision>
  <cp:lastPrinted>1900-01-01T08:00:00Z</cp:lastPrinted>
  <dcterms:created xsi:type="dcterms:W3CDTF">2024-01-09T11:54:00Z</dcterms:created>
  <dcterms:modified xsi:type="dcterms:W3CDTF">2024-01-10T10:54:00Z</dcterms:modified>
</cp:coreProperties>
</file>