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E2192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F07A6B">
              <w:rPr>
                <w:lang w:val="en-CA"/>
              </w:rPr>
              <w:t>0077-v1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E9445D" w:rsidR="00E61DAC" w:rsidRPr="008A5C5F" w:rsidRDefault="008A5C5F" w:rsidP="009D7CE6">
            <w:pPr>
              <w:spacing w:before="60" w:after="60"/>
              <w:rPr>
                <w:b/>
                <w:szCs w:val="22"/>
                <w:lang w:val="en-CA"/>
              </w:rPr>
            </w:pPr>
            <w:r w:rsidRPr="008A5C5F">
              <w:rPr>
                <w:b/>
                <w:color w:val="000000"/>
                <w:szCs w:val="22"/>
              </w:rPr>
              <w:t xml:space="preserve">EE2-2.9: Extended search areas for </w:t>
            </w:r>
            <w:proofErr w:type="spellStart"/>
            <w:r w:rsidRPr="008A5C5F">
              <w:rPr>
                <w:b/>
                <w:color w:val="000000"/>
                <w:szCs w:val="22"/>
              </w:rPr>
              <w:t>IntraTMP</w:t>
            </w:r>
            <w:proofErr w:type="spellEnd"/>
            <w:r w:rsidRPr="008A5C5F">
              <w:rPr>
                <w:b/>
                <w:color w:val="000000"/>
                <w:szCs w:val="22"/>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77777777" w:rsidR="008A5C5F" w:rsidRDefault="008A5C5F" w:rsidP="008A5C5F">
            <w:pPr>
              <w:spacing w:before="60" w:after="60"/>
              <w:rPr>
                <w:szCs w:val="22"/>
                <w:lang w:val="en-CA"/>
              </w:rPr>
            </w:pPr>
            <w:r>
              <w:rPr>
                <w:szCs w:val="22"/>
                <w:lang w:val="en-CA"/>
              </w:rPr>
              <w:t>Yue Yu, Lai Zhang, Fan Wang</w:t>
            </w:r>
            <w:r w:rsidRPr="005B217D">
              <w:rPr>
                <w:szCs w:val="22"/>
                <w:lang w:val="en-CA"/>
              </w:rPr>
              <w:br/>
            </w:r>
            <w:r>
              <w:rPr>
                <w:szCs w:val="22"/>
                <w:lang w:val="en-CA"/>
              </w:rPr>
              <w:t xml:space="preserve">Jonathan Gan, </w:t>
            </w:r>
            <w:proofErr w:type="spellStart"/>
            <w:r>
              <w:rPr>
                <w:szCs w:val="22"/>
                <w:lang w:val="en-CA"/>
              </w:rPr>
              <w:t>Haoping</w:t>
            </w:r>
            <w:proofErr w:type="spellEnd"/>
            <w:r>
              <w:rPr>
                <w:szCs w:val="22"/>
                <w:lang w:val="en-CA"/>
              </w:rPr>
              <w:t xml:space="preserve"> Yu, </w:t>
            </w:r>
            <w:proofErr w:type="spellStart"/>
            <w:r>
              <w:rPr>
                <w:szCs w:val="22"/>
                <w:lang w:val="en-CA"/>
              </w:rPr>
              <w:t>Luhang</w:t>
            </w:r>
            <w:proofErr w:type="spellEnd"/>
            <w:r>
              <w:rPr>
                <w:szCs w:val="22"/>
                <w:lang w:val="en-CA"/>
              </w:rPr>
              <w:t xml:space="preserve"> Xu</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186151BC" w14:textId="3BE603BB" w:rsidR="008A5C5F" w:rsidRDefault="008A5C5F" w:rsidP="008A5C5F">
            <w:pPr>
              <w:spacing w:before="60" w:after="60"/>
              <w:rPr>
                <w:szCs w:val="22"/>
                <w:lang w:val="en-CA"/>
              </w:rPr>
            </w:pPr>
            <w:proofErr w:type="spellStart"/>
            <w:r>
              <w:rPr>
                <w:szCs w:val="22"/>
                <w:lang w:val="en-CA"/>
              </w:rPr>
              <w:t>Yanzhuo</w:t>
            </w:r>
            <w:proofErr w:type="spellEnd"/>
            <w:r>
              <w:rPr>
                <w:szCs w:val="22"/>
                <w:lang w:val="en-CA"/>
              </w:rPr>
              <w:t xml:space="preserve"> Ma, </w:t>
            </w:r>
            <w:proofErr w:type="spellStart"/>
            <w:r>
              <w:rPr>
                <w:szCs w:val="22"/>
                <w:lang w:val="en-CA"/>
              </w:rPr>
              <w:t>Hongli</w:t>
            </w:r>
            <w:proofErr w:type="spellEnd"/>
            <w:r>
              <w:rPr>
                <w:szCs w:val="22"/>
                <w:lang w:val="en-CA"/>
              </w:rPr>
              <w:t xml:space="preserve"> Zhang, </w:t>
            </w: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 xml:space="preserve">, </w:t>
            </w:r>
            <w:proofErr w:type="spellStart"/>
            <w:r>
              <w:rPr>
                <w:szCs w:val="22"/>
                <w:lang w:val="en-CA"/>
              </w:rPr>
              <w:t>Fuzheng</w:t>
            </w:r>
            <w:proofErr w:type="spellEnd"/>
            <w:r>
              <w:rPr>
                <w:szCs w:val="22"/>
                <w:lang w:val="en-CA"/>
              </w:rPr>
              <w:t xml:space="preserve"> Yang</w:t>
            </w:r>
            <w:r w:rsidR="0089015E">
              <w:rPr>
                <w:szCs w:val="22"/>
                <w:lang w:val="en-CA"/>
              </w:rPr>
              <w:t xml:space="preserve">, </w:t>
            </w:r>
            <w:proofErr w:type="spellStart"/>
            <w:r w:rsidR="0089015E">
              <w:rPr>
                <w:szCs w:val="22"/>
                <w:lang w:val="en-CA"/>
              </w:rPr>
              <w:t>Xinbo</w:t>
            </w:r>
            <w:proofErr w:type="spellEnd"/>
            <w:r w:rsidR="0089015E">
              <w:rPr>
                <w:szCs w:val="22"/>
                <w:lang w:val="en-CA"/>
              </w:rPr>
              <w:t xml:space="preserve"> Gao, </w:t>
            </w:r>
            <w:proofErr w:type="spellStart"/>
            <w:r w:rsidR="0089015E">
              <w:rPr>
                <w:szCs w:val="22"/>
                <w:lang w:val="en-CA"/>
              </w:rPr>
              <w:t>Nannan</w:t>
            </w:r>
            <w:proofErr w:type="spellEnd"/>
            <w:r w:rsidR="0089015E">
              <w:rPr>
                <w:szCs w:val="22"/>
                <w:lang w:val="en-CA"/>
              </w:rPr>
              <w:t xml:space="preserve"> Wang</w:t>
            </w:r>
            <w:r>
              <w:rPr>
                <w:szCs w:val="22"/>
                <w:lang w:val="en-CA"/>
              </w:rPr>
              <w:t xml:space="preserve"> (</w:t>
            </w:r>
            <w:proofErr w:type="spellStart"/>
            <w:r>
              <w:rPr>
                <w:szCs w:val="22"/>
                <w:lang w:val="en-CA"/>
              </w:rPr>
              <w:t>Xidian</w:t>
            </w:r>
            <w:proofErr w:type="spellEnd"/>
            <w:r>
              <w:rPr>
                <w:szCs w:val="22"/>
                <w:lang w:val="en-CA"/>
              </w:rPr>
              <w:t xml:space="preserve"> University)</w:t>
            </w:r>
          </w:p>
          <w:p w14:paraId="6889651F" w14:textId="77777777" w:rsidR="008A5C5F" w:rsidRDefault="008A5C5F" w:rsidP="008A5C5F">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Ning Yan, </w:t>
            </w:r>
            <w:proofErr w:type="spellStart"/>
            <w:r>
              <w:rPr>
                <w:szCs w:val="22"/>
                <w:lang w:val="en-CA"/>
              </w:rPr>
              <w:t>Changyue</w:t>
            </w:r>
            <w:proofErr w:type="spellEnd"/>
            <w:r>
              <w:rPr>
                <w:szCs w:val="22"/>
                <w:lang w:val="en-CA"/>
              </w:rPr>
              <w:t xml:space="preserve"> Ma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w:t>
            </w:r>
            <w:proofErr w:type="spellStart"/>
            <w:r>
              <w:rPr>
                <w:szCs w:val="22"/>
                <w:lang w:val="en-CA"/>
              </w:rPr>
              <w:t>Kuo</w:t>
            </w:r>
            <w:proofErr w:type="spellEnd"/>
            <w:r>
              <w:rPr>
                <w:szCs w:val="22"/>
                <w:lang w:val="en-CA"/>
              </w:rPr>
              <w:t xml:space="preserve">, Wei Chen, </w:t>
            </w:r>
            <w:proofErr w:type="spellStart"/>
            <w:r>
              <w:rPr>
                <w:szCs w:val="22"/>
                <w:lang w:val="en-CA"/>
              </w:rPr>
              <w:t>Xianglin</w:t>
            </w:r>
            <w:proofErr w:type="spellEnd"/>
            <w:r>
              <w:rPr>
                <w:szCs w:val="22"/>
                <w:lang w:val="en-CA"/>
              </w:rPr>
              <w:t xml:space="preserve"> Wang (Kwai, Inc.)</w:t>
            </w:r>
          </w:p>
          <w:p w14:paraId="49D81240" w14:textId="2FEA2D35"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2718BE22" w14:textId="77777777" w:rsidR="008A5C5F" w:rsidRDefault="00000000" w:rsidP="008A5C5F">
            <w:pPr>
              <w:spacing w:before="60" w:after="60"/>
              <w:rPr>
                <w:rStyle w:val="Hyperlink"/>
              </w:rPr>
            </w:pPr>
            <w:hyperlink r:id="rId10" w:history="1">
              <w:r w:rsidR="008A5C5F">
                <w:rPr>
                  <w:rStyle w:val="Hyperlink"/>
                  <w:rFonts w:hint="eastAsia"/>
                  <w:lang w:val="en-CA"/>
                </w:rPr>
                <w:t>yzma</w:t>
              </w:r>
              <w:r w:rsidR="008A5C5F">
                <w:rPr>
                  <w:rStyle w:val="Hyperlink"/>
                  <w:lang w:val="en-CA"/>
                </w:rPr>
                <w:t>@</w:t>
              </w:r>
              <w:r w:rsidR="008A5C5F">
                <w:rPr>
                  <w:rStyle w:val="Hyperlink"/>
                  <w:rFonts w:hint="eastAsia"/>
                  <w:lang w:val="en-CA"/>
                </w:rPr>
                <w:t>mail.xidian.edu.cn</w:t>
              </w:r>
            </w:hyperlink>
          </w:p>
          <w:p w14:paraId="7B42F245" w14:textId="77777777" w:rsidR="008A5C5F" w:rsidRDefault="00000000" w:rsidP="008A5C5F">
            <w:pPr>
              <w:spacing w:before="60" w:after="60"/>
              <w:rPr>
                <w:szCs w:val="22"/>
                <w:lang w:val="en-CA"/>
              </w:rPr>
            </w:pPr>
            <w:hyperlink r:id="rId11" w:history="1">
              <w:r w:rsidR="008A5C5F" w:rsidRPr="00DC3077">
                <w:rPr>
                  <w:rStyle w:val="Hyperlink"/>
                  <w:szCs w:val="22"/>
                  <w:lang w:val="en-CA"/>
                </w:rPr>
                <w:t>xiaoyuxiu@kwai.com</w:t>
              </w:r>
            </w:hyperlink>
          </w:p>
          <w:p w14:paraId="32C2ABFD" w14:textId="52552BB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4CE4D5" w:rsidR="00E61DAC" w:rsidRPr="005B217D" w:rsidRDefault="008A5C5F">
            <w:pPr>
              <w:spacing w:before="60" w:after="60"/>
              <w:rPr>
                <w:szCs w:val="22"/>
                <w:lang w:val="en-CA"/>
              </w:rPr>
            </w:pPr>
            <w:r>
              <w:rPr>
                <w:szCs w:val="22"/>
                <w:lang w:val="en-CA"/>
              </w:rPr>
              <w:t xml:space="preserve">OPPO, </w:t>
            </w:r>
            <w:proofErr w:type="spellStart"/>
            <w:r>
              <w:rPr>
                <w:szCs w:val="22"/>
                <w:lang w:val="en-CA"/>
              </w:rPr>
              <w:t>Xidian</w:t>
            </w:r>
            <w:proofErr w:type="spellEnd"/>
            <w:r>
              <w:rPr>
                <w:szCs w:val="22"/>
                <w:lang w:val="en-CA"/>
              </w:rPr>
              <w:t>, Kwai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4D1AF49D" w:rsidR="0035262A" w:rsidRDefault="0035262A" w:rsidP="0035262A">
      <w:pPr>
        <w:rPr>
          <w:lang w:val="en-CA" w:eastAsia="zh-CN"/>
        </w:rPr>
      </w:pPr>
      <w:r>
        <w:rPr>
          <w:lang w:val="en-CA" w:eastAsia="zh-CN"/>
        </w:rPr>
        <w:t xml:space="preserve">This contribution reports the EE2-2.9 test results for the extended </w:t>
      </w:r>
      <w:proofErr w:type="spellStart"/>
      <w:r>
        <w:rPr>
          <w:lang w:val="en-CA" w:eastAsia="zh-CN"/>
        </w:rPr>
        <w:t>IntraTMP</w:t>
      </w:r>
      <w:proofErr w:type="spellEnd"/>
      <w:r>
        <w:rPr>
          <w:lang w:val="en-CA" w:eastAsia="zh-CN"/>
        </w:rPr>
        <w:t xml:space="preserve"> search areas. </w:t>
      </w: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The corresponding reference block with the best matched template is selected as the prediction block for </w:t>
      </w:r>
      <w:r w:rsidR="00DE05A4">
        <w:rPr>
          <w:lang w:val="en-CA" w:eastAsia="zh-CN"/>
        </w:rPr>
        <w:t xml:space="preserve">coding </w:t>
      </w:r>
      <w:r>
        <w:rPr>
          <w:lang w:val="en-CA" w:eastAsia="zh-CN"/>
        </w:rPr>
        <w:t xml:space="preserve">the current block. </w:t>
      </w:r>
      <w:r w:rsidRPr="00C755B3">
        <w:rPr>
          <w:lang w:val="en-CA"/>
        </w:rPr>
        <w:t xml:space="preserve">Currently, the search region of the </w:t>
      </w:r>
      <w:proofErr w:type="spellStart"/>
      <w:r w:rsidRPr="00C755B3">
        <w:rPr>
          <w:lang w:val="en-CA"/>
        </w:rPr>
        <w:t>intraTMP</w:t>
      </w:r>
      <w:proofErr w:type="spellEnd"/>
      <w:r w:rsidRPr="00C755B3">
        <w:rPr>
          <w:lang w:val="en-CA"/>
        </w:rPr>
        <w:t xml:space="preserve"> mode is composed of four different </w:t>
      </w:r>
      <w:r>
        <w:rPr>
          <w:lang w:val="en-CA"/>
        </w:rPr>
        <w:t>area</w:t>
      </w:r>
      <w:r w:rsidRPr="00C755B3">
        <w:rPr>
          <w:lang w:val="en-CA"/>
        </w:rPr>
        <w:t>s which contain the reconstructed sample</w:t>
      </w:r>
      <w:r>
        <w:rPr>
          <w:lang w:val="en-CA"/>
        </w:rPr>
        <w:t>s</w:t>
      </w:r>
      <w:r w:rsidRPr="00C755B3">
        <w:rPr>
          <w:lang w:val="en-CA"/>
        </w:rPr>
        <w:t xml:space="preserve"> from the top and left CTUs and </w:t>
      </w:r>
      <w:r>
        <w:rPr>
          <w:lang w:val="en-CA"/>
        </w:rPr>
        <w:t>part of the</w:t>
      </w:r>
      <w:r w:rsidRPr="00C755B3">
        <w:rPr>
          <w:lang w:val="en-CA"/>
        </w:rPr>
        <w:t xml:space="preserve"> reconstructed samples from the same CTU that the current block belongs to. </w:t>
      </w:r>
      <w:r>
        <w:rPr>
          <w:lang w:val="en-CA" w:eastAsia="zh-CN"/>
        </w:rPr>
        <w:t xml:space="preserve">This contribution proposes to include the bottom-left and top-right areas adjacent to the current block as extended search areas for </w:t>
      </w:r>
      <w:proofErr w:type="spellStart"/>
      <w:r>
        <w:rPr>
          <w:lang w:val="en-CA" w:eastAsia="zh-CN"/>
        </w:rPr>
        <w:t>intraTMP</w:t>
      </w:r>
      <w:proofErr w:type="spellEnd"/>
      <w:r>
        <w:rPr>
          <w:lang w:val="en-CA" w:eastAsia="zh-CN"/>
        </w:rPr>
        <w:t xml:space="preserve">. In addition, this contribution proposes to restrict the </w:t>
      </w:r>
      <w:proofErr w:type="spellStart"/>
      <w:r>
        <w:rPr>
          <w:lang w:val="en-CA" w:eastAsia="zh-CN"/>
        </w:rPr>
        <w:t>intraTMP</w:t>
      </w:r>
      <w:proofErr w:type="spellEnd"/>
      <w:r>
        <w:rPr>
          <w:lang w:val="en-CA" w:eastAsia="zh-CN"/>
        </w:rPr>
        <w:t xml:space="preserve"> search with a specified search range for all pre-determined search areas. On top of ECM-9.0, the simulation results are reported as follows:</w:t>
      </w:r>
    </w:p>
    <w:p w14:paraId="3BFD7569" w14:textId="45B551E0" w:rsidR="0035262A" w:rsidRDefault="0035262A" w:rsidP="0035262A">
      <w:pPr>
        <w:rPr>
          <w:lang w:val="en-CA" w:eastAsia="zh-CN"/>
        </w:rPr>
      </w:pPr>
      <w:r>
        <w:rPr>
          <w:lang w:val="en-CA" w:eastAsia="zh-CN"/>
        </w:rPr>
        <w:t>AI(Y/U/V): -0.2</w:t>
      </w:r>
      <w:r w:rsidR="0089015E">
        <w:rPr>
          <w:lang w:val="en-CA" w:eastAsia="zh-CN"/>
        </w:rPr>
        <w:t>2</w:t>
      </w:r>
      <w:r>
        <w:rPr>
          <w:lang w:val="en-CA" w:eastAsia="zh-CN"/>
        </w:rPr>
        <w:t>%/-0.2</w:t>
      </w:r>
      <w:r w:rsidR="0089015E">
        <w:rPr>
          <w:lang w:val="en-CA" w:eastAsia="zh-CN"/>
        </w:rPr>
        <w:t>0</w:t>
      </w:r>
      <w:r>
        <w:rPr>
          <w:lang w:val="en-CA" w:eastAsia="zh-CN"/>
        </w:rPr>
        <w:t>%/-0.</w:t>
      </w:r>
      <w:r w:rsidR="0089015E">
        <w:rPr>
          <w:lang w:val="en-CA" w:eastAsia="zh-CN"/>
        </w:rPr>
        <w:t>14</w:t>
      </w:r>
      <w:r>
        <w:rPr>
          <w:lang w:val="en-CA" w:eastAsia="zh-CN"/>
        </w:rPr>
        <w:t xml:space="preserve">%, </w:t>
      </w:r>
      <w:proofErr w:type="spellStart"/>
      <w:r>
        <w:rPr>
          <w:lang w:val="en-CA" w:eastAsia="zh-CN"/>
        </w:rPr>
        <w:t>EncT</w:t>
      </w:r>
      <w:proofErr w:type="spellEnd"/>
      <w:r>
        <w:rPr>
          <w:lang w:val="en-CA" w:eastAsia="zh-CN"/>
        </w:rPr>
        <w:t xml:space="preserve"> 10</w:t>
      </w:r>
      <w:r w:rsidR="005E7680">
        <w:rPr>
          <w:lang w:val="en-CA" w:eastAsia="zh-CN"/>
        </w:rPr>
        <w:t>0.6</w:t>
      </w:r>
      <w:r>
        <w:rPr>
          <w:lang w:val="en-CA" w:eastAsia="zh-CN"/>
        </w:rPr>
        <w:t xml:space="preserve">%, </w:t>
      </w:r>
      <w:proofErr w:type="spellStart"/>
      <w:r>
        <w:rPr>
          <w:lang w:val="en-CA" w:eastAsia="zh-CN"/>
        </w:rPr>
        <w:t>DecT</w:t>
      </w:r>
      <w:proofErr w:type="spellEnd"/>
      <w:r>
        <w:rPr>
          <w:lang w:val="en-CA" w:eastAsia="zh-CN"/>
        </w:rPr>
        <w:t xml:space="preserve"> 10</w:t>
      </w:r>
      <w:r w:rsidR="005E7680">
        <w:rPr>
          <w:lang w:val="en-CA" w:eastAsia="zh-CN"/>
        </w:rPr>
        <w:t>2.3</w:t>
      </w:r>
      <w:r>
        <w:rPr>
          <w:lang w:val="en-CA" w:eastAsia="zh-CN"/>
        </w:rPr>
        <w:t>%</w:t>
      </w:r>
    </w:p>
    <w:p w14:paraId="058E059B" w14:textId="05CB5B34" w:rsidR="0035262A" w:rsidRDefault="0035262A" w:rsidP="0035262A">
      <w:pPr>
        <w:rPr>
          <w:lang w:eastAsia="zh-CN"/>
        </w:rPr>
      </w:pPr>
      <w:r>
        <w:rPr>
          <w:lang w:val="en-CA" w:eastAsia="zh-CN"/>
        </w:rPr>
        <w:t>RA(Y/U/V): -0.</w:t>
      </w:r>
      <w:r w:rsidR="002B0DF3">
        <w:rPr>
          <w:lang w:val="en-CA" w:eastAsia="zh-CN"/>
        </w:rPr>
        <w:t>11</w:t>
      </w:r>
      <w:r>
        <w:rPr>
          <w:lang w:val="en-CA" w:eastAsia="zh-CN"/>
        </w:rPr>
        <w:t>%/-0.</w:t>
      </w:r>
      <w:r w:rsidR="002B0DF3">
        <w:rPr>
          <w:lang w:val="en-CA" w:eastAsia="zh-CN"/>
        </w:rPr>
        <w:t>15</w:t>
      </w:r>
      <w:r>
        <w:rPr>
          <w:lang w:val="en-CA" w:eastAsia="zh-CN"/>
        </w:rPr>
        <w:t>%/-0.</w:t>
      </w:r>
      <w:r w:rsidR="002B0DF3">
        <w:rPr>
          <w:lang w:val="en-CA" w:eastAsia="zh-CN"/>
        </w:rPr>
        <w:t>12</w:t>
      </w:r>
      <w:r>
        <w:rPr>
          <w:lang w:val="en-CA" w:eastAsia="zh-CN"/>
        </w:rPr>
        <w:t xml:space="preserve">%, </w:t>
      </w:r>
      <w:proofErr w:type="spellStart"/>
      <w:r>
        <w:rPr>
          <w:lang w:val="en-CA" w:eastAsia="zh-CN"/>
        </w:rPr>
        <w:t>EncT</w:t>
      </w:r>
      <w:proofErr w:type="spellEnd"/>
      <w:r>
        <w:rPr>
          <w:lang w:val="en-CA" w:eastAsia="zh-CN"/>
        </w:rPr>
        <w:t xml:space="preserve"> 10</w:t>
      </w:r>
      <w:r w:rsidR="002B0DF3">
        <w:rPr>
          <w:lang w:val="en-CA" w:eastAsia="zh-CN"/>
        </w:rPr>
        <w:t>0.7</w:t>
      </w:r>
      <w:r>
        <w:rPr>
          <w:lang w:val="en-CA" w:eastAsia="zh-CN"/>
        </w:rPr>
        <w:t xml:space="preserve">%, </w:t>
      </w:r>
      <w:proofErr w:type="spellStart"/>
      <w:r>
        <w:rPr>
          <w:lang w:val="en-CA" w:eastAsia="zh-CN"/>
        </w:rPr>
        <w:t>DecT</w:t>
      </w:r>
      <w:proofErr w:type="spellEnd"/>
      <w:r>
        <w:rPr>
          <w:lang w:val="en-CA" w:eastAsia="zh-CN"/>
        </w:rPr>
        <w:t xml:space="preserve"> 10</w:t>
      </w:r>
      <w:r w:rsidR="002B0DF3">
        <w:rPr>
          <w:lang w:val="en-CA" w:eastAsia="zh-CN"/>
        </w:rPr>
        <w:t>0.1</w:t>
      </w:r>
      <w:r>
        <w:rPr>
          <w:lang w:val="en-CA" w:eastAsia="zh-CN"/>
        </w:rPr>
        <w:t>%</w:t>
      </w:r>
      <w:r>
        <w:rPr>
          <w:rFonts w:hint="eastAsia"/>
          <w:lang w:eastAsia="zh-CN"/>
        </w:rPr>
        <w:t xml:space="preserve"> </w:t>
      </w:r>
    </w:p>
    <w:p w14:paraId="7D2AC1F0" w14:textId="6EC3C893" w:rsidR="00745F6B" w:rsidRPr="005B217D" w:rsidRDefault="00745F6B" w:rsidP="00E11923">
      <w:pPr>
        <w:pStyle w:val="Heading1"/>
        <w:rPr>
          <w:lang w:val="en-CA"/>
        </w:rPr>
      </w:pPr>
      <w:r w:rsidRPr="005B217D">
        <w:rPr>
          <w:lang w:val="en-CA"/>
        </w:rPr>
        <w:t>Introduction</w:t>
      </w:r>
    </w:p>
    <w:p w14:paraId="47440CB2" w14:textId="7B3BC076" w:rsidR="0035262A"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will be selected as the prediction block for </w:t>
      </w:r>
      <w:r w:rsidR="00DE05A4">
        <w:rPr>
          <w:lang w:val="en-CA" w:eastAsia="zh-CN"/>
        </w:rPr>
        <w:t xml:space="preserve">coding </w:t>
      </w:r>
      <w:r>
        <w:rPr>
          <w:lang w:val="en-CA" w:eastAsia="zh-CN"/>
        </w:rPr>
        <w:t>the current block.</w:t>
      </w:r>
    </w:p>
    <w:p w14:paraId="011C6339" w14:textId="6382443B" w:rsidR="0035262A" w:rsidRDefault="0035262A" w:rsidP="007700D5">
      <w:pPr>
        <w:rPr>
          <w:szCs w:val="22"/>
          <w:lang w:val="en-CA"/>
        </w:rPr>
      </w:pPr>
      <w:r>
        <w:rPr>
          <w:szCs w:val="22"/>
          <w:lang w:val="en-CA"/>
        </w:rPr>
        <w:t xml:space="preserve">As </w:t>
      </w:r>
      <w:r w:rsidRPr="00242841">
        <w:rPr>
          <w:szCs w:val="22"/>
          <w:lang w:val="en-CA"/>
        </w:rPr>
        <w:t xml:space="preserve">shown in </w:t>
      </w:r>
      <w:r w:rsidRPr="00242841">
        <w:rPr>
          <w:szCs w:val="22"/>
          <w:lang w:val="en-CA"/>
        </w:rPr>
        <w:fldChar w:fldCharType="begin"/>
      </w:r>
      <w:r w:rsidRPr="00242841">
        <w:rPr>
          <w:szCs w:val="22"/>
          <w:lang w:val="en-CA"/>
        </w:rPr>
        <w:instrText xml:space="preserve"> REF _Ref132210752 \h  \* MERGEFORMAT </w:instrText>
      </w:r>
      <w:r w:rsidRPr="00242841">
        <w:rPr>
          <w:szCs w:val="22"/>
          <w:lang w:val="en-CA"/>
        </w:rPr>
      </w:r>
      <w:r w:rsidRPr="00242841">
        <w:rPr>
          <w:szCs w:val="22"/>
          <w:lang w:val="en-CA"/>
        </w:rPr>
        <w:fldChar w:fldCharType="separate"/>
      </w:r>
      <w:r w:rsidRPr="00242841">
        <w:rPr>
          <w:szCs w:val="22"/>
        </w:rPr>
        <w:t xml:space="preserve">Figure </w:t>
      </w:r>
      <w:r w:rsidRPr="00242841">
        <w:rPr>
          <w:noProof/>
          <w:szCs w:val="22"/>
        </w:rPr>
        <w:t>1</w:t>
      </w:r>
      <w:r w:rsidRPr="00242841">
        <w:rPr>
          <w:szCs w:val="22"/>
          <w:lang w:val="en-CA"/>
        </w:rPr>
        <w:fldChar w:fldCharType="end"/>
      </w:r>
      <w:r>
        <w:rPr>
          <w:szCs w:val="22"/>
          <w:lang w:val="en-CA"/>
        </w:rPr>
        <w:t xml:space="preserve">, the </w:t>
      </w:r>
      <w:r w:rsidR="00FF22F0">
        <w:rPr>
          <w:szCs w:val="22"/>
          <w:lang w:val="en-CA"/>
        </w:rPr>
        <w:t xml:space="preserve">existing </w:t>
      </w:r>
      <w:r>
        <w:rPr>
          <w:szCs w:val="22"/>
          <w:lang w:val="en-CA"/>
        </w:rPr>
        <w:t xml:space="preserve">search area of </w:t>
      </w:r>
      <w:proofErr w:type="spellStart"/>
      <w:r>
        <w:rPr>
          <w:szCs w:val="22"/>
          <w:lang w:val="en-CA"/>
        </w:rPr>
        <w:t>intraTMP</w:t>
      </w:r>
      <w:proofErr w:type="spellEnd"/>
      <w:r>
        <w:rPr>
          <w:szCs w:val="22"/>
          <w:lang w:val="en-CA"/>
        </w:rPr>
        <w:t xml:space="preserve"> is divided into four different regions R1, R2, R3</w:t>
      </w:r>
      <w:r w:rsidR="00FF22F0">
        <w:rPr>
          <w:szCs w:val="22"/>
          <w:lang w:val="en-CA"/>
        </w:rPr>
        <w:t>,</w:t>
      </w:r>
      <w:r>
        <w:rPr>
          <w:szCs w:val="22"/>
          <w:lang w:val="en-CA"/>
        </w:rPr>
        <w:t xml:space="preserve"> and R4 which contain the reconstructed samples from the top and left CTUs as well as part of the reconstructed samples within the current CTU that are located above and left to the current block. </w:t>
      </w:r>
      <w:r w:rsidRPr="002A38AD">
        <w:rPr>
          <w:szCs w:val="22"/>
          <w:lang w:val="en-CA"/>
        </w:rPr>
        <w:t>I</w:t>
      </w:r>
      <w:r>
        <w:rPr>
          <w:szCs w:val="22"/>
          <w:lang w:val="en-CA"/>
        </w:rPr>
        <w:t xml:space="preserve">n </w:t>
      </w:r>
      <w:r w:rsidRPr="002A38AD">
        <w:rPr>
          <w:szCs w:val="22"/>
          <w:lang w:val="en-CA"/>
        </w:rPr>
        <w:fldChar w:fldCharType="begin"/>
      </w:r>
      <w:r w:rsidRPr="002A38AD">
        <w:rPr>
          <w:szCs w:val="22"/>
          <w:lang w:val="en-CA"/>
        </w:rPr>
        <w:instrText xml:space="preserve"> REF _Ref132210752 \h  \* MERGEFORMAT </w:instrText>
      </w:r>
      <w:r w:rsidRPr="002A38AD">
        <w:rPr>
          <w:szCs w:val="22"/>
          <w:lang w:val="en-CA"/>
        </w:rPr>
      </w:r>
      <w:r w:rsidRPr="002A38AD">
        <w:rPr>
          <w:szCs w:val="22"/>
          <w:lang w:val="en-CA"/>
        </w:rPr>
        <w:fldChar w:fldCharType="separate"/>
      </w:r>
      <w:r w:rsidRPr="002A38AD">
        <w:rPr>
          <w:szCs w:val="22"/>
        </w:rPr>
        <w:t xml:space="preserve">Figure </w:t>
      </w:r>
      <w:r w:rsidRPr="002A38AD">
        <w:rPr>
          <w:noProof/>
          <w:szCs w:val="22"/>
        </w:rPr>
        <w:t>1</w:t>
      </w:r>
      <w:r w:rsidRPr="002A38AD">
        <w:rPr>
          <w:szCs w:val="22"/>
          <w:lang w:val="en-CA"/>
        </w:rPr>
        <w:fldChar w:fldCharType="end"/>
      </w:r>
      <w:r>
        <w:rPr>
          <w:szCs w:val="22"/>
          <w:lang w:val="en-CA"/>
        </w:rPr>
        <w:t xml:space="preserve">, </w:t>
      </w:r>
      <w:r w:rsidRPr="00187B57">
        <w:rPr>
          <w:i/>
          <w:iCs/>
          <w:szCs w:val="22"/>
          <w:lang w:val="en-CA"/>
        </w:rPr>
        <w:t>W</w:t>
      </w:r>
      <w:r>
        <w:rPr>
          <w:szCs w:val="22"/>
          <w:lang w:val="en-CA"/>
        </w:rPr>
        <w:t xml:space="preserve"> and </w:t>
      </w:r>
      <w:r w:rsidRPr="00187B57">
        <w:rPr>
          <w:i/>
          <w:iCs/>
          <w:szCs w:val="22"/>
          <w:lang w:val="en-CA"/>
        </w:rPr>
        <w:t>H</w:t>
      </w:r>
      <w:r>
        <w:rPr>
          <w:szCs w:val="22"/>
          <w:lang w:val="en-CA"/>
        </w:rPr>
        <w:t xml:space="preserve"> are the width and height of the current coding block and the gray blocks describe the region of the top-left corners of all considered reference blocks in the reconstructed area.</w:t>
      </w:r>
      <w:r w:rsidR="00FF22F0">
        <w:rPr>
          <w:szCs w:val="22"/>
          <w:lang w:val="en-CA"/>
        </w:rPr>
        <w:t xml:space="preserve"> T</w:t>
      </w:r>
      <w:r>
        <w:rPr>
          <w:szCs w:val="22"/>
          <w:lang w:val="en-CA"/>
        </w:rPr>
        <w:t xml:space="preserve">he maximum horizontal </w:t>
      </w:r>
      <w:r>
        <w:rPr>
          <w:szCs w:val="22"/>
          <w:lang w:val="en-CA"/>
        </w:rPr>
        <w:lastRenderedPageBreak/>
        <w:t>and vertical search size</w:t>
      </w:r>
      <w:r w:rsidR="00FF22F0">
        <w:rPr>
          <w:szCs w:val="22"/>
          <w:lang w:val="en-CA"/>
        </w:rPr>
        <w:t>s</w:t>
      </w:r>
      <w:r>
        <w:rPr>
          <w:szCs w:val="22"/>
          <w:lang w:val="en-CA"/>
        </w:rPr>
        <w:t xml:space="preserve">, i.e., </w:t>
      </w:r>
      <w:proofErr w:type="spellStart"/>
      <w:r w:rsidRPr="00187B57">
        <w:rPr>
          <w:i/>
          <w:iCs/>
          <w:szCs w:val="22"/>
          <w:lang w:val="en-CA"/>
        </w:rPr>
        <w:t>searchRangeWidth</w:t>
      </w:r>
      <w:proofErr w:type="spellEnd"/>
      <w:r>
        <w:rPr>
          <w:szCs w:val="22"/>
          <w:lang w:val="en-CA"/>
        </w:rPr>
        <w:t xml:space="preserve"> and </w:t>
      </w:r>
      <w:proofErr w:type="spellStart"/>
      <w:r w:rsidRPr="00187B57">
        <w:rPr>
          <w:i/>
          <w:iCs/>
          <w:szCs w:val="22"/>
          <w:lang w:val="en-CA"/>
        </w:rPr>
        <w:t>searchRangeHeight</w:t>
      </w:r>
      <w:proofErr w:type="spellEnd"/>
      <w:r>
        <w:rPr>
          <w:szCs w:val="22"/>
          <w:lang w:val="en-CA"/>
        </w:rPr>
        <w:t xml:space="preserve">, are set to </w:t>
      </w:r>
      <w:r w:rsidRPr="00187B57">
        <w:rPr>
          <w:i/>
          <w:iCs/>
          <w:szCs w:val="22"/>
          <w:lang w:val="en-CA"/>
        </w:rPr>
        <w:t>max(5W, 64</w:t>
      </w:r>
      <w:r>
        <w:rPr>
          <w:szCs w:val="22"/>
          <w:lang w:val="en-CA"/>
        </w:rPr>
        <w:t xml:space="preserve">) and </w:t>
      </w:r>
      <w:r w:rsidRPr="00187B57">
        <w:rPr>
          <w:i/>
          <w:iCs/>
          <w:szCs w:val="22"/>
          <w:lang w:val="en-CA"/>
        </w:rPr>
        <w:t>max(5H, 64)</w:t>
      </w:r>
      <w:r>
        <w:rPr>
          <w:szCs w:val="22"/>
          <w:lang w:val="en-CA"/>
        </w:rPr>
        <w:t xml:space="preserve"> respectively.</w:t>
      </w:r>
      <w:r w:rsidRPr="00222ECA">
        <w:rPr>
          <w:szCs w:val="22"/>
          <w:lang w:val="en-CA"/>
        </w:rPr>
        <w:t xml:space="preserve"> </w:t>
      </w:r>
    </w:p>
    <w:p w14:paraId="391722AD" w14:textId="77777777" w:rsidR="0035262A" w:rsidRDefault="0035262A" w:rsidP="0035262A">
      <w:pPr>
        <w:jc w:val="center"/>
        <w:rPr>
          <w:szCs w:val="22"/>
          <w:lang w:val="en-CA"/>
        </w:rPr>
      </w:pPr>
      <w:r>
        <w:rPr>
          <w:noProof/>
          <w:szCs w:val="22"/>
          <w:lang w:eastAsia="zh-CN"/>
        </w:rPr>
        <w:drawing>
          <wp:inline distT="0" distB="0" distL="0" distR="0" wp14:anchorId="3AF22059" wp14:editId="75CFD676">
            <wp:extent cx="3954483" cy="2654911"/>
            <wp:effectExtent l="0" t="0" r="8255" b="0"/>
            <wp:docPr id="30" name="Picture 30" descr="A picture containing diagram, technical drawing, pla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diagram, technical drawing, plan, rectangl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82817" cy="2673933"/>
                    </a:xfrm>
                    <a:prstGeom prst="rect">
                      <a:avLst/>
                    </a:prstGeom>
                    <a:noFill/>
                    <a:ln>
                      <a:noFill/>
                    </a:ln>
                  </pic:spPr>
                </pic:pic>
              </a:graphicData>
            </a:graphic>
          </wp:inline>
        </w:drawing>
      </w:r>
    </w:p>
    <w:p w14:paraId="479A1DB1" w14:textId="439C5740" w:rsidR="0035262A" w:rsidRPr="00222ECA" w:rsidRDefault="0035262A" w:rsidP="0035262A">
      <w:pPr>
        <w:jc w:val="center"/>
        <w:rPr>
          <w:szCs w:val="22"/>
          <w:lang w:val="en-CA"/>
        </w:rPr>
      </w:pPr>
      <w:bookmarkStart w:id="0" w:name="_Ref132212229"/>
      <w:r w:rsidRPr="00222ECA">
        <w:rPr>
          <w:b/>
          <w:bCs/>
          <w:szCs w:val="22"/>
        </w:rPr>
        <w:t xml:space="preserve">Figure </w:t>
      </w:r>
      <w:bookmarkEnd w:id="0"/>
      <w:r w:rsidR="007700D5">
        <w:rPr>
          <w:b/>
          <w:bCs/>
          <w:szCs w:val="22"/>
        </w:rPr>
        <w:t>1</w:t>
      </w:r>
      <w:r w:rsidRPr="00222ECA">
        <w:rPr>
          <w:b/>
          <w:bCs/>
          <w:szCs w:val="22"/>
        </w:rPr>
        <w:t xml:space="preserve"> The </w:t>
      </w:r>
      <w:r>
        <w:rPr>
          <w:b/>
          <w:bCs/>
          <w:szCs w:val="22"/>
        </w:rPr>
        <w:t>search</w:t>
      </w:r>
      <w:r w:rsidRPr="00222ECA">
        <w:rPr>
          <w:b/>
          <w:bCs/>
          <w:szCs w:val="22"/>
        </w:rPr>
        <w:t xml:space="preserve"> region of the </w:t>
      </w:r>
      <w:proofErr w:type="spellStart"/>
      <w:r w:rsidRPr="00222ECA">
        <w:rPr>
          <w:b/>
          <w:bCs/>
          <w:szCs w:val="22"/>
        </w:rPr>
        <w:t>intraTMP</w:t>
      </w:r>
      <w:proofErr w:type="spellEnd"/>
      <w:r w:rsidRPr="00222ECA">
        <w:rPr>
          <w:b/>
          <w:bCs/>
          <w:szCs w:val="22"/>
        </w:rPr>
        <w:t xml:space="preserve"> </w:t>
      </w:r>
      <w:r>
        <w:rPr>
          <w:b/>
          <w:bCs/>
          <w:szCs w:val="22"/>
        </w:rPr>
        <w:t xml:space="preserve">in </w:t>
      </w:r>
      <w:r w:rsidR="007700D5">
        <w:rPr>
          <w:b/>
          <w:bCs/>
          <w:szCs w:val="22"/>
        </w:rPr>
        <w:t>ECM-9.0</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3B3340B6" w14:textId="23B7E315" w:rsidR="0035262A" w:rsidRDefault="0035262A" w:rsidP="00F07A6B">
      <w:pPr>
        <w:rPr>
          <w:lang w:val="en-CA" w:eastAsia="zh-CN"/>
        </w:rPr>
      </w:pPr>
      <w:r>
        <w:rPr>
          <w:lang w:val="en-CA" w:eastAsia="zh-CN"/>
        </w:rPr>
        <w:t xml:space="preserve">The bottom-left and top-right areas relative to the current block may also be available and they are very close to the current block, this contribution proposes to include these two regions (R5 and R6) as </w:t>
      </w:r>
      <w:r w:rsidR="00F9243D">
        <w:rPr>
          <w:rFonts w:hint="eastAsia"/>
          <w:lang w:val="en-CA" w:eastAsia="zh-CN"/>
        </w:rPr>
        <w:t>ex</w:t>
      </w:r>
      <w:r w:rsidR="00F9243D">
        <w:rPr>
          <w:lang w:eastAsia="zh-CN"/>
        </w:rPr>
        <w:t xml:space="preserve">tended </w:t>
      </w:r>
      <w:r>
        <w:rPr>
          <w:rFonts w:hint="eastAsia"/>
          <w:lang w:val="en-CA" w:eastAsia="zh-CN"/>
        </w:rPr>
        <w:t>s</w:t>
      </w:r>
      <w:r>
        <w:rPr>
          <w:lang w:val="en-CA" w:eastAsia="zh-CN"/>
        </w:rPr>
        <w:t xml:space="preserve">earch areas for </w:t>
      </w:r>
      <w:proofErr w:type="spellStart"/>
      <w:r>
        <w:rPr>
          <w:lang w:val="en-CA" w:eastAsia="zh-CN"/>
        </w:rPr>
        <w:t>intraTMP</w:t>
      </w:r>
      <w:proofErr w:type="spellEnd"/>
      <w:r>
        <w:rPr>
          <w:lang w:val="en-CA" w:eastAsia="zh-CN"/>
        </w:rPr>
        <w:t xml:space="preserve"> as shown </w:t>
      </w:r>
      <w:r w:rsidR="00BA51F4">
        <w:rPr>
          <w:lang w:val="en-CA" w:eastAsia="zh-CN"/>
        </w:rPr>
        <w:t xml:space="preserve">in </w:t>
      </w:r>
      <w:r>
        <w:rPr>
          <w:lang w:val="en-CA" w:eastAsia="zh-CN"/>
        </w:rPr>
        <w:t xml:space="preserve">Figure </w:t>
      </w:r>
      <w:r w:rsidR="00F9243D">
        <w:rPr>
          <w:lang w:val="en-CA" w:eastAsia="zh-CN"/>
        </w:rPr>
        <w:t>2</w:t>
      </w:r>
      <w:r w:rsidR="00BA51F4">
        <w:rPr>
          <w:lang w:val="en-CA" w:eastAsia="zh-CN"/>
        </w:rPr>
        <w:t xml:space="preserve"> (a)</w:t>
      </w:r>
      <w:r>
        <w:rPr>
          <w:lang w:val="en-CA" w:eastAsia="zh-CN"/>
        </w:rPr>
        <w:t>. In ECM-</w:t>
      </w:r>
      <w:r w:rsidR="007700D5">
        <w:rPr>
          <w:lang w:val="en-CA" w:eastAsia="zh-CN"/>
        </w:rPr>
        <w:t>9</w:t>
      </w:r>
      <w:r>
        <w:rPr>
          <w:lang w:val="en-CA" w:eastAsia="zh-CN"/>
        </w:rPr>
        <w:t>.0, the region scan order is R4, R1, R2, and R3. In the proposed method, the region scan order is R4, R5, R6, R1, R2, and R3. In addition, the current ECM-</w:t>
      </w:r>
      <w:r w:rsidR="007700D5">
        <w:rPr>
          <w:lang w:val="en-CA" w:eastAsia="zh-CN"/>
        </w:rPr>
        <w:t>9</w:t>
      </w:r>
      <w:r>
        <w:rPr>
          <w:lang w:val="en-CA" w:eastAsia="zh-CN"/>
        </w:rPr>
        <w:t xml:space="preserve">.0 always searches all available positions within the current CTU while it may be beyond the specified search range or width/height. This contribution further proposes to restrict all search areas with the specified search range or width/height. The search areas with the proposed search range restrictions are illustrated </w:t>
      </w:r>
      <w:r w:rsidR="00BA51F4">
        <w:rPr>
          <w:lang w:val="en-CA" w:eastAsia="zh-CN"/>
        </w:rPr>
        <w:t xml:space="preserve">in </w:t>
      </w:r>
      <w:r>
        <w:rPr>
          <w:lang w:val="en-CA" w:eastAsia="zh-CN"/>
        </w:rPr>
        <w:t xml:space="preserve">Figure </w:t>
      </w:r>
      <w:r w:rsidR="007700D5">
        <w:rPr>
          <w:lang w:val="en-CA" w:eastAsia="zh-CN"/>
        </w:rPr>
        <w:t>2</w:t>
      </w:r>
      <w:r w:rsidR="00BA51F4">
        <w:rPr>
          <w:lang w:val="en-CA" w:eastAsia="zh-CN"/>
        </w:rPr>
        <w:t xml:space="preserve"> (b)</w:t>
      </w:r>
      <w:r>
        <w:rPr>
          <w:lang w:val="en-CA" w:eastAsia="zh-CN"/>
        </w:rPr>
        <w:t xml:space="preserve">.   </w:t>
      </w:r>
    </w:p>
    <w:p w14:paraId="046BB2D2" w14:textId="77777777" w:rsidR="008109BB" w:rsidRDefault="0035262A" w:rsidP="0035262A">
      <w:pPr>
        <w:jc w:val="center"/>
        <w:rPr>
          <w:lang w:val="en-CA" w:eastAsia="zh-CN"/>
        </w:rPr>
      </w:pPr>
      <w:r>
        <w:rPr>
          <w:lang w:val="en-CA" w:eastAsia="zh-CN"/>
        </w:rPr>
        <w:t xml:space="preserve">  </w:t>
      </w:r>
      <w:r w:rsidR="008109BB">
        <w:rPr>
          <w:noProof/>
          <w:szCs w:val="22"/>
          <w:lang w:eastAsia="zh-CN"/>
        </w:rPr>
        <w:drawing>
          <wp:inline distT="0" distB="0" distL="0" distR="0" wp14:anchorId="6AB2A3AE" wp14:editId="0ABAD98E">
            <wp:extent cx="3890513" cy="2608580"/>
            <wp:effectExtent l="0" t="0" r="0" b="1270"/>
            <wp:docPr id="485892693" name="Picture 48589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4837" cy="2611479"/>
                    </a:xfrm>
                    <a:prstGeom prst="rect">
                      <a:avLst/>
                    </a:prstGeom>
                    <a:noFill/>
                    <a:ln>
                      <a:noFill/>
                    </a:ln>
                  </pic:spPr>
                </pic:pic>
              </a:graphicData>
            </a:graphic>
          </wp:inline>
        </w:drawing>
      </w:r>
      <w:r>
        <w:rPr>
          <w:lang w:val="en-CA" w:eastAsia="zh-CN"/>
        </w:rPr>
        <w:t xml:space="preserve">      </w:t>
      </w:r>
    </w:p>
    <w:p w14:paraId="40B6A873" w14:textId="2C4A64C6" w:rsidR="00BA51F4" w:rsidRDefault="00BA51F4" w:rsidP="0035262A">
      <w:pPr>
        <w:jc w:val="center"/>
        <w:rPr>
          <w:lang w:val="en-CA" w:eastAsia="zh-CN"/>
        </w:rPr>
      </w:pPr>
      <w:r>
        <w:rPr>
          <w:lang w:val="en-CA" w:eastAsia="zh-CN"/>
        </w:rPr>
        <w:t>(a)</w:t>
      </w:r>
    </w:p>
    <w:p w14:paraId="38465491" w14:textId="2BFC2D89" w:rsidR="0035262A" w:rsidRDefault="0035262A" w:rsidP="0035262A">
      <w:pPr>
        <w:jc w:val="center"/>
        <w:rPr>
          <w:lang w:val="en-CA" w:eastAsia="zh-CN"/>
        </w:rPr>
      </w:pPr>
      <w:r w:rsidRPr="00B35C7D">
        <w:rPr>
          <w:noProof/>
          <w:lang w:eastAsia="zh-CN"/>
        </w:rPr>
        <w:lastRenderedPageBreak/>
        <w:drawing>
          <wp:inline distT="0" distB="0" distL="0" distR="0" wp14:anchorId="1657E413" wp14:editId="7F3B9626">
            <wp:extent cx="3597215" cy="2499360"/>
            <wp:effectExtent l="0" t="0" r="381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602076" cy="2502737"/>
                    </a:xfrm>
                    <a:prstGeom prst="rect">
                      <a:avLst/>
                    </a:prstGeom>
                  </pic:spPr>
                </pic:pic>
              </a:graphicData>
            </a:graphic>
          </wp:inline>
        </w:drawing>
      </w:r>
    </w:p>
    <w:p w14:paraId="07004C15" w14:textId="4E3B007A" w:rsidR="00BA51F4" w:rsidRDefault="00BA51F4" w:rsidP="0035262A">
      <w:pPr>
        <w:jc w:val="center"/>
        <w:rPr>
          <w:lang w:val="en-CA" w:eastAsia="zh-CN"/>
        </w:rPr>
      </w:pPr>
      <w:r>
        <w:rPr>
          <w:lang w:val="en-CA" w:eastAsia="zh-CN"/>
        </w:rPr>
        <w:t>(b)</w:t>
      </w:r>
    </w:p>
    <w:p w14:paraId="7D271F54" w14:textId="608F6DC6" w:rsidR="0035262A" w:rsidRPr="005555B2" w:rsidRDefault="0035262A" w:rsidP="0035262A">
      <w:pPr>
        <w:jc w:val="center"/>
        <w:rPr>
          <w:b/>
          <w:bCs/>
          <w:szCs w:val="22"/>
          <w:lang w:val="en-CA" w:eastAsia="zh-CN"/>
        </w:rPr>
      </w:pPr>
      <w:r w:rsidRPr="005555B2">
        <w:rPr>
          <w:rFonts w:hint="eastAsia"/>
          <w:b/>
          <w:bCs/>
          <w:szCs w:val="22"/>
          <w:lang w:val="en-CA" w:eastAsia="zh-CN"/>
        </w:rPr>
        <w:t>F</w:t>
      </w:r>
      <w:r w:rsidRPr="005555B2">
        <w:rPr>
          <w:b/>
          <w:bCs/>
          <w:szCs w:val="22"/>
          <w:lang w:val="en-CA" w:eastAsia="zh-CN"/>
        </w:rPr>
        <w:t>ig.</w:t>
      </w:r>
      <w:r w:rsidR="007700D5" w:rsidRPr="005555B2">
        <w:rPr>
          <w:b/>
          <w:bCs/>
          <w:szCs w:val="22"/>
          <w:lang w:val="en-CA" w:eastAsia="zh-CN"/>
        </w:rPr>
        <w:t>2</w:t>
      </w:r>
      <w:r w:rsidRPr="005555B2">
        <w:rPr>
          <w:b/>
          <w:bCs/>
          <w:szCs w:val="22"/>
          <w:lang w:val="en-CA" w:eastAsia="zh-CN"/>
        </w:rPr>
        <w:t xml:space="preserve">. </w:t>
      </w:r>
      <w:r w:rsidR="00BA51F4">
        <w:rPr>
          <w:b/>
          <w:bCs/>
          <w:szCs w:val="22"/>
          <w:lang w:val="en-CA" w:eastAsia="zh-CN"/>
        </w:rPr>
        <w:t>(a)</w:t>
      </w:r>
      <w:r w:rsidRPr="005555B2">
        <w:rPr>
          <w:b/>
          <w:bCs/>
          <w:szCs w:val="22"/>
          <w:lang w:val="en-CA" w:eastAsia="zh-CN"/>
        </w:rPr>
        <w:t xml:space="preserve">: bottom-left and top-right added as </w:t>
      </w:r>
      <w:r w:rsidR="00FF22F0">
        <w:rPr>
          <w:b/>
          <w:bCs/>
          <w:szCs w:val="22"/>
          <w:lang w:val="en-CA" w:eastAsia="zh-CN"/>
        </w:rPr>
        <w:t xml:space="preserve">the </w:t>
      </w:r>
      <w:r w:rsidR="00F9243D" w:rsidRPr="005555B2">
        <w:rPr>
          <w:b/>
          <w:bCs/>
          <w:szCs w:val="22"/>
          <w:lang w:val="en-CA" w:eastAsia="zh-CN"/>
        </w:rPr>
        <w:t>extended</w:t>
      </w:r>
      <w:r w:rsidRPr="005555B2">
        <w:rPr>
          <w:b/>
          <w:bCs/>
          <w:szCs w:val="22"/>
          <w:lang w:val="en-CA" w:eastAsia="zh-CN"/>
        </w:rPr>
        <w:t xml:space="preserve"> search areas for </w:t>
      </w:r>
      <w:proofErr w:type="spellStart"/>
      <w:r w:rsidRPr="005555B2">
        <w:rPr>
          <w:b/>
          <w:bCs/>
          <w:szCs w:val="22"/>
          <w:lang w:val="en-CA" w:eastAsia="zh-CN"/>
        </w:rPr>
        <w:t>intraTMP</w:t>
      </w:r>
      <w:proofErr w:type="spellEnd"/>
      <w:r w:rsidR="00BA51F4">
        <w:rPr>
          <w:b/>
          <w:bCs/>
          <w:szCs w:val="22"/>
          <w:lang w:val="en-CA" w:eastAsia="zh-CN"/>
        </w:rPr>
        <w:t>;</w:t>
      </w:r>
    </w:p>
    <w:p w14:paraId="60E9E5DB" w14:textId="79733A44" w:rsidR="0035262A" w:rsidRPr="00CD666D" w:rsidRDefault="00BA51F4" w:rsidP="0035262A">
      <w:pPr>
        <w:jc w:val="center"/>
        <w:rPr>
          <w:b/>
          <w:bCs/>
          <w:sz w:val="18"/>
          <w:szCs w:val="18"/>
          <w:lang w:val="en-CA" w:eastAsia="zh-CN"/>
        </w:rPr>
      </w:pPr>
      <w:r>
        <w:rPr>
          <w:b/>
          <w:bCs/>
          <w:szCs w:val="22"/>
          <w:lang w:val="en-CA" w:eastAsia="zh-CN"/>
        </w:rPr>
        <w:t>(b)</w:t>
      </w:r>
      <w:r w:rsidR="0035262A" w:rsidRPr="005555B2">
        <w:rPr>
          <w:b/>
          <w:bCs/>
          <w:szCs w:val="22"/>
          <w:lang w:val="en-CA" w:eastAsia="zh-CN"/>
        </w:rPr>
        <w:t xml:space="preserve">: all available search areas restricted by </w:t>
      </w:r>
      <w:r w:rsidR="00FF22F0">
        <w:rPr>
          <w:b/>
          <w:bCs/>
          <w:szCs w:val="22"/>
          <w:lang w:val="en-CA" w:eastAsia="zh-CN"/>
        </w:rPr>
        <w:t xml:space="preserve">the </w:t>
      </w:r>
      <w:r w:rsidR="0035262A" w:rsidRPr="005555B2">
        <w:rPr>
          <w:b/>
          <w:bCs/>
          <w:szCs w:val="22"/>
          <w:lang w:val="en-CA" w:eastAsia="zh-CN"/>
        </w:rPr>
        <w:t>specified search width/height range</w:t>
      </w:r>
    </w:p>
    <w:p w14:paraId="0823E4A5" w14:textId="77777777" w:rsidR="0035262A" w:rsidRDefault="0035262A" w:rsidP="0035262A">
      <w:pPr>
        <w:pStyle w:val="Heading1"/>
        <w:rPr>
          <w:lang w:val="en-CA" w:eastAsia="zh-CN"/>
        </w:rPr>
      </w:pPr>
      <w:r>
        <w:rPr>
          <w:lang w:val="en-CA" w:eastAsia="zh-CN"/>
        </w:rPr>
        <w:t>Simulation results</w:t>
      </w:r>
    </w:p>
    <w:p w14:paraId="64073880" w14:textId="17808139"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w:t>
      </w:r>
      <w:r w:rsidR="00FF22F0">
        <w:rPr>
          <w:szCs w:val="22"/>
          <w:lang w:val="en-CA"/>
        </w:rPr>
        <w:t xml:space="preserve"> </w:t>
      </w:r>
      <w:r>
        <w:rPr>
          <w:szCs w:val="22"/>
          <w:lang w:val="en-CA"/>
        </w:rPr>
        <w:t>and tested based on the common test condition [2]. The test results are summarized in Table 1.</w:t>
      </w:r>
    </w:p>
    <w:p w14:paraId="74C2050C" w14:textId="3AACDAD8" w:rsidR="00E6091E" w:rsidRDefault="00E6091E" w:rsidP="00F07A6B">
      <w:pPr>
        <w:jc w:val="center"/>
        <w:rPr>
          <w:szCs w:val="22"/>
          <w:lang w:val="en-CA"/>
        </w:rPr>
      </w:pPr>
      <w:r w:rsidRPr="00EC0BA0">
        <w:rPr>
          <w:b/>
          <w:bCs/>
          <w:sz w:val="18"/>
          <w:szCs w:val="18"/>
        </w:rPr>
        <w:t xml:space="preserve">Table 1. The proposed </w:t>
      </w:r>
      <w:r>
        <w:rPr>
          <w:b/>
          <w:bCs/>
          <w:sz w:val="18"/>
          <w:szCs w:val="18"/>
        </w:rPr>
        <w:t>method</w:t>
      </w:r>
      <w:r w:rsidRPr="00EC0BA0">
        <w:rPr>
          <w:b/>
          <w:bCs/>
          <w:sz w:val="18"/>
          <w:szCs w:val="18"/>
        </w:rPr>
        <w:t xml:space="preserve"> over ECM-</w:t>
      </w:r>
      <w:r>
        <w:rPr>
          <w:b/>
          <w:bCs/>
          <w:sz w:val="18"/>
          <w:szCs w:val="18"/>
        </w:rPr>
        <w:t>9</w:t>
      </w:r>
      <w:r w:rsidRPr="00EC0BA0">
        <w:rPr>
          <w:b/>
          <w:bCs/>
          <w:sz w:val="18"/>
          <w:szCs w:val="18"/>
        </w:rPr>
        <w:t>.0</w:t>
      </w:r>
    </w:p>
    <w:tbl>
      <w:tblPr>
        <w:tblW w:w="6361" w:type="dxa"/>
        <w:jc w:val="center"/>
        <w:tblLook w:val="04A0" w:firstRow="1" w:lastRow="0" w:firstColumn="1" w:lastColumn="0" w:noHBand="0" w:noVBand="1"/>
      </w:tblPr>
      <w:tblGrid>
        <w:gridCol w:w="1060"/>
        <w:gridCol w:w="1033"/>
        <w:gridCol w:w="1033"/>
        <w:gridCol w:w="1033"/>
        <w:gridCol w:w="1101"/>
        <w:gridCol w:w="1101"/>
      </w:tblGrid>
      <w:tr w:rsidR="00E6091E" w:rsidRPr="002B0DF3" w14:paraId="4FB22218"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7A4225B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AD416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All Intra Main 10</w:t>
            </w:r>
          </w:p>
        </w:tc>
      </w:tr>
      <w:tr w:rsidR="00E6091E" w:rsidRPr="002B0DF3" w14:paraId="4E89181F"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7FD2D63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712AF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Over ECM-9.0</w:t>
            </w:r>
          </w:p>
        </w:tc>
      </w:tr>
      <w:tr w:rsidR="00E6091E" w:rsidRPr="002B0DF3" w14:paraId="3158AC1F"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7C6F3C6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26DC8EF"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Y</w:t>
            </w:r>
          </w:p>
        </w:tc>
        <w:tc>
          <w:tcPr>
            <w:tcW w:w="1033" w:type="dxa"/>
            <w:tcBorders>
              <w:top w:val="nil"/>
              <w:left w:val="nil"/>
              <w:bottom w:val="single" w:sz="8" w:space="0" w:color="auto"/>
              <w:right w:val="nil"/>
            </w:tcBorders>
            <w:shd w:val="clear" w:color="auto" w:fill="auto"/>
            <w:noWrap/>
            <w:vAlign w:val="center"/>
            <w:hideMark/>
          </w:tcPr>
          <w:p w14:paraId="58C2609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U</w:t>
            </w:r>
          </w:p>
        </w:tc>
        <w:tc>
          <w:tcPr>
            <w:tcW w:w="1033" w:type="dxa"/>
            <w:tcBorders>
              <w:top w:val="nil"/>
              <w:left w:val="nil"/>
              <w:bottom w:val="single" w:sz="8" w:space="0" w:color="auto"/>
              <w:right w:val="single" w:sz="4" w:space="0" w:color="auto"/>
            </w:tcBorders>
            <w:shd w:val="clear" w:color="auto" w:fill="auto"/>
            <w:noWrap/>
            <w:vAlign w:val="center"/>
            <w:hideMark/>
          </w:tcPr>
          <w:p w14:paraId="3400BD6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V</w:t>
            </w:r>
          </w:p>
        </w:tc>
        <w:tc>
          <w:tcPr>
            <w:tcW w:w="1101" w:type="dxa"/>
            <w:tcBorders>
              <w:top w:val="nil"/>
              <w:left w:val="nil"/>
              <w:bottom w:val="single" w:sz="8" w:space="0" w:color="auto"/>
              <w:right w:val="nil"/>
            </w:tcBorders>
            <w:shd w:val="clear" w:color="auto" w:fill="auto"/>
            <w:noWrap/>
            <w:vAlign w:val="center"/>
            <w:hideMark/>
          </w:tcPr>
          <w:p w14:paraId="1B6DE60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B0DF3">
              <w:rPr>
                <w:rFonts w:ascii="Arial" w:eastAsia="Times New Roman" w:hAnsi="Arial" w:cs="Arial"/>
                <w:color w:val="000000"/>
                <w:sz w:val="18"/>
                <w:szCs w:val="18"/>
                <w:lang w:eastAsia="zh-CN"/>
              </w:rPr>
              <w:t>EncT</w:t>
            </w:r>
            <w:proofErr w:type="spellEnd"/>
          </w:p>
        </w:tc>
        <w:tc>
          <w:tcPr>
            <w:tcW w:w="1101" w:type="dxa"/>
            <w:tcBorders>
              <w:top w:val="nil"/>
              <w:left w:val="nil"/>
              <w:bottom w:val="single" w:sz="8" w:space="0" w:color="auto"/>
              <w:right w:val="single" w:sz="8" w:space="0" w:color="auto"/>
            </w:tcBorders>
            <w:shd w:val="clear" w:color="auto" w:fill="auto"/>
            <w:noWrap/>
            <w:vAlign w:val="center"/>
            <w:hideMark/>
          </w:tcPr>
          <w:p w14:paraId="621DEEA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B0DF3">
              <w:rPr>
                <w:rFonts w:ascii="Arial" w:eastAsia="Times New Roman" w:hAnsi="Arial" w:cs="Arial"/>
                <w:color w:val="000000"/>
                <w:sz w:val="18"/>
                <w:szCs w:val="18"/>
                <w:lang w:eastAsia="zh-CN"/>
              </w:rPr>
              <w:t>DecT</w:t>
            </w:r>
            <w:proofErr w:type="spellEnd"/>
          </w:p>
        </w:tc>
      </w:tr>
      <w:tr w:rsidR="00E6091E" w:rsidRPr="002B0DF3" w14:paraId="49B858EF"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CFF0F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115CD79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-0.05%</w:t>
            </w:r>
          </w:p>
        </w:tc>
        <w:tc>
          <w:tcPr>
            <w:tcW w:w="1033" w:type="dxa"/>
            <w:tcBorders>
              <w:top w:val="nil"/>
              <w:left w:val="nil"/>
              <w:bottom w:val="nil"/>
              <w:right w:val="nil"/>
            </w:tcBorders>
            <w:shd w:val="clear" w:color="auto" w:fill="auto"/>
            <w:noWrap/>
            <w:vAlign w:val="center"/>
            <w:hideMark/>
          </w:tcPr>
          <w:p w14:paraId="31C70F0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-0.13%</w:t>
            </w:r>
          </w:p>
        </w:tc>
        <w:tc>
          <w:tcPr>
            <w:tcW w:w="1033" w:type="dxa"/>
            <w:tcBorders>
              <w:top w:val="nil"/>
              <w:left w:val="nil"/>
              <w:bottom w:val="nil"/>
              <w:right w:val="single" w:sz="4" w:space="0" w:color="auto"/>
            </w:tcBorders>
            <w:shd w:val="clear" w:color="auto" w:fill="auto"/>
            <w:noWrap/>
            <w:vAlign w:val="center"/>
            <w:hideMark/>
          </w:tcPr>
          <w:p w14:paraId="3C9927B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-0.05%</w:t>
            </w:r>
          </w:p>
        </w:tc>
        <w:tc>
          <w:tcPr>
            <w:tcW w:w="1101" w:type="dxa"/>
            <w:tcBorders>
              <w:top w:val="nil"/>
              <w:left w:val="nil"/>
              <w:bottom w:val="nil"/>
              <w:right w:val="nil"/>
            </w:tcBorders>
            <w:shd w:val="clear" w:color="auto" w:fill="auto"/>
            <w:noWrap/>
            <w:vAlign w:val="center"/>
            <w:hideMark/>
          </w:tcPr>
          <w:p w14:paraId="5A96321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101.1%</w:t>
            </w:r>
          </w:p>
        </w:tc>
        <w:tc>
          <w:tcPr>
            <w:tcW w:w="1101" w:type="dxa"/>
            <w:tcBorders>
              <w:top w:val="nil"/>
              <w:left w:val="nil"/>
              <w:bottom w:val="nil"/>
              <w:right w:val="single" w:sz="8" w:space="0" w:color="auto"/>
            </w:tcBorders>
            <w:shd w:val="clear" w:color="auto" w:fill="auto"/>
            <w:noWrap/>
            <w:vAlign w:val="center"/>
            <w:hideMark/>
          </w:tcPr>
          <w:p w14:paraId="4F0D3BB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100.7%</w:t>
            </w:r>
          </w:p>
        </w:tc>
      </w:tr>
      <w:tr w:rsidR="00E6091E" w:rsidRPr="002B0DF3" w14:paraId="071850BB"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389BE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56C2711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-0.24%</w:t>
            </w:r>
          </w:p>
        </w:tc>
        <w:tc>
          <w:tcPr>
            <w:tcW w:w="1033" w:type="dxa"/>
            <w:tcBorders>
              <w:top w:val="nil"/>
              <w:left w:val="nil"/>
              <w:bottom w:val="nil"/>
              <w:right w:val="nil"/>
            </w:tcBorders>
            <w:shd w:val="clear" w:color="auto" w:fill="auto"/>
            <w:noWrap/>
            <w:vAlign w:val="center"/>
            <w:hideMark/>
          </w:tcPr>
          <w:p w14:paraId="7C788C3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-0.28%</w:t>
            </w:r>
          </w:p>
        </w:tc>
        <w:tc>
          <w:tcPr>
            <w:tcW w:w="1033" w:type="dxa"/>
            <w:tcBorders>
              <w:top w:val="nil"/>
              <w:left w:val="nil"/>
              <w:bottom w:val="nil"/>
              <w:right w:val="single" w:sz="4" w:space="0" w:color="auto"/>
            </w:tcBorders>
            <w:shd w:val="clear" w:color="auto" w:fill="auto"/>
            <w:noWrap/>
            <w:vAlign w:val="center"/>
            <w:hideMark/>
          </w:tcPr>
          <w:p w14:paraId="37A706A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-0.26%</w:t>
            </w:r>
          </w:p>
        </w:tc>
        <w:tc>
          <w:tcPr>
            <w:tcW w:w="1101" w:type="dxa"/>
            <w:tcBorders>
              <w:top w:val="nil"/>
              <w:left w:val="nil"/>
              <w:bottom w:val="nil"/>
              <w:right w:val="nil"/>
            </w:tcBorders>
            <w:shd w:val="clear" w:color="auto" w:fill="auto"/>
            <w:noWrap/>
            <w:vAlign w:val="center"/>
            <w:hideMark/>
          </w:tcPr>
          <w:p w14:paraId="1DB7CA6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100.5%</w:t>
            </w:r>
          </w:p>
        </w:tc>
        <w:tc>
          <w:tcPr>
            <w:tcW w:w="1101" w:type="dxa"/>
            <w:tcBorders>
              <w:top w:val="nil"/>
              <w:left w:val="nil"/>
              <w:bottom w:val="nil"/>
              <w:right w:val="single" w:sz="8" w:space="0" w:color="auto"/>
            </w:tcBorders>
            <w:shd w:val="clear" w:color="auto" w:fill="auto"/>
            <w:noWrap/>
            <w:vAlign w:val="center"/>
            <w:hideMark/>
          </w:tcPr>
          <w:p w14:paraId="2EDD9E8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102.2%</w:t>
            </w:r>
          </w:p>
        </w:tc>
      </w:tr>
      <w:tr w:rsidR="00E6091E" w:rsidRPr="002B0DF3" w14:paraId="0FD13C60"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DDD0A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B</w:t>
            </w:r>
          </w:p>
        </w:tc>
        <w:tc>
          <w:tcPr>
            <w:tcW w:w="1033" w:type="dxa"/>
            <w:tcBorders>
              <w:top w:val="nil"/>
              <w:left w:val="nil"/>
              <w:bottom w:val="nil"/>
              <w:right w:val="nil"/>
            </w:tcBorders>
            <w:shd w:val="clear" w:color="auto" w:fill="auto"/>
            <w:noWrap/>
            <w:vAlign w:val="center"/>
            <w:hideMark/>
          </w:tcPr>
          <w:p w14:paraId="3A9B664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-0.35%</w:t>
            </w:r>
          </w:p>
        </w:tc>
        <w:tc>
          <w:tcPr>
            <w:tcW w:w="1033" w:type="dxa"/>
            <w:tcBorders>
              <w:top w:val="nil"/>
              <w:left w:val="nil"/>
              <w:bottom w:val="nil"/>
              <w:right w:val="nil"/>
            </w:tcBorders>
            <w:shd w:val="clear" w:color="auto" w:fill="auto"/>
            <w:noWrap/>
            <w:vAlign w:val="center"/>
            <w:hideMark/>
          </w:tcPr>
          <w:p w14:paraId="76AF54B5"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-0.32%</w:t>
            </w:r>
          </w:p>
        </w:tc>
        <w:tc>
          <w:tcPr>
            <w:tcW w:w="1033" w:type="dxa"/>
            <w:tcBorders>
              <w:top w:val="nil"/>
              <w:left w:val="nil"/>
              <w:bottom w:val="nil"/>
              <w:right w:val="single" w:sz="4" w:space="0" w:color="auto"/>
            </w:tcBorders>
            <w:shd w:val="clear" w:color="auto" w:fill="auto"/>
            <w:noWrap/>
            <w:vAlign w:val="center"/>
            <w:hideMark/>
          </w:tcPr>
          <w:p w14:paraId="3F51965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-0.26%</w:t>
            </w:r>
          </w:p>
        </w:tc>
        <w:tc>
          <w:tcPr>
            <w:tcW w:w="1101" w:type="dxa"/>
            <w:tcBorders>
              <w:top w:val="nil"/>
              <w:left w:val="nil"/>
              <w:bottom w:val="nil"/>
              <w:right w:val="nil"/>
            </w:tcBorders>
            <w:shd w:val="clear" w:color="auto" w:fill="auto"/>
            <w:noWrap/>
            <w:vAlign w:val="center"/>
            <w:hideMark/>
          </w:tcPr>
          <w:p w14:paraId="3800974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100.6%</w:t>
            </w:r>
          </w:p>
        </w:tc>
        <w:tc>
          <w:tcPr>
            <w:tcW w:w="1101" w:type="dxa"/>
            <w:tcBorders>
              <w:top w:val="nil"/>
              <w:left w:val="nil"/>
              <w:bottom w:val="nil"/>
              <w:right w:val="single" w:sz="8" w:space="0" w:color="auto"/>
            </w:tcBorders>
            <w:shd w:val="clear" w:color="auto" w:fill="auto"/>
            <w:noWrap/>
            <w:vAlign w:val="center"/>
            <w:hideMark/>
          </w:tcPr>
          <w:p w14:paraId="09B8C10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103.4%</w:t>
            </w:r>
          </w:p>
        </w:tc>
      </w:tr>
      <w:tr w:rsidR="00E6091E" w:rsidRPr="002B0DF3" w14:paraId="15939EAF"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05EFC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C</w:t>
            </w:r>
          </w:p>
        </w:tc>
        <w:tc>
          <w:tcPr>
            <w:tcW w:w="1033" w:type="dxa"/>
            <w:tcBorders>
              <w:top w:val="nil"/>
              <w:left w:val="nil"/>
              <w:bottom w:val="nil"/>
              <w:right w:val="nil"/>
            </w:tcBorders>
            <w:shd w:val="clear" w:color="auto" w:fill="auto"/>
            <w:noWrap/>
            <w:vAlign w:val="center"/>
            <w:hideMark/>
          </w:tcPr>
          <w:p w14:paraId="23CBF13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-0.13%</w:t>
            </w:r>
          </w:p>
        </w:tc>
        <w:tc>
          <w:tcPr>
            <w:tcW w:w="1033" w:type="dxa"/>
            <w:tcBorders>
              <w:top w:val="nil"/>
              <w:left w:val="nil"/>
              <w:bottom w:val="nil"/>
              <w:right w:val="nil"/>
            </w:tcBorders>
            <w:shd w:val="clear" w:color="auto" w:fill="auto"/>
            <w:noWrap/>
            <w:vAlign w:val="center"/>
            <w:hideMark/>
          </w:tcPr>
          <w:p w14:paraId="61F1C1F7"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-0.17%</w:t>
            </w:r>
          </w:p>
        </w:tc>
        <w:tc>
          <w:tcPr>
            <w:tcW w:w="1033" w:type="dxa"/>
            <w:tcBorders>
              <w:top w:val="nil"/>
              <w:left w:val="nil"/>
              <w:bottom w:val="nil"/>
              <w:right w:val="single" w:sz="4" w:space="0" w:color="auto"/>
            </w:tcBorders>
            <w:shd w:val="clear" w:color="auto" w:fill="auto"/>
            <w:noWrap/>
            <w:vAlign w:val="center"/>
            <w:hideMark/>
          </w:tcPr>
          <w:p w14:paraId="12AB0BA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-0.12%</w:t>
            </w:r>
          </w:p>
        </w:tc>
        <w:tc>
          <w:tcPr>
            <w:tcW w:w="1101" w:type="dxa"/>
            <w:tcBorders>
              <w:top w:val="nil"/>
              <w:left w:val="nil"/>
              <w:bottom w:val="nil"/>
              <w:right w:val="nil"/>
            </w:tcBorders>
            <w:shd w:val="clear" w:color="auto" w:fill="auto"/>
            <w:noWrap/>
            <w:vAlign w:val="center"/>
            <w:hideMark/>
          </w:tcPr>
          <w:p w14:paraId="46EAE73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100.5%</w:t>
            </w:r>
          </w:p>
        </w:tc>
        <w:tc>
          <w:tcPr>
            <w:tcW w:w="1101" w:type="dxa"/>
            <w:tcBorders>
              <w:top w:val="nil"/>
              <w:left w:val="nil"/>
              <w:bottom w:val="nil"/>
              <w:right w:val="single" w:sz="8" w:space="0" w:color="auto"/>
            </w:tcBorders>
            <w:shd w:val="clear" w:color="auto" w:fill="auto"/>
            <w:noWrap/>
            <w:vAlign w:val="center"/>
            <w:hideMark/>
          </w:tcPr>
          <w:p w14:paraId="3CB5629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101.9%</w:t>
            </w:r>
          </w:p>
        </w:tc>
      </w:tr>
      <w:tr w:rsidR="00E6091E" w:rsidRPr="002B0DF3" w14:paraId="5F07EC45"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3B6E0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11F8BCD7"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-0.24%</w:t>
            </w:r>
          </w:p>
        </w:tc>
        <w:tc>
          <w:tcPr>
            <w:tcW w:w="1033" w:type="dxa"/>
            <w:tcBorders>
              <w:top w:val="nil"/>
              <w:left w:val="nil"/>
              <w:bottom w:val="nil"/>
              <w:right w:val="nil"/>
            </w:tcBorders>
            <w:shd w:val="clear" w:color="auto" w:fill="auto"/>
            <w:noWrap/>
            <w:vAlign w:val="center"/>
            <w:hideMark/>
          </w:tcPr>
          <w:p w14:paraId="0E7143B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-0.04%</w:t>
            </w:r>
          </w:p>
        </w:tc>
        <w:tc>
          <w:tcPr>
            <w:tcW w:w="1033" w:type="dxa"/>
            <w:tcBorders>
              <w:top w:val="nil"/>
              <w:left w:val="nil"/>
              <w:bottom w:val="nil"/>
              <w:right w:val="single" w:sz="4" w:space="0" w:color="auto"/>
            </w:tcBorders>
            <w:shd w:val="clear" w:color="auto" w:fill="auto"/>
            <w:noWrap/>
            <w:vAlign w:val="center"/>
            <w:hideMark/>
          </w:tcPr>
          <w:p w14:paraId="2A3FCBD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0.05%</w:t>
            </w:r>
          </w:p>
        </w:tc>
        <w:tc>
          <w:tcPr>
            <w:tcW w:w="1101" w:type="dxa"/>
            <w:tcBorders>
              <w:top w:val="nil"/>
              <w:left w:val="nil"/>
              <w:bottom w:val="nil"/>
              <w:right w:val="nil"/>
            </w:tcBorders>
            <w:shd w:val="clear" w:color="auto" w:fill="auto"/>
            <w:noWrap/>
            <w:vAlign w:val="center"/>
            <w:hideMark/>
          </w:tcPr>
          <w:p w14:paraId="6C7C342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100.2%</w:t>
            </w:r>
          </w:p>
        </w:tc>
        <w:tc>
          <w:tcPr>
            <w:tcW w:w="1101" w:type="dxa"/>
            <w:tcBorders>
              <w:top w:val="nil"/>
              <w:left w:val="nil"/>
              <w:bottom w:val="nil"/>
              <w:right w:val="single" w:sz="8" w:space="0" w:color="auto"/>
            </w:tcBorders>
            <w:shd w:val="clear" w:color="auto" w:fill="auto"/>
            <w:noWrap/>
            <w:vAlign w:val="center"/>
            <w:hideMark/>
          </w:tcPr>
          <w:p w14:paraId="73E97A5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103.0%</w:t>
            </w:r>
          </w:p>
        </w:tc>
      </w:tr>
      <w:tr w:rsidR="00E6091E" w:rsidRPr="002B0DF3" w14:paraId="45CEFA90"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FFEC9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Overall</w:t>
            </w:r>
          </w:p>
        </w:tc>
        <w:tc>
          <w:tcPr>
            <w:tcW w:w="1033" w:type="dxa"/>
            <w:tcBorders>
              <w:top w:val="single" w:sz="8" w:space="0" w:color="auto"/>
              <w:left w:val="nil"/>
              <w:bottom w:val="nil"/>
              <w:right w:val="nil"/>
            </w:tcBorders>
            <w:shd w:val="clear" w:color="auto" w:fill="auto"/>
            <w:noWrap/>
            <w:vAlign w:val="center"/>
            <w:hideMark/>
          </w:tcPr>
          <w:p w14:paraId="6E24D27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-0.22%</w:t>
            </w:r>
          </w:p>
        </w:tc>
        <w:tc>
          <w:tcPr>
            <w:tcW w:w="1033" w:type="dxa"/>
            <w:tcBorders>
              <w:top w:val="single" w:sz="8" w:space="0" w:color="auto"/>
              <w:left w:val="nil"/>
              <w:bottom w:val="nil"/>
              <w:right w:val="nil"/>
            </w:tcBorders>
            <w:shd w:val="clear" w:color="auto" w:fill="auto"/>
            <w:noWrap/>
            <w:vAlign w:val="center"/>
            <w:hideMark/>
          </w:tcPr>
          <w:p w14:paraId="15AB2F7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-0.20%</w:t>
            </w:r>
          </w:p>
        </w:tc>
        <w:tc>
          <w:tcPr>
            <w:tcW w:w="1033" w:type="dxa"/>
            <w:tcBorders>
              <w:top w:val="single" w:sz="8" w:space="0" w:color="auto"/>
              <w:left w:val="nil"/>
              <w:bottom w:val="nil"/>
              <w:right w:val="single" w:sz="4" w:space="0" w:color="auto"/>
            </w:tcBorders>
            <w:shd w:val="clear" w:color="auto" w:fill="auto"/>
            <w:noWrap/>
            <w:vAlign w:val="center"/>
            <w:hideMark/>
          </w:tcPr>
          <w:p w14:paraId="6348DB65"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-0.14%</w:t>
            </w:r>
          </w:p>
        </w:tc>
        <w:tc>
          <w:tcPr>
            <w:tcW w:w="1101" w:type="dxa"/>
            <w:tcBorders>
              <w:top w:val="single" w:sz="8" w:space="0" w:color="auto"/>
              <w:left w:val="nil"/>
              <w:bottom w:val="nil"/>
              <w:right w:val="nil"/>
            </w:tcBorders>
            <w:shd w:val="clear" w:color="auto" w:fill="auto"/>
            <w:noWrap/>
            <w:vAlign w:val="center"/>
            <w:hideMark/>
          </w:tcPr>
          <w:p w14:paraId="7D15927F"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100.6%</w:t>
            </w:r>
          </w:p>
        </w:tc>
        <w:tc>
          <w:tcPr>
            <w:tcW w:w="1101" w:type="dxa"/>
            <w:tcBorders>
              <w:top w:val="single" w:sz="8" w:space="0" w:color="auto"/>
              <w:left w:val="nil"/>
              <w:bottom w:val="nil"/>
              <w:right w:val="single" w:sz="8" w:space="0" w:color="auto"/>
            </w:tcBorders>
            <w:shd w:val="clear" w:color="auto" w:fill="auto"/>
            <w:noWrap/>
            <w:vAlign w:val="center"/>
            <w:hideMark/>
          </w:tcPr>
          <w:p w14:paraId="3FA2060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102.3%</w:t>
            </w:r>
          </w:p>
        </w:tc>
      </w:tr>
      <w:tr w:rsidR="00E6091E" w:rsidRPr="002B0DF3" w14:paraId="4B42EAF6"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F37F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D</w:t>
            </w:r>
          </w:p>
        </w:tc>
        <w:tc>
          <w:tcPr>
            <w:tcW w:w="1033" w:type="dxa"/>
            <w:tcBorders>
              <w:top w:val="single" w:sz="8" w:space="0" w:color="auto"/>
              <w:left w:val="nil"/>
              <w:bottom w:val="nil"/>
              <w:right w:val="nil"/>
            </w:tcBorders>
            <w:shd w:val="clear" w:color="auto" w:fill="auto"/>
            <w:noWrap/>
            <w:vAlign w:val="center"/>
            <w:hideMark/>
          </w:tcPr>
          <w:p w14:paraId="35C397F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-0.01%</w:t>
            </w:r>
          </w:p>
        </w:tc>
        <w:tc>
          <w:tcPr>
            <w:tcW w:w="1033" w:type="dxa"/>
            <w:tcBorders>
              <w:top w:val="single" w:sz="8" w:space="0" w:color="auto"/>
              <w:left w:val="nil"/>
              <w:bottom w:val="nil"/>
              <w:right w:val="nil"/>
            </w:tcBorders>
            <w:shd w:val="clear" w:color="auto" w:fill="auto"/>
            <w:noWrap/>
            <w:vAlign w:val="center"/>
            <w:hideMark/>
          </w:tcPr>
          <w:p w14:paraId="2BA8A06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-0.06%</w:t>
            </w:r>
          </w:p>
        </w:tc>
        <w:tc>
          <w:tcPr>
            <w:tcW w:w="1033" w:type="dxa"/>
            <w:tcBorders>
              <w:top w:val="single" w:sz="8" w:space="0" w:color="auto"/>
              <w:left w:val="nil"/>
              <w:bottom w:val="nil"/>
              <w:right w:val="single" w:sz="4" w:space="0" w:color="auto"/>
            </w:tcBorders>
            <w:shd w:val="clear" w:color="auto" w:fill="auto"/>
            <w:noWrap/>
            <w:vAlign w:val="center"/>
            <w:hideMark/>
          </w:tcPr>
          <w:p w14:paraId="7F1ECE4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-0.04%</w:t>
            </w:r>
          </w:p>
        </w:tc>
        <w:tc>
          <w:tcPr>
            <w:tcW w:w="1101" w:type="dxa"/>
            <w:tcBorders>
              <w:top w:val="single" w:sz="8" w:space="0" w:color="auto"/>
              <w:left w:val="nil"/>
              <w:bottom w:val="nil"/>
              <w:right w:val="nil"/>
            </w:tcBorders>
            <w:shd w:val="clear" w:color="auto" w:fill="auto"/>
            <w:noWrap/>
            <w:vAlign w:val="center"/>
            <w:hideMark/>
          </w:tcPr>
          <w:p w14:paraId="5BDBAC5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101.3%</w:t>
            </w:r>
          </w:p>
        </w:tc>
        <w:tc>
          <w:tcPr>
            <w:tcW w:w="1101" w:type="dxa"/>
            <w:tcBorders>
              <w:top w:val="single" w:sz="8" w:space="0" w:color="auto"/>
              <w:left w:val="nil"/>
              <w:bottom w:val="nil"/>
              <w:right w:val="single" w:sz="8" w:space="0" w:color="auto"/>
            </w:tcBorders>
            <w:shd w:val="clear" w:color="auto" w:fill="auto"/>
            <w:noWrap/>
            <w:vAlign w:val="center"/>
            <w:hideMark/>
          </w:tcPr>
          <w:p w14:paraId="156E807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101.4%</w:t>
            </w:r>
          </w:p>
        </w:tc>
      </w:tr>
      <w:tr w:rsidR="00E6091E" w:rsidRPr="002B0DF3" w14:paraId="299CE4FC"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3CACC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F</w:t>
            </w:r>
          </w:p>
        </w:tc>
        <w:tc>
          <w:tcPr>
            <w:tcW w:w="1033" w:type="dxa"/>
            <w:tcBorders>
              <w:top w:val="nil"/>
              <w:left w:val="nil"/>
              <w:bottom w:val="nil"/>
              <w:right w:val="nil"/>
            </w:tcBorders>
            <w:shd w:val="clear" w:color="auto" w:fill="auto"/>
            <w:noWrap/>
            <w:vAlign w:val="center"/>
            <w:hideMark/>
          </w:tcPr>
          <w:p w14:paraId="6FBCCD6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-0.12%</w:t>
            </w:r>
          </w:p>
        </w:tc>
        <w:tc>
          <w:tcPr>
            <w:tcW w:w="1033" w:type="dxa"/>
            <w:tcBorders>
              <w:top w:val="nil"/>
              <w:left w:val="nil"/>
              <w:bottom w:val="nil"/>
              <w:right w:val="nil"/>
            </w:tcBorders>
            <w:shd w:val="clear" w:color="auto" w:fill="auto"/>
            <w:noWrap/>
            <w:vAlign w:val="center"/>
            <w:hideMark/>
          </w:tcPr>
          <w:p w14:paraId="39206EA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0.02%</w:t>
            </w:r>
          </w:p>
        </w:tc>
        <w:tc>
          <w:tcPr>
            <w:tcW w:w="1033" w:type="dxa"/>
            <w:tcBorders>
              <w:top w:val="nil"/>
              <w:left w:val="nil"/>
              <w:bottom w:val="nil"/>
              <w:right w:val="single" w:sz="4" w:space="0" w:color="auto"/>
            </w:tcBorders>
            <w:shd w:val="clear" w:color="auto" w:fill="auto"/>
            <w:noWrap/>
            <w:vAlign w:val="center"/>
            <w:hideMark/>
          </w:tcPr>
          <w:p w14:paraId="2C41400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-0.10%</w:t>
            </w:r>
          </w:p>
        </w:tc>
        <w:tc>
          <w:tcPr>
            <w:tcW w:w="1101" w:type="dxa"/>
            <w:tcBorders>
              <w:top w:val="nil"/>
              <w:left w:val="nil"/>
              <w:bottom w:val="nil"/>
              <w:right w:val="nil"/>
            </w:tcBorders>
            <w:shd w:val="clear" w:color="auto" w:fill="auto"/>
            <w:noWrap/>
            <w:vAlign w:val="center"/>
            <w:hideMark/>
          </w:tcPr>
          <w:p w14:paraId="5E430E95"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101.0%</w:t>
            </w:r>
          </w:p>
        </w:tc>
        <w:tc>
          <w:tcPr>
            <w:tcW w:w="1101" w:type="dxa"/>
            <w:tcBorders>
              <w:top w:val="nil"/>
              <w:left w:val="nil"/>
              <w:bottom w:val="nil"/>
              <w:right w:val="single" w:sz="8" w:space="0" w:color="auto"/>
            </w:tcBorders>
            <w:shd w:val="clear" w:color="auto" w:fill="auto"/>
            <w:noWrap/>
            <w:vAlign w:val="center"/>
            <w:hideMark/>
          </w:tcPr>
          <w:p w14:paraId="4D935E7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101.4%</w:t>
            </w:r>
          </w:p>
        </w:tc>
      </w:tr>
      <w:tr w:rsidR="00E6091E" w:rsidRPr="002B0DF3" w14:paraId="4733B613" w14:textId="77777777" w:rsidTr="00F07A6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096FE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TGM</w:t>
            </w:r>
          </w:p>
        </w:tc>
        <w:tc>
          <w:tcPr>
            <w:tcW w:w="1033" w:type="dxa"/>
            <w:tcBorders>
              <w:top w:val="nil"/>
              <w:left w:val="nil"/>
              <w:bottom w:val="single" w:sz="8" w:space="0" w:color="auto"/>
              <w:right w:val="nil"/>
            </w:tcBorders>
            <w:shd w:val="clear" w:color="auto" w:fill="auto"/>
            <w:noWrap/>
            <w:vAlign w:val="center"/>
            <w:hideMark/>
          </w:tcPr>
          <w:p w14:paraId="1C16373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-0.26%</w:t>
            </w:r>
          </w:p>
        </w:tc>
        <w:tc>
          <w:tcPr>
            <w:tcW w:w="1033" w:type="dxa"/>
            <w:tcBorders>
              <w:top w:val="nil"/>
              <w:left w:val="nil"/>
              <w:bottom w:val="single" w:sz="8" w:space="0" w:color="auto"/>
              <w:right w:val="nil"/>
            </w:tcBorders>
            <w:shd w:val="clear" w:color="auto" w:fill="auto"/>
            <w:noWrap/>
            <w:vAlign w:val="center"/>
            <w:hideMark/>
          </w:tcPr>
          <w:p w14:paraId="1B5164C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-0.27%</w:t>
            </w:r>
          </w:p>
        </w:tc>
        <w:tc>
          <w:tcPr>
            <w:tcW w:w="1033" w:type="dxa"/>
            <w:tcBorders>
              <w:top w:val="nil"/>
              <w:left w:val="nil"/>
              <w:bottom w:val="single" w:sz="8" w:space="0" w:color="auto"/>
              <w:right w:val="single" w:sz="4" w:space="0" w:color="auto"/>
            </w:tcBorders>
            <w:shd w:val="clear" w:color="auto" w:fill="auto"/>
            <w:noWrap/>
            <w:vAlign w:val="center"/>
            <w:hideMark/>
          </w:tcPr>
          <w:p w14:paraId="1C949D7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-0.26%</w:t>
            </w:r>
          </w:p>
        </w:tc>
        <w:tc>
          <w:tcPr>
            <w:tcW w:w="1101" w:type="dxa"/>
            <w:tcBorders>
              <w:top w:val="nil"/>
              <w:left w:val="nil"/>
              <w:bottom w:val="single" w:sz="8" w:space="0" w:color="auto"/>
              <w:right w:val="nil"/>
            </w:tcBorders>
            <w:shd w:val="clear" w:color="auto" w:fill="auto"/>
            <w:noWrap/>
            <w:vAlign w:val="center"/>
            <w:hideMark/>
          </w:tcPr>
          <w:p w14:paraId="0C6A5A7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101.3%</w:t>
            </w:r>
          </w:p>
        </w:tc>
        <w:tc>
          <w:tcPr>
            <w:tcW w:w="1101" w:type="dxa"/>
            <w:tcBorders>
              <w:top w:val="nil"/>
              <w:left w:val="nil"/>
              <w:bottom w:val="single" w:sz="8" w:space="0" w:color="auto"/>
              <w:right w:val="single" w:sz="8" w:space="0" w:color="auto"/>
            </w:tcBorders>
            <w:shd w:val="clear" w:color="auto" w:fill="auto"/>
            <w:noWrap/>
            <w:vAlign w:val="center"/>
            <w:hideMark/>
          </w:tcPr>
          <w:p w14:paraId="671C63F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103.3%</w:t>
            </w:r>
          </w:p>
        </w:tc>
      </w:tr>
    </w:tbl>
    <w:p w14:paraId="7DAA0E22" w14:textId="77777777" w:rsidR="002B0DF3" w:rsidRDefault="002B0DF3" w:rsidP="00F07A6B">
      <w:pPr>
        <w:rPr>
          <w:b/>
          <w:bCs/>
          <w:sz w:val="18"/>
          <w:szCs w:val="18"/>
        </w:rPr>
      </w:pPr>
    </w:p>
    <w:tbl>
      <w:tblPr>
        <w:tblW w:w="6361" w:type="dxa"/>
        <w:jc w:val="center"/>
        <w:tblLook w:val="04A0" w:firstRow="1" w:lastRow="0" w:firstColumn="1" w:lastColumn="0" w:noHBand="0" w:noVBand="1"/>
      </w:tblPr>
      <w:tblGrid>
        <w:gridCol w:w="1060"/>
        <w:gridCol w:w="1033"/>
        <w:gridCol w:w="1033"/>
        <w:gridCol w:w="1033"/>
        <w:gridCol w:w="1101"/>
        <w:gridCol w:w="1101"/>
      </w:tblGrid>
      <w:tr w:rsidR="00E6091E" w:rsidRPr="002B0DF3" w14:paraId="00D7E10E"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399298D7"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FE463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Random Access Main 10</w:t>
            </w:r>
          </w:p>
        </w:tc>
      </w:tr>
      <w:tr w:rsidR="00E6091E" w:rsidRPr="002B0DF3" w14:paraId="5285065B"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74E1975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D78133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Over ECM-9.0</w:t>
            </w:r>
          </w:p>
        </w:tc>
      </w:tr>
      <w:tr w:rsidR="00E6091E" w:rsidRPr="002B0DF3" w14:paraId="3C850916" w14:textId="77777777" w:rsidTr="00F07A6B">
        <w:trPr>
          <w:trHeight w:val="255"/>
          <w:jc w:val="center"/>
        </w:trPr>
        <w:tc>
          <w:tcPr>
            <w:tcW w:w="1060" w:type="dxa"/>
            <w:tcBorders>
              <w:top w:val="nil"/>
              <w:left w:val="nil"/>
              <w:bottom w:val="nil"/>
              <w:right w:val="nil"/>
            </w:tcBorders>
            <w:shd w:val="clear" w:color="auto" w:fill="auto"/>
            <w:noWrap/>
            <w:vAlign w:val="center"/>
            <w:hideMark/>
          </w:tcPr>
          <w:p w14:paraId="5451BCC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EC50C5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Y</w:t>
            </w:r>
          </w:p>
        </w:tc>
        <w:tc>
          <w:tcPr>
            <w:tcW w:w="1033" w:type="dxa"/>
            <w:tcBorders>
              <w:top w:val="nil"/>
              <w:left w:val="nil"/>
              <w:bottom w:val="single" w:sz="8" w:space="0" w:color="auto"/>
              <w:right w:val="nil"/>
            </w:tcBorders>
            <w:shd w:val="clear" w:color="auto" w:fill="auto"/>
            <w:noWrap/>
            <w:vAlign w:val="center"/>
            <w:hideMark/>
          </w:tcPr>
          <w:p w14:paraId="4876655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U</w:t>
            </w:r>
          </w:p>
        </w:tc>
        <w:tc>
          <w:tcPr>
            <w:tcW w:w="1033" w:type="dxa"/>
            <w:tcBorders>
              <w:top w:val="nil"/>
              <w:left w:val="nil"/>
              <w:bottom w:val="single" w:sz="8" w:space="0" w:color="auto"/>
              <w:right w:val="single" w:sz="4" w:space="0" w:color="auto"/>
            </w:tcBorders>
            <w:shd w:val="clear" w:color="auto" w:fill="auto"/>
            <w:noWrap/>
            <w:vAlign w:val="center"/>
            <w:hideMark/>
          </w:tcPr>
          <w:p w14:paraId="011A228F"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V</w:t>
            </w:r>
          </w:p>
        </w:tc>
        <w:tc>
          <w:tcPr>
            <w:tcW w:w="1101" w:type="dxa"/>
            <w:tcBorders>
              <w:top w:val="nil"/>
              <w:left w:val="nil"/>
              <w:bottom w:val="single" w:sz="8" w:space="0" w:color="auto"/>
              <w:right w:val="nil"/>
            </w:tcBorders>
            <w:shd w:val="clear" w:color="auto" w:fill="auto"/>
            <w:noWrap/>
            <w:vAlign w:val="center"/>
            <w:hideMark/>
          </w:tcPr>
          <w:p w14:paraId="62AC6FA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B0DF3">
              <w:rPr>
                <w:rFonts w:ascii="Arial" w:eastAsia="Times New Roman" w:hAnsi="Arial" w:cs="Arial"/>
                <w:color w:val="000000"/>
                <w:sz w:val="18"/>
                <w:szCs w:val="18"/>
                <w:lang w:eastAsia="zh-CN"/>
              </w:rPr>
              <w:t>EncT</w:t>
            </w:r>
            <w:proofErr w:type="spellEnd"/>
          </w:p>
        </w:tc>
        <w:tc>
          <w:tcPr>
            <w:tcW w:w="1101" w:type="dxa"/>
            <w:tcBorders>
              <w:top w:val="nil"/>
              <w:left w:val="nil"/>
              <w:bottom w:val="single" w:sz="8" w:space="0" w:color="auto"/>
              <w:right w:val="single" w:sz="8" w:space="0" w:color="auto"/>
            </w:tcBorders>
            <w:shd w:val="clear" w:color="auto" w:fill="auto"/>
            <w:noWrap/>
            <w:vAlign w:val="center"/>
            <w:hideMark/>
          </w:tcPr>
          <w:p w14:paraId="0C448A9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B0DF3">
              <w:rPr>
                <w:rFonts w:ascii="Arial" w:eastAsia="Times New Roman" w:hAnsi="Arial" w:cs="Arial"/>
                <w:color w:val="000000"/>
                <w:sz w:val="18"/>
                <w:szCs w:val="18"/>
                <w:lang w:eastAsia="zh-CN"/>
              </w:rPr>
              <w:t>DecT</w:t>
            </w:r>
            <w:proofErr w:type="spellEnd"/>
          </w:p>
        </w:tc>
      </w:tr>
      <w:tr w:rsidR="00E6091E" w:rsidRPr="002B0DF3" w14:paraId="48A0437E"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BA691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485F220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0.00%</w:t>
            </w:r>
          </w:p>
        </w:tc>
        <w:tc>
          <w:tcPr>
            <w:tcW w:w="1033" w:type="dxa"/>
            <w:tcBorders>
              <w:top w:val="nil"/>
              <w:left w:val="nil"/>
              <w:bottom w:val="nil"/>
              <w:right w:val="nil"/>
            </w:tcBorders>
            <w:shd w:val="clear" w:color="auto" w:fill="auto"/>
            <w:noWrap/>
            <w:vAlign w:val="center"/>
            <w:hideMark/>
          </w:tcPr>
          <w:p w14:paraId="04A92BA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-0.10%</w:t>
            </w:r>
          </w:p>
        </w:tc>
        <w:tc>
          <w:tcPr>
            <w:tcW w:w="1033" w:type="dxa"/>
            <w:tcBorders>
              <w:top w:val="nil"/>
              <w:left w:val="nil"/>
              <w:bottom w:val="nil"/>
              <w:right w:val="single" w:sz="4" w:space="0" w:color="auto"/>
            </w:tcBorders>
            <w:shd w:val="clear" w:color="auto" w:fill="auto"/>
            <w:noWrap/>
            <w:vAlign w:val="center"/>
            <w:hideMark/>
          </w:tcPr>
          <w:p w14:paraId="68FB851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-0.01%</w:t>
            </w:r>
          </w:p>
        </w:tc>
        <w:tc>
          <w:tcPr>
            <w:tcW w:w="1101" w:type="dxa"/>
            <w:tcBorders>
              <w:top w:val="nil"/>
              <w:left w:val="nil"/>
              <w:bottom w:val="nil"/>
              <w:right w:val="nil"/>
            </w:tcBorders>
            <w:shd w:val="clear" w:color="auto" w:fill="auto"/>
            <w:noWrap/>
            <w:vAlign w:val="center"/>
            <w:hideMark/>
          </w:tcPr>
          <w:p w14:paraId="142DE01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100.7%</w:t>
            </w:r>
          </w:p>
        </w:tc>
        <w:tc>
          <w:tcPr>
            <w:tcW w:w="1101" w:type="dxa"/>
            <w:tcBorders>
              <w:top w:val="nil"/>
              <w:left w:val="nil"/>
              <w:bottom w:val="nil"/>
              <w:right w:val="single" w:sz="8" w:space="0" w:color="auto"/>
            </w:tcBorders>
            <w:shd w:val="clear" w:color="auto" w:fill="auto"/>
            <w:noWrap/>
            <w:vAlign w:val="center"/>
            <w:hideMark/>
          </w:tcPr>
          <w:p w14:paraId="3EFB455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99.5%</w:t>
            </w:r>
          </w:p>
        </w:tc>
      </w:tr>
      <w:tr w:rsidR="00E6091E" w:rsidRPr="002B0DF3" w14:paraId="3A890711"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4A22A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0220070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-0.14%</w:t>
            </w:r>
          </w:p>
        </w:tc>
        <w:tc>
          <w:tcPr>
            <w:tcW w:w="1033" w:type="dxa"/>
            <w:tcBorders>
              <w:top w:val="nil"/>
              <w:left w:val="nil"/>
              <w:bottom w:val="nil"/>
              <w:right w:val="nil"/>
            </w:tcBorders>
            <w:shd w:val="clear" w:color="auto" w:fill="auto"/>
            <w:noWrap/>
            <w:vAlign w:val="center"/>
            <w:hideMark/>
          </w:tcPr>
          <w:p w14:paraId="21BA97BF"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-0.12%</w:t>
            </w:r>
          </w:p>
        </w:tc>
        <w:tc>
          <w:tcPr>
            <w:tcW w:w="1033" w:type="dxa"/>
            <w:tcBorders>
              <w:top w:val="nil"/>
              <w:left w:val="nil"/>
              <w:bottom w:val="nil"/>
              <w:right w:val="single" w:sz="4" w:space="0" w:color="auto"/>
            </w:tcBorders>
            <w:shd w:val="clear" w:color="auto" w:fill="auto"/>
            <w:noWrap/>
            <w:vAlign w:val="center"/>
            <w:hideMark/>
          </w:tcPr>
          <w:p w14:paraId="0E5C4C1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-0.22%</w:t>
            </w:r>
          </w:p>
        </w:tc>
        <w:tc>
          <w:tcPr>
            <w:tcW w:w="1101" w:type="dxa"/>
            <w:tcBorders>
              <w:top w:val="nil"/>
              <w:left w:val="nil"/>
              <w:bottom w:val="nil"/>
              <w:right w:val="nil"/>
            </w:tcBorders>
            <w:shd w:val="clear" w:color="auto" w:fill="auto"/>
            <w:noWrap/>
            <w:vAlign w:val="center"/>
            <w:hideMark/>
          </w:tcPr>
          <w:p w14:paraId="05DECBD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100.5%</w:t>
            </w:r>
          </w:p>
        </w:tc>
        <w:tc>
          <w:tcPr>
            <w:tcW w:w="1101" w:type="dxa"/>
            <w:tcBorders>
              <w:top w:val="nil"/>
              <w:left w:val="nil"/>
              <w:bottom w:val="nil"/>
              <w:right w:val="single" w:sz="8" w:space="0" w:color="auto"/>
            </w:tcBorders>
            <w:shd w:val="clear" w:color="auto" w:fill="auto"/>
            <w:noWrap/>
            <w:vAlign w:val="center"/>
            <w:hideMark/>
          </w:tcPr>
          <w:p w14:paraId="4F3EE2A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99.9%</w:t>
            </w:r>
          </w:p>
        </w:tc>
      </w:tr>
      <w:tr w:rsidR="00E6091E" w:rsidRPr="002B0DF3" w14:paraId="092B08B1"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E0E31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B</w:t>
            </w:r>
          </w:p>
        </w:tc>
        <w:tc>
          <w:tcPr>
            <w:tcW w:w="1033" w:type="dxa"/>
            <w:tcBorders>
              <w:top w:val="nil"/>
              <w:left w:val="nil"/>
              <w:bottom w:val="nil"/>
              <w:right w:val="nil"/>
            </w:tcBorders>
            <w:shd w:val="clear" w:color="auto" w:fill="auto"/>
            <w:noWrap/>
            <w:vAlign w:val="center"/>
            <w:hideMark/>
          </w:tcPr>
          <w:p w14:paraId="0F74502F"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-0.20%</w:t>
            </w:r>
          </w:p>
        </w:tc>
        <w:tc>
          <w:tcPr>
            <w:tcW w:w="1033" w:type="dxa"/>
            <w:tcBorders>
              <w:top w:val="nil"/>
              <w:left w:val="nil"/>
              <w:bottom w:val="nil"/>
              <w:right w:val="nil"/>
            </w:tcBorders>
            <w:shd w:val="clear" w:color="auto" w:fill="auto"/>
            <w:noWrap/>
            <w:vAlign w:val="center"/>
            <w:hideMark/>
          </w:tcPr>
          <w:p w14:paraId="7C34CD5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-0.14%</w:t>
            </w:r>
          </w:p>
        </w:tc>
        <w:tc>
          <w:tcPr>
            <w:tcW w:w="1033" w:type="dxa"/>
            <w:tcBorders>
              <w:top w:val="nil"/>
              <w:left w:val="nil"/>
              <w:bottom w:val="nil"/>
              <w:right w:val="single" w:sz="4" w:space="0" w:color="auto"/>
            </w:tcBorders>
            <w:shd w:val="clear" w:color="auto" w:fill="auto"/>
            <w:noWrap/>
            <w:vAlign w:val="center"/>
            <w:hideMark/>
          </w:tcPr>
          <w:p w14:paraId="10B6CAF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-0.24%</w:t>
            </w:r>
          </w:p>
        </w:tc>
        <w:tc>
          <w:tcPr>
            <w:tcW w:w="1101" w:type="dxa"/>
            <w:tcBorders>
              <w:top w:val="nil"/>
              <w:left w:val="nil"/>
              <w:bottom w:val="nil"/>
              <w:right w:val="nil"/>
            </w:tcBorders>
            <w:shd w:val="clear" w:color="auto" w:fill="auto"/>
            <w:noWrap/>
            <w:vAlign w:val="center"/>
            <w:hideMark/>
          </w:tcPr>
          <w:p w14:paraId="4F95347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100.8%</w:t>
            </w:r>
          </w:p>
        </w:tc>
        <w:tc>
          <w:tcPr>
            <w:tcW w:w="1101" w:type="dxa"/>
            <w:tcBorders>
              <w:top w:val="nil"/>
              <w:left w:val="nil"/>
              <w:bottom w:val="nil"/>
              <w:right w:val="single" w:sz="8" w:space="0" w:color="auto"/>
            </w:tcBorders>
            <w:shd w:val="clear" w:color="auto" w:fill="auto"/>
            <w:noWrap/>
            <w:vAlign w:val="center"/>
            <w:hideMark/>
          </w:tcPr>
          <w:p w14:paraId="2A0B28D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100.8%</w:t>
            </w:r>
          </w:p>
        </w:tc>
      </w:tr>
      <w:tr w:rsidR="00E6091E" w:rsidRPr="002B0DF3" w14:paraId="5770D89A"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F92B7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C</w:t>
            </w:r>
          </w:p>
        </w:tc>
        <w:tc>
          <w:tcPr>
            <w:tcW w:w="1033" w:type="dxa"/>
            <w:tcBorders>
              <w:top w:val="nil"/>
              <w:left w:val="nil"/>
              <w:bottom w:val="nil"/>
              <w:right w:val="nil"/>
            </w:tcBorders>
            <w:shd w:val="clear" w:color="auto" w:fill="auto"/>
            <w:noWrap/>
            <w:vAlign w:val="center"/>
            <w:hideMark/>
          </w:tcPr>
          <w:p w14:paraId="3C04704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-0.05%</w:t>
            </w:r>
          </w:p>
        </w:tc>
        <w:tc>
          <w:tcPr>
            <w:tcW w:w="1033" w:type="dxa"/>
            <w:tcBorders>
              <w:top w:val="nil"/>
              <w:left w:val="nil"/>
              <w:bottom w:val="nil"/>
              <w:right w:val="nil"/>
            </w:tcBorders>
            <w:shd w:val="clear" w:color="auto" w:fill="auto"/>
            <w:noWrap/>
            <w:vAlign w:val="center"/>
            <w:hideMark/>
          </w:tcPr>
          <w:p w14:paraId="11545905"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-0.24%</w:t>
            </w:r>
          </w:p>
        </w:tc>
        <w:tc>
          <w:tcPr>
            <w:tcW w:w="1033" w:type="dxa"/>
            <w:tcBorders>
              <w:top w:val="nil"/>
              <w:left w:val="nil"/>
              <w:bottom w:val="nil"/>
              <w:right w:val="single" w:sz="4" w:space="0" w:color="auto"/>
            </w:tcBorders>
            <w:shd w:val="clear" w:color="auto" w:fill="auto"/>
            <w:noWrap/>
            <w:vAlign w:val="center"/>
            <w:hideMark/>
          </w:tcPr>
          <w:p w14:paraId="6BE7C6A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0.03%</w:t>
            </w:r>
          </w:p>
        </w:tc>
        <w:tc>
          <w:tcPr>
            <w:tcW w:w="1101" w:type="dxa"/>
            <w:tcBorders>
              <w:top w:val="nil"/>
              <w:left w:val="nil"/>
              <w:bottom w:val="nil"/>
              <w:right w:val="nil"/>
            </w:tcBorders>
            <w:shd w:val="clear" w:color="auto" w:fill="auto"/>
            <w:noWrap/>
            <w:vAlign w:val="center"/>
            <w:hideMark/>
          </w:tcPr>
          <w:p w14:paraId="35BC79C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100.7%</w:t>
            </w:r>
          </w:p>
        </w:tc>
        <w:tc>
          <w:tcPr>
            <w:tcW w:w="1101" w:type="dxa"/>
            <w:tcBorders>
              <w:top w:val="nil"/>
              <w:left w:val="nil"/>
              <w:bottom w:val="nil"/>
              <w:right w:val="single" w:sz="8" w:space="0" w:color="auto"/>
            </w:tcBorders>
            <w:shd w:val="clear" w:color="auto" w:fill="auto"/>
            <w:noWrap/>
            <w:vAlign w:val="center"/>
            <w:hideMark/>
          </w:tcPr>
          <w:p w14:paraId="1A98152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100.0%</w:t>
            </w:r>
          </w:p>
        </w:tc>
      </w:tr>
      <w:tr w:rsidR="00E6091E" w:rsidRPr="002B0DF3" w14:paraId="50440C7B"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327ED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6F37B67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 </w:t>
            </w:r>
          </w:p>
        </w:tc>
        <w:tc>
          <w:tcPr>
            <w:tcW w:w="1033" w:type="dxa"/>
            <w:tcBorders>
              <w:top w:val="nil"/>
              <w:left w:val="nil"/>
              <w:bottom w:val="nil"/>
              <w:right w:val="nil"/>
            </w:tcBorders>
            <w:shd w:val="clear" w:color="auto" w:fill="auto"/>
            <w:noWrap/>
            <w:vAlign w:val="center"/>
            <w:hideMark/>
          </w:tcPr>
          <w:p w14:paraId="4761042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FE9E45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7AE923E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 </w:t>
            </w:r>
          </w:p>
        </w:tc>
        <w:tc>
          <w:tcPr>
            <w:tcW w:w="1101" w:type="dxa"/>
            <w:tcBorders>
              <w:top w:val="nil"/>
              <w:left w:val="nil"/>
              <w:bottom w:val="nil"/>
              <w:right w:val="single" w:sz="8" w:space="0" w:color="auto"/>
            </w:tcBorders>
            <w:shd w:val="clear" w:color="auto" w:fill="auto"/>
            <w:noWrap/>
            <w:vAlign w:val="center"/>
            <w:hideMark/>
          </w:tcPr>
          <w:p w14:paraId="5D1380E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 </w:t>
            </w:r>
          </w:p>
        </w:tc>
      </w:tr>
      <w:tr w:rsidR="00E6091E" w:rsidRPr="002B0DF3" w14:paraId="7EC85BD9"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9FB53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B0DF3">
              <w:rPr>
                <w:rFonts w:ascii="Arial" w:eastAsia="Times New Roman" w:hAnsi="Arial" w:cs="Arial"/>
                <w:b/>
                <w:bCs/>
                <w:color w:val="000000"/>
                <w:sz w:val="18"/>
                <w:szCs w:val="18"/>
                <w:lang w:eastAsia="zh-CN"/>
              </w:rPr>
              <w:t>Overall</w:t>
            </w:r>
          </w:p>
        </w:tc>
        <w:tc>
          <w:tcPr>
            <w:tcW w:w="1033" w:type="dxa"/>
            <w:tcBorders>
              <w:top w:val="single" w:sz="8" w:space="0" w:color="auto"/>
              <w:left w:val="nil"/>
              <w:bottom w:val="nil"/>
              <w:right w:val="nil"/>
            </w:tcBorders>
            <w:shd w:val="clear" w:color="auto" w:fill="auto"/>
            <w:noWrap/>
            <w:vAlign w:val="center"/>
            <w:hideMark/>
          </w:tcPr>
          <w:p w14:paraId="52F87D8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-0.11%</w:t>
            </w:r>
          </w:p>
        </w:tc>
        <w:tc>
          <w:tcPr>
            <w:tcW w:w="1033" w:type="dxa"/>
            <w:tcBorders>
              <w:top w:val="single" w:sz="8" w:space="0" w:color="auto"/>
              <w:left w:val="nil"/>
              <w:bottom w:val="nil"/>
              <w:right w:val="nil"/>
            </w:tcBorders>
            <w:shd w:val="clear" w:color="auto" w:fill="auto"/>
            <w:noWrap/>
            <w:vAlign w:val="center"/>
            <w:hideMark/>
          </w:tcPr>
          <w:p w14:paraId="21F3E5B4"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-0.15%</w:t>
            </w:r>
          </w:p>
        </w:tc>
        <w:tc>
          <w:tcPr>
            <w:tcW w:w="1033" w:type="dxa"/>
            <w:tcBorders>
              <w:top w:val="single" w:sz="8" w:space="0" w:color="auto"/>
              <w:left w:val="nil"/>
              <w:bottom w:val="nil"/>
              <w:right w:val="single" w:sz="4" w:space="0" w:color="auto"/>
            </w:tcBorders>
            <w:shd w:val="clear" w:color="auto" w:fill="auto"/>
            <w:noWrap/>
            <w:vAlign w:val="center"/>
            <w:hideMark/>
          </w:tcPr>
          <w:p w14:paraId="24BFFF7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-0.12%</w:t>
            </w:r>
          </w:p>
        </w:tc>
        <w:tc>
          <w:tcPr>
            <w:tcW w:w="1101" w:type="dxa"/>
            <w:tcBorders>
              <w:top w:val="single" w:sz="8" w:space="0" w:color="auto"/>
              <w:left w:val="nil"/>
              <w:bottom w:val="nil"/>
              <w:right w:val="nil"/>
            </w:tcBorders>
            <w:shd w:val="clear" w:color="auto" w:fill="auto"/>
            <w:noWrap/>
            <w:vAlign w:val="center"/>
            <w:hideMark/>
          </w:tcPr>
          <w:p w14:paraId="74B72561"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100.7%</w:t>
            </w:r>
          </w:p>
        </w:tc>
        <w:tc>
          <w:tcPr>
            <w:tcW w:w="1101" w:type="dxa"/>
            <w:tcBorders>
              <w:top w:val="single" w:sz="8" w:space="0" w:color="auto"/>
              <w:left w:val="nil"/>
              <w:bottom w:val="nil"/>
              <w:right w:val="single" w:sz="8" w:space="0" w:color="auto"/>
            </w:tcBorders>
            <w:shd w:val="clear" w:color="auto" w:fill="auto"/>
            <w:noWrap/>
            <w:vAlign w:val="center"/>
            <w:hideMark/>
          </w:tcPr>
          <w:p w14:paraId="3121F53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100.1%</w:t>
            </w:r>
          </w:p>
        </w:tc>
      </w:tr>
      <w:tr w:rsidR="00E6091E" w:rsidRPr="002B0DF3" w14:paraId="61AA7490" w14:textId="77777777" w:rsidTr="00F07A6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78881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D</w:t>
            </w:r>
          </w:p>
        </w:tc>
        <w:tc>
          <w:tcPr>
            <w:tcW w:w="1033" w:type="dxa"/>
            <w:tcBorders>
              <w:top w:val="single" w:sz="8" w:space="0" w:color="auto"/>
              <w:left w:val="nil"/>
              <w:bottom w:val="nil"/>
              <w:right w:val="nil"/>
            </w:tcBorders>
            <w:shd w:val="clear" w:color="auto" w:fill="auto"/>
            <w:noWrap/>
            <w:vAlign w:val="center"/>
            <w:hideMark/>
          </w:tcPr>
          <w:p w14:paraId="160AE38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-0.04%</w:t>
            </w:r>
          </w:p>
        </w:tc>
        <w:tc>
          <w:tcPr>
            <w:tcW w:w="1033" w:type="dxa"/>
            <w:tcBorders>
              <w:top w:val="single" w:sz="8" w:space="0" w:color="auto"/>
              <w:left w:val="nil"/>
              <w:bottom w:val="nil"/>
              <w:right w:val="nil"/>
            </w:tcBorders>
            <w:shd w:val="clear" w:color="auto" w:fill="auto"/>
            <w:noWrap/>
            <w:vAlign w:val="center"/>
            <w:hideMark/>
          </w:tcPr>
          <w:p w14:paraId="3AC6A853"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-0.24%</w:t>
            </w:r>
          </w:p>
        </w:tc>
        <w:tc>
          <w:tcPr>
            <w:tcW w:w="1033" w:type="dxa"/>
            <w:tcBorders>
              <w:top w:val="single" w:sz="8" w:space="0" w:color="auto"/>
              <w:left w:val="nil"/>
              <w:bottom w:val="nil"/>
              <w:right w:val="single" w:sz="4" w:space="0" w:color="auto"/>
            </w:tcBorders>
            <w:shd w:val="clear" w:color="auto" w:fill="auto"/>
            <w:noWrap/>
            <w:vAlign w:val="center"/>
            <w:hideMark/>
          </w:tcPr>
          <w:p w14:paraId="72345789"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0.22%</w:t>
            </w:r>
          </w:p>
        </w:tc>
        <w:tc>
          <w:tcPr>
            <w:tcW w:w="1101" w:type="dxa"/>
            <w:tcBorders>
              <w:top w:val="single" w:sz="8" w:space="0" w:color="auto"/>
              <w:left w:val="nil"/>
              <w:bottom w:val="nil"/>
              <w:right w:val="nil"/>
            </w:tcBorders>
            <w:shd w:val="clear" w:color="auto" w:fill="auto"/>
            <w:noWrap/>
            <w:vAlign w:val="center"/>
            <w:hideMark/>
          </w:tcPr>
          <w:p w14:paraId="5D0F056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100.1%</w:t>
            </w:r>
          </w:p>
        </w:tc>
        <w:tc>
          <w:tcPr>
            <w:tcW w:w="1101" w:type="dxa"/>
            <w:tcBorders>
              <w:top w:val="single" w:sz="8" w:space="0" w:color="auto"/>
              <w:left w:val="nil"/>
              <w:bottom w:val="nil"/>
              <w:right w:val="single" w:sz="8" w:space="0" w:color="auto"/>
            </w:tcBorders>
            <w:shd w:val="clear" w:color="auto" w:fill="auto"/>
            <w:noWrap/>
            <w:vAlign w:val="center"/>
            <w:hideMark/>
          </w:tcPr>
          <w:p w14:paraId="244E0F37"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99.7%</w:t>
            </w:r>
          </w:p>
        </w:tc>
      </w:tr>
      <w:tr w:rsidR="00E6091E" w:rsidRPr="002B0DF3" w14:paraId="7394C078" w14:textId="77777777" w:rsidTr="00F07A6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46B25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Class F</w:t>
            </w:r>
          </w:p>
        </w:tc>
        <w:tc>
          <w:tcPr>
            <w:tcW w:w="1033" w:type="dxa"/>
            <w:tcBorders>
              <w:top w:val="nil"/>
              <w:left w:val="nil"/>
              <w:bottom w:val="nil"/>
              <w:right w:val="nil"/>
            </w:tcBorders>
            <w:shd w:val="clear" w:color="auto" w:fill="auto"/>
            <w:noWrap/>
            <w:vAlign w:val="center"/>
            <w:hideMark/>
          </w:tcPr>
          <w:p w14:paraId="2A35BC3B"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-0.05%</w:t>
            </w:r>
          </w:p>
        </w:tc>
        <w:tc>
          <w:tcPr>
            <w:tcW w:w="1033" w:type="dxa"/>
            <w:tcBorders>
              <w:top w:val="nil"/>
              <w:left w:val="nil"/>
              <w:bottom w:val="nil"/>
              <w:right w:val="nil"/>
            </w:tcBorders>
            <w:shd w:val="clear" w:color="auto" w:fill="auto"/>
            <w:noWrap/>
            <w:vAlign w:val="center"/>
            <w:hideMark/>
          </w:tcPr>
          <w:p w14:paraId="6A82F57A"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0.13%</w:t>
            </w:r>
          </w:p>
        </w:tc>
        <w:tc>
          <w:tcPr>
            <w:tcW w:w="1033" w:type="dxa"/>
            <w:tcBorders>
              <w:top w:val="nil"/>
              <w:left w:val="nil"/>
              <w:bottom w:val="nil"/>
              <w:right w:val="single" w:sz="4" w:space="0" w:color="auto"/>
            </w:tcBorders>
            <w:shd w:val="clear" w:color="auto" w:fill="auto"/>
            <w:noWrap/>
            <w:vAlign w:val="center"/>
            <w:hideMark/>
          </w:tcPr>
          <w:p w14:paraId="3D10458D"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-0.18%</w:t>
            </w:r>
          </w:p>
        </w:tc>
        <w:tc>
          <w:tcPr>
            <w:tcW w:w="1101" w:type="dxa"/>
            <w:tcBorders>
              <w:top w:val="nil"/>
              <w:left w:val="nil"/>
              <w:bottom w:val="nil"/>
              <w:right w:val="nil"/>
            </w:tcBorders>
            <w:shd w:val="clear" w:color="auto" w:fill="auto"/>
            <w:noWrap/>
            <w:vAlign w:val="center"/>
            <w:hideMark/>
          </w:tcPr>
          <w:p w14:paraId="34491235"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101.9%</w:t>
            </w:r>
          </w:p>
        </w:tc>
        <w:tc>
          <w:tcPr>
            <w:tcW w:w="1101" w:type="dxa"/>
            <w:tcBorders>
              <w:top w:val="nil"/>
              <w:left w:val="nil"/>
              <w:bottom w:val="nil"/>
              <w:right w:val="single" w:sz="8" w:space="0" w:color="auto"/>
            </w:tcBorders>
            <w:shd w:val="clear" w:color="auto" w:fill="auto"/>
            <w:noWrap/>
            <w:vAlign w:val="center"/>
            <w:hideMark/>
          </w:tcPr>
          <w:p w14:paraId="724C48E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100.6%</w:t>
            </w:r>
          </w:p>
        </w:tc>
      </w:tr>
      <w:tr w:rsidR="00E6091E" w:rsidRPr="002B0DF3" w14:paraId="75855188" w14:textId="77777777" w:rsidTr="00F07A6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A8A89E"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lastRenderedPageBreak/>
              <w:t>Class TGM</w:t>
            </w:r>
          </w:p>
        </w:tc>
        <w:tc>
          <w:tcPr>
            <w:tcW w:w="1033" w:type="dxa"/>
            <w:tcBorders>
              <w:top w:val="nil"/>
              <w:left w:val="nil"/>
              <w:bottom w:val="single" w:sz="8" w:space="0" w:color="auto"/>
              <w:right w:val="nil"/>
            </w:tcBorders>
            <w:shd w:val="clear" w:color="auto" w:fill="auto"/>
            <w:noWrap/>
            <w:vAlign w:val="center"/>
            <w:hideMark/>
          </w:tcPr>
          <w:p w14:paraId="5D5973F6"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-0.13%</w:t>
            </w:r>
          </w:p>
        </w:tc>
        <w:tc>
          <w:tcPr>
            <w:tcW w:w="1033" w:type="dxa"/>
            <w:tcBorders>
              <w:top w:val="nil"/>
              <w:left w:val="nil"/>
              <w:bottom w:val="single" w:sz="8" w:space="0" w:color="auto"/>
              <w:right w:val="nil"/>
            </w:tcBorders>
            <w:shd w:val="clear" w:color="auto" w:fill="auto"/>
            <w:noWrap/>
            <w:vAlign w:val="center"/>
            <w:hideMark/>
          </w:tcPr>
          <w:p w14:paraId="4BC297E8"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-0.12%</w:t>
            </w:r>
          </w:p>
        </w:tc>
        <w:tc>
          <w:tcPr>
            <w:tcW w:w="1033" w:type="dxa"/>
            <w:tcBorders>
              <w:top w:val="nil"/>
              <w:left w:val="nil"/>
              <w:bottom w:val="single" w:sz="8" w:space="0" w:color="auto"/>
              <w:right w:val="single" w:sz="4" w:space="0" w:color="auto"/>
            </w:tcBorders>
            <w:shd w:val="clear" w:color="auto" w:fill="auto"/>
            <w:noWrap/>
            <w:vAlign w:val="center"/>
            <w:hideMark/>
          </w:tcPr>
          <w:p w14:paraId="034A7C92"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-0.13%</w:t>
            </w:r>
          </w:p>
        </w:tc>
        <w:tc>
          <w:tcPr>
            <w:tcW w:w="1101" w:type="dxa"/>
            <w:tcBorders>
              <w:top w:val="nil"/>
              <w:left w:val="nil"/>
              <w:bottom w:val="single" w:sz="8" w:space="0" w:color="auto"/>
              <w:right w:val="nil"/>
            </w:tcBorders>
            <w:shd w:val="clear" w:color="auto" w:fill="auto"/>
            <w:noWrap/>
            <w:vAlign w:val="center"/>
            <w:hideMark/>
          </w:tcPr>
          <w:p w14:paraId="5B99A5FC"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101.7%</w:t>
            </w:r>
          </w:p>
        </w:tc>
        <w:tc>
          <w:tcPr>
            <w:tcW w:w="1101" w:type="dxa"/>
            <w:tcBorders>
              <w:top w:val="nil"/>
              <w:left w:val="nil"/>
              <w:bottom w:val="single" w:sz="8" w:space="0" w:color="auto"/>
              <w:right w:val="single" w:sz="8" w:space="0" w:color="auto"/>
            </w:tcBorders>
            <w:shd w:val="clear" w:color="auto" w:fill="auto"/>
            <w:noWrap/>
            <w:vAlign w:val="center"/>
            <w:hideMark/>
          </w:tcPr>
          <w:p w14:paraId="30819030" w14:textId="77777777" w:rsidR="00E6091E" w:rsidRPr="002B0DF3" w:rsidRDefault="00E6091E" w:rsidP="009E6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B0DF3">
              <w:rPr>
                <w:rFonts w:ascii="Arial" w:eastAsia="Times New Roman" w:hAnsi="Arial" w:cs="Arial"/>
                <w:color w:val="000000"/>
                <w:sz w:val="18"/>
                <w:szCs w:val="18"/>
                <w:lang w:eastAsia="zh-CN"/>
              </w:rPr>
              <w:t>99.4%</w:t>
            </w:r>
          </w:p>
        </w:tc>
      </w:tr>
    </w:tbl>
    <w:p w14:paraId="258D5214" w14:textId="77777777" w:rsidR="00E6091E" w:rsidRDefault="00E6091E" w:rsidP="00F07A6B">
      <w:pPr>
        <w:rPr>
          <w:b/>
          <w:bCs/>
          <w:sz w:val="18"/>
          <w:szCs w:val="18"/>
        </w:rPr>
      </w:pPr>
    </w:p>
    <w:p w14:paraId="16CD6029" w14:textId="77777777" w:rsidR="0035262A" w:rsidRDefault="0035262A" w:rsidP="0035262A">
      <w:pPr>
        <w:pStyle w:val="Heading1"/>
        <w:rPr>
          <w:lang w:val="en-CA" w:eastAsia="zh-CN"/>
        </w:rPr>
      </w:pPr>
      <w:r>
        <w:rPr>
          <w:lang w:val="en-CA" w:eastAsia="zh-CN"/>
        </w:rPr>
        <w:t>Conclusions</w:t>
      </w:r>
    </w:p>
    <w:p w14:paraId="5FEED3B8" w14:textId="21DA22E5" w:rsidR="0035262A" w:rsidRDefault="0035262A" w:rsidP="0035262A">
      <w:pPr>
        <w:rPr>
          <w:lang w:val="en-CA"/>
        </w:rPr>
      </w:pPr>
      <w:r>
        <w:rPr>
          <w:rFonts w:hint="eastAsia"/>
          <w:lang w:val="en-CA" w:eastAsia="zh-CN"/>
        </w:rPr>
        <w:t>T</w:t>
      </w:r>
      <w:r>
        <w:rPr>
          <w:lang w:val="en-CA"/>
        </w:rPr>
        <w:t xml:space="preserve">his contribution </w:t>
      </w:r>
      <w:r w:rsidR="00085D1E">
        <w:rPr>
          <w:lang w:val="en-CA"/>
        </w:rPr>
        <w:t>reports the results of EE2-2.9</w:t>
      </w:r>
      <w:r>
        <w:rPr>
          <w:lang w:val="en-CA"/>
        </w:rPr>
        <w:t>. The proposed method brings 0.</w:t>
      </w:r>
      <w:r w:rsidR="005E7680">
        <w:rPr>
          <w:lang w:val="en-CA"/>
        </w:rPr>
        <w:t>22</w:t>
      </w:r>
      <w:r>
        <w:rPr>
          <w:lang w:val="en-CA"/>
        </w:rPr>
        <w:t xml:space="preserve">% coding gain for AI </w:t>
      </w:r>
      <w:r w:rsidR="00085D1E">
        <w:rPr>
          <w:lang w:val="en-CA"/>
        </w:rPr>
        <w:t xml:space="preserve">with </w:t>
      </w:r>
      <w:r w:rsidR="005E7680">
        <w:rPr>
          <w:lang w:val="en-CA"/>
        </w:rPr>
        <w:t>100.6</w:t>
      </w:r>
      <w:r w:rsidR="00085D1E">
        <w:rPr>
          <w:lang w:val="en-CA"/>
        </w:rPr>
        <w:t xml:space="preserve">% and </w:t>
      </w:r>
      <w:r w:rsidR="005E7680">
        <w:rPr>
          <w:lang w:val="en-CA"/>
        </w:rPr>
        <w:t>102.3</w:t>
      </w:r>
      <w:r w:rsidR="00085D1E">
        <w:rPr>
          <w:lang w:val="en-CA"/>
        </w:rPr>
        <w:t>% encoding and decoding time</w:t>
      </w:r>
      <w:r w:rsidR="00FF22F0">
        <w:rPr>
          <w:lang w:val="en-CA"/>
        </w:rPr>
        <w:t>,</w:t>
      </w:r>
      <w:r w:rsidR="00085D1E">
        <w:rPr>
          <w:lang w:val="en-CA"/>
        </w:rPr>
        <w:t xml:space="preserve"> </w:t>
      </w:r>
      <w:r>
        <w:rPr>
          <w:lang w:val="en-CA"/>
        </w:rPr>
        <w:t xml:space="preserve">and </w:t>
      </w:r>
      <w:r>
        <w:rPr>
          <w:rFonts w:hint="eastAsia"/>
          <w:lang w:val="en-CA" w:eastAsia="zh-CN"/>
        </w:rPr>
        <w:t>0.</w:t>
      </w:r>
      <w:r w:rsidR="002B0DF3">
        <w:rPr>
          <w:lang w:val="en-CA" w:eastAsia="zh-CN"/>
        </w:rPr>
        <w:t>11</w:t>
      </w:r>
      <w:r>
        <w:rPr>
          <w:rFonts w:hint="eastAsia"/>
          <w:lang w:val="en-CA" w:eastAsia="zh-CN"/>
        </w:rPr>
        <w:t>%</w:t>
      </w:r>
      <w:r>
        <w:rPr>
          <w:lang w:val="en-CA"/>
        </w:rPr>
        <w:t xml:space="preserve"> coding gain for RA </w:t>
      </w:r>
      <w:r w:rsidR="00F9243D">
        <w:rPr>
          <w:lang w:val="en-CA"/>
        </w:rPr>
        <w:t xml:space="preserve">with </w:t>
      </w:r>
      <w:r w:rsidR="002B0DF3">
        <w:rPr>
          <w:lang w:val="en-CA"/>
        </w:rPr>
        <w:t>100.7</w:t>
      </w:r>
      <w:r w:rsidR="00F9243D">
        <w:rPr>
          <w:lang w:val="en-CA"/>
        </w:rPr>
        <w:t>% and</w:t>
      </w:r>
      <w:r w:rsidR="002B0DF3">
        <w:rPr>
          <w:lang w:val="en-CA"/>
        </w:rPr>
        <w:t xml:space="preserve"> 100.1</w:t>
      </w:r>
      <w:r w:rsidR="00F9243D">
        <w:rPr>
          <w:lang w:val="en-CA"/>
        </w:rPr>
        <w:t xml:space="preserve">% encoding and decoding time </w:t>
      </w:r>
      <w:r>
        <w:rPr>
          <w:lang w:val="en-CA"/>
        </w:rPr>
        <w:t>over ECM-</w:t>
      </w:r>
      <w:r w:rsidR="00085D1E">
        <w:rPr>
          <w:lang w:val="en-CA"/>
        </w:rPr>
        <w:t>9</w:t>
      </w:r>
      <w:r>
        <w:rPr>
          <w:lang w:val="en-CA"/>
        </w:rPr>
        <w:t xml:space="preserve">.0. It is suggested to adopt the proposed method </w:t>
      </w:r>
      <w:r w:rsidR="00085D1E">
        <w:rPr>
          <w:lang w:val="en-CA"/>
        </w:rPr>
        <w:t>to ECM</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6" w:history="1">
        <w:r w:rsidR="006B06EE" w:rsidRPr="00A27818">
          <w:rPr>
            <w:rStyle w:val="Hyperlink"/>
            <w:lang w:val="en-CA"/>
          </w:rPr>
          <w:t>https://vcgit.hhi.fraunhofer.de/ecm/ECM/-/tree/ECM-9.0</w:t>
        </w:r>
      </w:hyperlink>
    </w:p>
    <w:bookmarkStart w:id="1" w:name="_Ref75783528"/>
    <w:bookmarkStart w:id="2" w:name="_Hlk75818477"/>
    <w:p w14:paraId="151A1EF1" w14:textId="093F1BF7" w:rsidR="0035262A" w:rsidRDefault="0035262A" w:rsidP="0035262A">
      <w:pPr>
        <w:pStyle w:val="ListParagraph"/>
        <w:numPr>
          <w:ilvl w:val="0"/>
          <w:numId w:val="12"/>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 xml:space="preserve">V. </w:t>
      </w:r>
      <w:proofErr w:type="spellStart"/>
      <w:r w:rsidRPr="00BC3A74">
        <w:rPr>
          <w:rFonts w:eastAsia="SimSun"/>
        </w:rPr>
        <w:t>Seregin</w:t>
      </w:r>
      <w:proofErr w:type="spellEnd"/>
      <w:r w:rsidRPr="00BC3A74">
        <w:rPr>
          <w:rFonts w:eastAsia="SimSun"/>
          <w:lang w:val="en-CA"/>
        </w:rPr>
        <w:fldChar w:fldCharType="end"/>
      </w:r>
      <w:r w:rsidRPr="00BC3A74">
        <w:rPr>
          <w:rFonts w:eastAsia="SimSun"/>
          <w:lang w:val="en-CA"/>
        </w:rPr>
        <w:t>, </w:t>
      </w:r>
      <w:hyperlink r:id="rId17" w:history="1">
        <w:r w:rsidRPr="00BC3A74">
          <w:rPr>
            <w:rFonts w:eastAsia="SimSun"/>
          </w:rPr>
          <w:t>J. Chen</w:t>
        </w:r>
      </w:hyperlink>
      <w:r w:rsidRPr="00BC3A74">
        <w:rPr>
          <w:rFonts w:eastAsia="SimSun"/>
          <w:lang w:val="en-CA"/>
        </w:rPr>
        <w:t>, </w:t>
      </w:r>
      <w:r w:rsidR="006B06EE">
        <w:rPr>
          <w:rFonts w:eastAsia="SimSun"/>
          <w:lang w:val="en-CA"/>
        </w:rPr>
        <w:t xml:space="preserve">R. </w:t>
      </w:r>
      <w:proofErr w:type="spellStart"/>
      <w:r w:rsidR="006B06EE">
        <w:rPr>
          <w:rFonts w:eastAsia="SimSun"/>
          <w:lang w:val="en-CA"/>
        </w:rPr>
        <w:t>Chernyak</w:t>
      </w:r>
      <w:proofErr w:type="spellEnd"/>
      <w:r w:rsidR="006B06EE">
        <w:rPr>
          <w:rFonts w:eastAsia="SimSun"/>
          <w:lang w:val="en-CA"/>
        </w:rPr>
        <w:t>,</w:t>
      </w:r>
      <w:r w:rsidRPr="00BC3A74">
        <w:rPr>
          <w:rFonts w:eastAsia="SimSun"/>
          <w:lang w:val="en-CA"/>
        </w:rPr>
        <w:t> K. Naser, </w:t>
      </w:r>
      <w:hyperlink r:id="rId18"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r w:rsidR="006B06EE">
        <w:rPr>
          <w:rFonts w:eastAsia="SimSun"/>
          <w:lang w:val="en-CA"/>
        </w:rPr>
        <w:t xml:space="preserve">F. Wang, </w:t>
      </w:r>
      <w:hyperlink r:id="rId19" w:history="1">
        <w:r w:rsidRPr="00BC3A74">
          <w:rPr>
            <w:rFonts w:eastAsia="SimSun"/>
          </w:rPr>
          <w:t xml:space="preserve">M. </w:t>
        </w:r>
        <w:proofErr w:type="spellStart"/>
        <w:r w:rsidRPr="00BC3A74">
          <w:rPr>
            <w:rFonts w:eastAsia="SimSun"/>
          </w:rPr>
          <w:t>Winken</w:t>
        </w:r>
        <w:proofErr w:type="spellEnd"/>
      </w:hyperlink>
      <w:r w:rsidRPr="00BC3A74">
        <w:rPr>
          <w:rFonts w:eastAsia="SimSun"/>
          <w:lang w:val="en-CA"/>
        </w:rPr>
        <w:t>, </w:t>
      </w:r>
      <w:hyperlink r:id="rId20" w:history="1">
        <w:r w:rsidRPr="00BC3A74">
          <w:rPr>
            <w:rFonts w:eastAsia="SimSun"/>
          </w:rPr>
          <w:t xml:space="preserve">X. </w:t>
        </w:r>
        <w:proofErr w:type="spellStart"/>
        <w:r w:rsidRPr="00BC3A74">
          <w:rPr>
            <w:rFonts w:eastAsia="SimSun"/>
          </w:rPr>
          <w:t>Xiu</w:t>
        </w:r>
        <w:proofErr w:type="spellEnd"/>
      </w:hyperlink>
      <w:r w:rsidRPr="00BC3A74">
        <w:rPr>
          <w:rFonts w:eastAsia="SimSun"/>
          <w:lang w:val="en-CA"/>
        </w:rPr>
        <w:t>, </w:t>
      </w:r>
      <w:hyperlink r:id="rId21"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w:t>
      </w:r>
      <w:r w:rsidR="006B06EE">
        <w:rPr>
          <w:rFonts w:eastAsia="SimSun"/>
          <w:lang w:val="en-CA"/>
        </w:rPr>
        <w:t>D</w:t>
      </w:r>
      <w:r w:rsidRPr="00BC3A74">
        <w:rPr>
          <w:rFonts w:eastAsia="SimSun"/>
          <w:lang w:val="en-CA"/>
        </w:rPr>
        <w:t xml:space="preserve">2024, </w:t>
      </w:r>
      <w:r w:rsidR="006B06EE">
        <w:rPr>
          <w:rFonts w:eastAsia="SimSun"/>
          <w:lang w:val="en-CA"/>
        </w:rPr>
        <w:t>April</w:t>
      </w:r>
      <w:r>
        <w:rPr>
          <w:rFonts w:eastAsia="SimSun"/>
          <w:lang w:val="en-CA"/>
        </w:rPr>
        <w:t xml:space="preserve"> 2023</w:t>
      </w:r>
      <w:r w:rsidRPr="00BC3A74">
        <w:rPr>
          <w:rFonts w:eastAsia="SimSun"/>
          <w:lang w:val="en-CA"/>
        </w:rPr>
        <w:t>.</w:t>
      </w:r>
      <w:bookmarkEnd w:id="1"/>
      <w:bookmarkEnd w:id="2"/>
    </w:p>
    <w:p w14:paraId="2621CDCE" w14:textId="13161EEA"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F07A6B">
        <w:rPr>
          <w:szCs w:val="22"/>
          <w:lang w:val="en-CA"/>
        </w:rPr>
        <w:t>AD</w:t>
      </w:r>
      <w:r w:rsidRPr="00A716D2">
        <w:rPr>
          <w:szCs w:val="22"/>
          <w:lang w:val="en-CA"/>
        </w:rPr>
        <w:t xml:space="preserve">2017, </w:t>
      </w:r>
      <w:r w:rsidR="00F07A6B">
        <w:rPr>
          <w:szCs w:val="22"/>
          <w:lang w:val="en-CA"/>
        </w:rPr>
        <w:t>April</w:t>
      </w:r>
      <w:r>
        <w:rPr>
          <w:szCs w:val="22"/>
          <w:lang w:val="en-CA"/>
        </w:rPr>
        <w:t>,</w:t>
      </w:r>
      <w:r w:rsidRPr="00A716D2">
        <w:rPr>
          <w:szCs w:val="22"/>
          <w:lang w:val="en-CA"/>
        </w:rPr>
        <w:t xml:space="preserve"> 202</w:t>
      </w:r>
      <w:r w:rsidR="00F07A6B">
        <w:rPr>
          <w:szCs w:val="22"/>
          <w:lang w:val="en-CA"/>
        </w:rPr>
        <w:t>3</w:t>
      </w:r>
      <w:r>
        <w:rPr>
          <w:szCs w:val="22"/>
          <w:lang w:val="en-CA"/>
        </w:rPr>
        <w:t>.</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DE12C75" w14:textId="77777777" w:rsidR="0035262A" w:rsidRDefault="0035262A" w:rsidP="0035262A">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27367F0" w14:textId="77777777" w:rsidR="0035262A" w:rsidRDefault="0035262A" w:rsidP="0035262A">
      <w:pPr>
        <w:rPr>
          <w:lang w:val="en-CA"/>
        </w:rPr>
      </w:pPr>
      <w:proofErr w:type="spellStart"/>
      <w:r>
        <w:rPr>
          <w:b/>
          <w:lang w:val="en-CA"/>
        </w:rPr>
        <w:t>Xidian</w:t>
      </w:r>
      <w:proofErr w:type="spellEnd"/>
      <w:r>
        <w:rPr>
          <w:b/>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20671717" w14:textId="77777777" w:rsidR="0035262A" w:rsidRPr="005B217D" w:rsidRDefault="0035262A" w:rsidP="0035262A">
      <w:pPr>
        <w:rPr>
          <w:szCs w:val="22"/>
          <w:lang w:val="en-CA"/>
        </w:rPr>
      </w:pPr>
      <w:r>
        <w:rPr>
          <w:b/>
          <w:szCs w:val="22"/>
          <w:lang w:val="en-CA"/>
        </w:rPr>
        <w:t xml:space="preserve">Kwai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71EA1" w14:textId="77777777" w:rsidR="001615B2" w:rsidRDefault="001615B2">
      <w:r>
        <w:separator/>
      </w:r>
    </w:p>
  </w:endnote>
  <w:endnote w:type="continuationSeparator" w:id="0">
    <w:p w14:paraId="12C163C7" w14:textId="77777777" w:rsidR="001615B2" w:rsidRDefault="0016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EF41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091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7A6B">
      <w:rPr>
        <w:rStyle w:val="PageNumber"/>
        <w:noProof/>
      </w:rPr>
      <w:t>2023-06-29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BAC6" w14:textId="77777777" w:rsidR="001615B2" w:rsidRDefault="001615B2">
      <w:r>
        <w:separator/>
      </w:r>
    </w:p>
  </w:footnote>
  <w:footnote w:type="continuationSeparator" w:id="0">
    <w:p w14:paraId="534CC822" w14:textId="77777777" w:rsidR="001615B2" w:rsidRDefault="00161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70874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32987">
    <w:abstractNumId w:val="10"/>
  </w:num>
  <w:num w:numId="3" w16cid:durableId="899099858">
    <w:abstractNumId w:val="8"/>
  </w:num>
  <w:num w:numId="4" w16cid:durableId="250238093">
    <w:abstractNumId w:val="6"/>
  </w:num>
  <w:num w:numId="5" w16cid:durableId="694767098">
    <w:abstractNumId w:val="7"/>
  </w:num>
  <w:num w:numId="6" w16cid:durableId="2070616994">
    <w:abstractNumId w:val="4"/>
  </w:num>
  <w:num w:numId="7" w16cid:durableId="1331327494">
    <w:abstractNumId w:val="5"/>
  </w:num>
  <w:num w:numId="8" w16cid:durableId="1401053066">
    <w:abstractNumId w:val="4"/>
  </w:num>
  <w:num w:numId="9" w16cid:durableId="1055934854">
    <w:abstractNumId w:val="1"/>
  </w:num>
  <w:num w:numId="10" w16cid:durableId="1892496070">
    <w:abstractNumId w:val="3"/>
  </w:num>
  <w:num w:numId="11" w16cid:durableId="886382084">
    <w:abstractNumId w:val="2"/>
  </w:num>
  <w:num w:numId="12" w16cid:durableId="1082793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A1783"/>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2FA7"/>
    <w:rsid w:val="00155526"/>
    <w:rsid w:val="001615B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DF3"/>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62A"/>
    <w:rsid w:val="003647C9"/>
    <w:rsid w:val="003669EA"/>
    <w:rsid w:val="003706CC"/>
    <w:rsid w:val="00377710"/>
    <w:rsid w:val="003A1405"/>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E708C"/>
    <w:rsid w:val="004F61E3"/>
    <w:rsid w:val="0050106E"/>
    <w:rsid w:val="00502E10"/>
    <w:rsid w:val="0050354E"/>
    <w:rsid w:val="0051015C"/>
    <w:rsid w:val="00516CF1"/>
    <w:rsid w:val="00531AE9"/>
    <w:rsid w:val="00536188"/>
    <w:rsid w:val="00541FF1"/>
    <w:rsid w:val="00550A66"/>
    <w:rsid w:val="005555B2"/>
    <w:rsid w:val="005600D8"/>
    <w:rsid w:val="00567EC7"/>
    <w:rsid w:val="00570013"/>
    <w:rsid w:val="005753EC"/>
    <w:rsid w:val="005801A2"/>
    <w:rsid w:val="005952A5"/>
    <w:rsid w:val="005A33A1"/>
    <w:rsid w:val="005B217D"/>
    <w:rsid w:val="005C385F"/>
    <w:rsid w:val="005C7C26"/>
    <w:rsid w:val="005D7058"/>
    <w:rsid w:val="005E1AC6"/>
    <w:rsid w:val="005E3F2B"/>
    <w:rsid w:val="005E7680"/>
    <w:rsid w:val="005F6701"/>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6EE"/>
    <w:rsid w:val="006C5D39"/>
    <w:rsid w:val="006D6D9B"/>
    <w:rsid w:val="006E2810"/>
    <w:rsid w:val="006E5417"/>
    <w:rsid w:val="006F0794"/>
    <w:rsid w:val="006F7528"/>
    <w:rsid w:val="007023DE"/>
    <w:rsid w:val="00712F60"/>
    <w:rsid w:val="00720E3B"/>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09BB"/>
    <w:rsid w:val="00811C05"/>
    <w:rsid w:val="008206C8"/>
    <w:rsid w:val="00856352"/>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32613"/>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C0AED"/>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51F4"/>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7AA7"/>
    <w:rsid w:val="00D807BF"/>
    <w:rsid w:val="00D82FCC"/>
    <w:rsid w:val="00DA17FC"/>
    <w:rsid w:val="00DA7887"/>
    <w:rsid w:val="00DB2C26"/>
    <w:rsid w:val="00DB45C3"/>
    <w:rsid w:val="00DD02F4"/>
    <w:rsid w:val="00DD6622"/>
    <w:rsid w:val="00DE05A4"/>
    <w:rsid w:val="00DE1C7C"/>
    <w:rsid w:val="00DE6B43"/>
    <w:rsid w:val="00E041C6"/>
    <w:rsid w:val="00E107C3"/>
    <w:rsid w:val="00E11923"/>
    <w:rsid w:val="00E207D8"/>
    <w:rsid w:val="00E262D4"/>
    <w:rsid w:val="00E36250"/>
    <w:rsid w:val="00E47F2D"/>
    <w:rsid w:val="00E54511"/>
    <w:rsid w:val="00E6091E"/>
    <w:rsid w:val="00E60EDC"/>
    <w:rsid w:val="00E61DAC"/>
    <w:rsid w:val="00E64CAD"/>
    <w:rsid w:val="00E72B80"/>
    <w:rsid w:val="00E75FE3"/>
    <w:rsid w:val="00E86C4C"/>
    <w:rsid w:val="00E907A3"/>
    <w:rsid w:val="00E90A12"/>
    <w:rsid w:val="00EA5AE0"/>
    <w:rsid w:val="00EB56E1"/>
    <w:rsid w:val="00EB7AB1"/>
    <w:rsid w:val="00EC32BD"/>
    <w:rsid w:val="00EC51B6"/>
    <w:rsid w:val="00ED536F"/>
    <w:rsid w:val="00EE7CD8"/>
    <w:rsid w:val="00EF37F6"/>
    <w:rsid w:val="00EF48CC"/>
    <w:rsid w:val="00F00801"/>
    <w:rsid w:val="00F07A6B"/>
    <w:rsid w:val="00F2488D"/>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E595C"/>
    <w:rsid w:val="00FF0CE3"/>
    <w:rsid w:val="00FF22F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customStyle="1" w:styleId="UnresolvedMention1">
    <w:name w:val="Unresolved Mention1"/>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4106053">
      <w:bodyDiv w:val="1"/>
      <w:marLeft w:val="0"/>
      <w:marRight w:val="0"/>
      <w:marTop w:val="0"/>
      <w:marBottom w:val="0"/>
      <w:divBdr>
        <w:top w:val="none" w:sz="0" w:space="0" w:color="auto"/>
        <w:left w:val="none" w:sz="0" w:space="0" w:color="auto"/>
        <w:bottom w:val="none" w:sz="0" w:space="0" w:color="auto"/>
        <w:right w:val="none" w:sz="0" w:space="0" w:color="auto"/>
      </w:divBdr>
    </w:div>
    <w:div w:id="2034570568">
      <w:bodyDiv w:val="1"/>
      <w:marLeft w:val="0"/>
      <w:marRight w:val="0"/>
      <w:marTop w:val="0"/>
      <w:marBottom w:val="0"/>
      <w:divBdr>
        <w:top w:val="none" w:sz="0" w:space="0" w:color="auto"/>
        <w:left w:val="none" w:sz="0" w:space="0" w:color="auto"/>
        <w:bottom w:val="none" w:sz="0" w:space="0" w:color="auto"/>
        <w:right w:val="none" w:sz="0" w:space="0" w:color="auto"/>
      </w:divBdr>
    </w:div>
    <w:div w:id="205731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yperlink" Target="mailto:jacob.strom@ericsson.com" TargetMode="External"/><Relationship Id="rId3" Type="http://schemas.openxmlformats.org/officeDocument/2006/relationships/settings" Target="settings.xml"/><Relationship Id="rId21" Type="http://schemas.openxmlformats.org/officeDocument/2006/relationships/hyperlink" Target="mailto:zhangkai.video@bytedance.com"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mailto:jiechen.cj@alibaba-inc.com" TargetMode="External"/><Relationship Id="rId2" Type="http://schemas.openxmlformats.org/officeDocument/2006/relationships/styles" Target="styles.xml"/><Relationship Id="rId16" Type="http://schemas.openxmlformats.org/officeDocument/2006/relationships/hyperlink" Target="https://vcgit.hhi.fraunhofer.de/ecm/ECM/-/tree/ECM-9.0" TargetMode="External"/><Relationship Id="rId20" Type="http://schemas.openxmlformats.org/officeDocument/2006/relationships/hyperlink" Target="mailto:xiaoyuxiu@kwa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kwai.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svg"/><Relationship Id="rId23" Type="http://schemas.openxmlformats.org/officeDocument/2006/relationships/fontTable" Target="fontTable.xml"/><Relationship Id="rId10" Type="http://schemas.openxmlformats.org/officeDocument/2006/relationships/hyperlink" Target="mailto:yzma@mail.xidian.edu.cn" TargetMode="External"/><Relationship Id="rId19" Type="http://schemas.openxmlformats.org/officeDocument/2006/relationships/hyperlink" Target="mailto:martin.winken@hhi.fraunhofer.de"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1162</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13</cp:revision>
  <cp:lastPrinted>1900-01-01T08:00:00Z</cp:lastPrinted>
  <dcterms:created xsi:type="dcterms:W3CDTF">2023-06-26T09:14:00Z</dcterms:created>
  <dcterms:modified xsi:type="dcterms:W3CDTF">2023-07-03T21:40:00Z</dcterms:modified>
</cp:coreProperties>
</file>