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DBABF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125ED7A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757782">
              <w:rPr>
                <w:lang w:val="en-CA"/>
              </w:rPr>
              <w:t>0046</w:t>
            </w:r>
            <w:r w:rsidR="006A0E5C" w:rsidRPr="006A0E5C">
              <w:rPr>
                <w:lang w:val="en-CA"/>
              </w:rPr>
              <w:t>-v</w:t>
            </w:r>
            <w:r w:rsidR="008D715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4DA4B0" w:rsidR="00E61DAC" w:rsidRPr="005B217D" w:rsidRDefault="00C1794D" w:rsidP="009D7CE6">
            <w:pPr>
              <w:spacing w:before="60" w:after="60"/>
              <w:rPr>
                <w:b/>
                <w:szCs w:val="22"/>
                <w:lang w:val="en-CA"/>
              </w:rPr>
            </w:pPr>
            <w:r>
              <w:rPr>
                <w:b/>
                <w:szCs w:val="22"/>
                <w:lang w:val="en-CA"/>
              </w:rPr>
              <w:t xml:space="preserve">EE2-3.2: </w:t>
            </w:r>
            <w:r w:rsidR="0026070C">
              <w:rPr>
                <w:b/>
                <w:szCs w:val="22"/>
                <w:lang w:val="en-CA"/>
              </w:rPr>
              <w:t>Bi-predictive GPM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AB7E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3F0A2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F34CF8" w:rsidR="00E61DAC" w:rsidRPr="005B217D" w:rsidRDefault="0026070C">
            <w:pPr>
              <w:spacing w:before="60" w:after="60"/>
              <w:rPr>
                <w:szCs w:val="22"/>
                <w:lang w:val="en-CA"/>
              </w:rPr>
            </w:pPr>
            <w:r>
              <w:rPr>
                <w:szCs w:val="22"/>
                <w:lang w:val="en-CA"/>
              </w:rPr>
              <w:t>Ruoyang Yu</w:t>
            </w:r>
            <w:r w:rsidRPr="005B217D">
              <w:rPr>
                <w:szCs w:val="22"/>
                <w:lang w:val="en-CA"/>
              </w:rPr>
              <w:br/>
            </w:r>
            <w:r w:rsidR="003021A5">
              <w:rPr>
                <w:szCs w:val="22"/>
                <w:lang w:val="en-CA"/>
              </w:rPr>
              <w:t>Per Wennersten</w:t>
            </w:r>
            <w:r w:rsidRPr="005B217D">
              <w:rPr>
                <w:szCs w:val="22"/>
                <w:lang w:val="en-CA"/>
              </w:rPr>
              <w:br/>
            </w:r>
            <w:r w:rsidR="00B556D4">
              <w:rPr>
                <w:szCs w:val="22"/>
                <w:lang w:val="en-CA"/>
              </w:rPr>
              <w:t>Jack Enhorn</w:t>
            </w:r>
            <w:r w:rsidRPr="005B217D">
              <w:rPr>
                <w:szCs w:val="22"/>
                <w:lang w:val="en-CA"/>
              </w:rPr>
              <w:br/>
            </w:r>
            <w:r w:rsidR="004E53DD">
              <w:rPr>
                <w:szCs w:val="22"/>
                <w:lang w:val="en-CA"/>
              </w:rPr>
              <w:t>Kenneth Andersson</w:t>
            </w:r>
            <w:r w:rsidR="00E61DAC" w:rsidRPr="005B217D">
              <w:rPr>
                <w:szCs w:val="22"/>
                <w:lang w:val="en-CA"/>
              </w:rPr>
              <w:br/>
            </w:r>
          </w:p>
        </w:tc>
        <w:tc>
          <w:tcPr>
            <w:tcW w:w="900" w:type="dxa"/>
          </w:tcPr>
          <w:p w14:paraId="0140ECA2" w14:textId="37AF1AE9" w:rsidR="00E61DAC" w:rsidRPr="005B217D" w:rsidRDefault="00E61DAC">
            <w:pPr>
              <w:spacing w:before="60" w:after="60"/>
              <w:rPr>
                <w:szCs w:val="22"/>
                <w:lang w:val="en-CA"/>
              </w:rPr>
            </w:pPr>
            <w:r w:rsidRPr="005B217D">
              <w:rPr>
                <w:szCs w:val="22"/>
                <w:lang w:val="en-CA"/>
              </w:rPr>
              <w:t>Email:</w:t>
            </w:r>
          </w:p>
        </w:tc>
        <w:tc>
          <w:tcPr>
            <w:tcW w:w="3060" w:type="dxa"/>
          </w:tcPr>
          <w:p w14:paraId="32C2ABFD" w14:textId="10A569BC" w:rsidR="00E61DAC" w:rsidRPr="005B217D" w:rsidRDefault="00000000" w:rsidP="005952A5">
            <w:pPr>
              <w:spacing w:before="60" w:after="60"/>
              <w:rPr>
                <w:szCs w:val="22"/>
                <w:lang w:val="en-CA"/>
              </w:rPr>
            </w:pPr>
            <w:hyperlink r:id="rId9" w:history="1">
              <w:r w:rsidR="004E53DD" w:rsidRPr="0025657D">
                <w:rPr>
                  <w:rStyle w:val="Hyperlink"/>
                  <w:szCs w:val="22"/>
                  <w:lang w:val="en-CA"/>
                </w:rPr>
                <w:t>ruoyang.yu@ericsson.com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CF1D3B" w:rsidR="00E61DAC" w:rsidRPr="005B217D" w:rsidRDefault="004E53DD">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C677FAD" w:rsidR="00263398" w:rsidRPr="005B217D" w:rsidRDefault="00F723B4" w:rsidP="009234A5">
      <w:pPr>
        <w:rPr>
          <w:szCs w:val="22"/>
          <w:lang w:val="en-CA"/>
        </w:rPr>
      </w:pPr>
      <w:r>
        <w:rPr>
          <w:lang w:val="en-CA"/>
        </w:rPr>
        <w:t>This contribution reports resul</w:t>
      </w:r>
      <w:r w:rsidR="00EC2180">
        <w:rPr>
          <w:lang w:val="en-CA"/>
        </w:rPr>
        <w:t xml:space="preserve">ts </w:t>
      </w:r>
      <w:r w:rsidR="00A96778">
        <w:rPr>
          <w:lang w:val="en-CA"/>
        </w:rPr>
        <w:t>for</w:t>
      </w:r>
      <w:r w:rsidR="00EC2180">
        <w:rPr>
          <w:lang w:val="en-CA"/>
        </w:rPr>
        <w:t xml:space="preserve"> </w:t>
      </w:r>
      <w:r w:rsidR="00A96778">
        <w:rPr>
          <w:lang w:val="en-CA"/>
        </w:rPr>
        <w:t>EE</w:t>
      </w:r>
      <w:r w:rsidR="00EC2180">
        <w:rPr>
          <w:lang w:val="en-CA"/>
        </w:rPr>
        <w:t>2</w:t>
      </w:r>
      <w:r w:rsidR="00F53E03">
        <w:rPr>
          <w:lang w:val="en-CA"/>
        </w:rPr>
        <w:t xml:space="preserve"> </w:t>
      </w:r>
      <w:r w:rsidR="00FA7F0A">
        <w:rPr>
          <w:lang w:val="en-CA"/>
        </w:rPr>
        <w:t>T</w:t>
      </w:r>
      <w:r w:rsidR="00F53E03">
        <w:rPr>
          <w:lang w:val="en-CA"/>
        </w:rPr>
        <w:t xml:space="preserve">est </w:t>
      </w:r>
      <w:r w:rsidR="00EC2180">
        <w:rPr>
          <w:lang w:val="en-CA"/>
        </w:rPr>
        <w:t xml:space="preserve">3.2 on bi-predictive GPM. </w:t>
      </w:r>
      <w:r w:rsidR="00F53E03">
        <w:rPr>
          <w:lang w:val="en-CA"/>
        </w:rPr>
        <w:t>In EE2</w:t>
      </w:r>
      <w:r w:rsidR="00A07A7F">
        <w:rPr>
          <w:lang w:val="en-CA"/>
        </w:rPr>
        <w:t xml:space="preserve"> Test </w:t>
      </w:r>
      <w:r w:rsidR="00F53E03">
        <w:rPr>
          <w:lang w:val="en-CA"/>
        </w:rPr>
        <w:t xml:space="preserve">3.2, </w:t>
      </w:r>
      <w:r w:rsidR="005A4CE5">
        <w:rPr>
          <w:color w:val="000000"/>
        </w:rPr>
        <w:t xml:space="preserve">it is proposed to extend the existing </w:t>
      </w:r>
      <w:proofErr w:type="spellStart"/>
      <w:r w:rsidR="005A4CE5">
        <w:rPr>
          <w:color w:val="000000"/>
        </w:rPr>
        <w:t>uni</w:t>
      </w:r>
      <w:proofErr w:type="spellEnd"/>
      <w:r w:rsidR="005A4CE5">
        <w:rPr>
          <w:color w:val="000000"/>
        </w:rPr>
        <w:t xml:space="preserve">-predictive GPM design to allow usage of bi-predictive motion vectors for generating motion compensated prediction samples for inter partitions. </w:t>
      </w:r>
      <w:r w:rsidR="00795316">
        <w:rPr>
          <w:color w:val="000000"/>
        </w:rPr>
        <w:t>The</w:t>
      </w:r>
      <w:r w:rsidR="006509DD">
        <w:rPr>
          <w:color w:val="000000"/>
        </w:rPr>
        <w:t xml:space="preserve"> </w:t>
      </w:r>
      <w:r w:rsidR="002F314B">
        <w:rPr>
          <w:color w:val="000000"/>
        </w:rPr>
        <w:t>test is reported to be carried on top of ECM</w:t>
      </w:r>
      <w:r w:rsidR="009B295F">
        <w:rPr>
          <w:color w:val="000000"/>
        </w:rPr>
        <w:t>-</w:t>
      </w:r>
      <w:r w:rsidR="002F314B">
        <w:rPr>
          <w:color w:val="000000"/>
        </w:rPr>
        <w:t xml:space="preserve">9.0. </w:t>
      </w:r>
      <w:r w:rsidR="00D04EEC">
        <w:rPr>
          <w:lang w:val="en-CA"/>
        </w:rPr>
        <w:t xml:space="preserve">The BD-rate PSNR impact is reported to be -0.20% and </w:t>
      </w:r>
      <w:r w:rsidR="00D04EEC" w:rsidRPr="009F061C">
        <w:rPr>
          <w:highlight w:val="yellow"/>
          <w:lang w:val="en-CA"/>
        </w:rPr>
        <w:t>-0.21%</w:t>
      </w:r>
      <w:r w:rsidR="0066270D" w:rsidRPr="009F061C">
        <w:rPr>
          <w:highlight w:val="yellow"/>
          <w:lang w:val="en-CA"/>
        </w:rPr>
        <w:t xml:space="preserve"> (estimated number</w:t>
      </w:r>
      <w:r w:rsidR="009F061C" w:rsidRPr="009F061C">
        <w:rPr>
          <w:highlight w:val="yellow"/>
          <w:lang w:val="en-CA"/>
        </w:rPr>
        <w:t>, final number will be updated)</w:t>
      </w:r>
      <w:r w:rsidR="00D04EEC">
        <w:rPr>
          <w:lang w:val="en-CA"/>
        </w:rPr>
        <w:t xml:space="preserve"> under RA and LDB common test configurations. The average encoder run time number under RA is reported to be 101%. </w:t>
      </w:r>
      <w:r w:rsidR="00BE7250">
        <w:rPr>
          <w:lang w:val="en-CA"/>
        </w:rPr>
        <w:t>The average decoder run time number under RA is reported to be 100%.</w:t>
      </w:r>
    </w:p>
    <w:p w14:paraId="7D2AC1F0" w14:textId="2FA4A631" w:rsidR="00745F6B" w:rsidRPr="005B217D" w:rsidRDefault="00745F6B" w:rsidP="00E11923">
      <w:pPr>
        <w:pStyle w:val="Heading1"/>
        <w:rPr>
          <w:lang w:val="en-CA"/>
        </w:rPr>
      </w:pPr>
      <w:r w:rsidRPr="005B217D">
        <w:rPr>
          <w:lang w:val="en-CA"/>
        </w:rPr>
        <w:t>Introduction</w:t>
      </w:r>
    </w:p>
    <w:p w14:paraId="6BBC1818" w14:textId="344F15E9" w:rsidR="00E074DE" w:rsidRDefault="0078263A" w:rsidP="00077F37">
      <w:pPr>
        <w:rPr>
          <w:szCs w:val="22"/>
          <w:lang w:val="en-CA"/>
        </w:rPr>
      </w:pPr>
      <w:r>
        <w:rPr>
          <w:szCs w:val="22"/>
          <w:lang w:val="en-CA"/>
        </w:rPr>
        <w:t xml:space="preserve">At the JVET-AD meeting, </w:t>
      </w:r>
      <w:r w:rsidR="00B37A85">
        <w:rPr>
          <w:szCs w:val="22"/>
          <w:lang w:val="en-CA"/>
        </w:rPr>
        <w:t>JVET-A</w:t>
      </w:r>
      <w:r w:rsidR="006E14A2">
        <w:rPr>
          <w:szCs w:val="22"/>
          <w:lang w:val="en-CA"/>
        </w:rPr>
        <w:t>D</w:t>
      </w:r>
      <w:r w:rsidR="00B37A85">
        <w:rPr>
          <w:szCs w:val="22"/>
          <w:lang w:val="en-CA"/>
        </w:rPr>
        <w:t>0064</w:t>
      </w:r>
      <w:r w:rsidR="00F02E3A">
        <w:rPr>
          <w:szCs w:val="22"/>
          <w:lang w:val="en-CA"/>
        </w:rPr>
        <w:t xml:space="preserve"> [1]</w:t>
      </w:r>
      <w:r>
        <w:rPr>
          <w:szCs w:val="22"/>
          <w:lang w:val="en-CA"/>
        </w:rPr>
        <w:t xml:space="preserve"> was</w:t>
      </w:r>
      <w:r w:rsidR="00B37A85">
        <w:rPr>
          <w:szCs w:val="22"/>
          <w:lang w:val="en-CA"/>
        </w:rPr>
        <w:t xml:space="preserve"> </w:t>
      </w:r>
      <w:r w:rsidR="00077F37">
        <w:rPr>
          <w:szCs w:val="22"/>
          <w:lang w:val="en-CA"/>
        </w:rPr>
        <w:t>proposed to extend the current GPM design to allow usage of bi-predictive motion vectors.</w:t>
      </w:r>
      <w:r w:rsidR="006E14A2">
        <w:rPr>
          <w:szCs w:val="22"/>
          <w:lang w:val="en-CA"/>
        </w:rPr>
        <w:t xml:space="preserve"> The proposal </w:t>
      </w:r>
      <w:r w:rsidR="00D4795C">
        <w:rPr>
          <w:szCs w:val="22"/>
          <w:lang w:val="en-CA"/>
        </w:rPr>
        <w:t>was</w:t>
      </w:r>
      <w:r w:rsidR="006E14A2">
        <w:rPr>
          <w:szCs w:val="22"/>
          <w:lang w:val="en-CA"/>
        </w:rPr>
        <w:t xml:space="preserve"> agreed </w:t>
      </w:r>
      <w:r w:rsidR="00D4795C">
        <w:rPr>
          <w:szCs w:val="22"/>
          <w:lang w:val="en-CA"/>
        </w:rPr>
        <w:t xml:space="preserve">to be included in the EE2 </w:t>
      </w:r>
      <w:r w:rsidR="00B71210">
        <w:rPr>
          <w:szCs w:val="22"/>
          <w:lang w:val="en-CA"/>
        </w:rPr>
        <w:t>Test 3.2 for further study and evaluation.</w:t>
      </w:r>
    </w:p>
    <w:p w14:paraId="182776F2" w14:textId="77777777" w:rsidR="00355DF6" w:rsidRDefault="00B71210" w:rsidP="00077F37">
      <w:pPr>
        <w:rPr>
          <w:szCs w:val="22"/>
          <w:lang w:val="en-CA"/>
        </w:rPr>
      </w:pPr>
      <w:r>
        <w:rPr>
          <w:szCs w:val="22"/>
          <w:lang w:val="en-CA"/>
        </w:rPr>
        <w:t>The detailed elements in the proposed modifications are as follows</w:t>
      </w:r>
      <w:r w:rsidR="00513381">
        <w:rPr>
          <w:szCs w:val="22"/>
          <w:lang w:val="en-CA"/>
        </w:rPr>
        <w:t>:</w:t>
      </w:r>
    </w:p>
    <w:p w14:paraId="238015C1" w14:textId="77777777" w:rsidR="00355DF6" w:rsidRDefault="00513381" w:rsidP="00077F37">
      <w:pPr>
        <w:rPr>
          <w:szCs w:val="22"/>
          <w:lang w:val="en-CA"/>
        </w:rPr>
      </w:pPr>
      <w:r>
        <w:rPr>
          <w:lang w:val="en-CA"/>
        </w:rPr>
        <w:t>T</w:t>
      </w:r>
      <w:r w:rsidR="00077F37">
        <w:rPr>
          <w:lang w:val="en-CA"/>
        </w:rPr>
        <w:t xml:space="preserve">he first element conditionally invokes the extraction process that extracts </w:t>
      </w:r>
      <w:proofErr w:type="spellStart"/>
      <w:r w:rsidR="00077F37">
        <w:rPr>
          <w:lang w:val="en-CA"/>
        </w:rPr>
        <w:t>uni</w:t>
      </w:r>
      <w:proofErr w:type="spellEnd"/>
      <w:r w:rsidR="00077F37">
        <w:rPr>
          <w:lang w:val="en-CA"/>
        </w:rPr>
        <w:t>-predictive motion vectors from the initial list. The extraction process is invoked only for small blocks 8x8, 16x8 and 8x16. For other larger blocks, the extraction process is bypassed. The generation of the initial list is the same as before (i.e., the normal merge list generation without any candidate reordering) except that when generating the initial list for larger blocks (i.e., blocks with the extraction process bypassed), the motion vector difference threshold for controlling whether a candidate can be added into the initial list is increased to be one full sample distance.</w:t>
      </w:r>
    </w:p>
    <w:p w14:paraId="4938C0D4" w14:textId="6DA30EEA" w:rsidR="00077F37" w:rsidRPr="00513381" w:rsidRDefault="00077F37" w:rsidP="00077F37">
      <w:pPr>
        <w:rPr>
          <w:szCs w:val="22"/>
          <w:lang w:val="en-CA"/>
        </w:rPr>
      </w:pPr>
      <w:r>
        <w:rPr>
          <w:lang w:val="en-CA"/>
        </w:rPr>
        <w:t xml:space="preserve">The second element modifies GPM-MMVD to support bi-predictive motion vector as the base vector. For low-delay pictures, the signaled MVD is applied on top of the L0 and L1 motion vector as in the existing merge MMVD design. For non-low-delay pictures, the bi-predictive motion vector is converted into a </w:t>
      </w:r>
      <w:proofErr w:type="spellStart"/>
      <w:r>
        <w:rPr>
          <w:lang w:val="en-CA"/>
        </w:rPr>
        <w:t>uni</w:t>
      </w:r>
      <w:proofErr w:type="spellEnd"/>
      <w:r>
        <w:rPr>
          <w:lang w:val="en-CA"/>
        </w:rPr>
        <w:t>-predictive motion vector first and then the MVD is applied on top.</w:t>
      </w:r>
    </w:p>
    <w:p w14:paraId="214A5EDB" w14:textId="718F5C47" w:rsidR="00077F37" w:rsidRDefault="00077F37" w:rsidP="00077F37">
      <w:pPr>
        <w:rPr>
          <w:lang w:val="en-CA"/>
        </w:rPr>
      </w:pPr>
      <w:r>
        <w:rPr>
          <w:lang w:val="en-CA"/>
        </w:rPr>
        <w:t>The third element modifies GPM-TM to also support bi-predictive motion vectors.</w:t>
      </w:r>
    </w:p>
    <w:p w14:paraId="1539A21D" w14:textId="24CEA4C9" w:rsidR="001F2594" w:rsidRPr="001D3128" w:rsidRDefault="00077F37" w:rsidP="009234A5">
      <w:pPr>
        <w:rPr>
          <w:lang w:val="en-CA"/>
        </w:rPr>
      </w:pPr>
      <w:r>
        <w:rPr>
          <w:lang w:val="en-CA"/>
        </w:rPr>
        <w:t xml:space="preserve">The last element is to enable </w:t>
      </w:r>
      <w:r w:rsidR="00355DF6">
        <w:rPr>
          <w:lang w:val="en-CA"/>
        </w:rPr>
        <w:t xml:space="preserve">the </w:t>
      </w:r>
      <w:r>
        <w:rPr>
          <w:lang w:val="en-CA"/>
        </w:rPr>
        <w:t xml:space="preserve">BDOF </w:t>
      </w:r>
      <w:r w:rsidR="00355DF6">
        <w:rPr>
          <w:lang w:val="en-CA"/>
        </w:rPr>
        <w:t xml:space="preserve">based mv refinement </w:t>
      </w:r>
      <w:r w:rsidR="00586E20">
        <w:rPr>
          <w:lang w:val="en-CA"/>
        </w:rPr>
        <w:t xml:space="preserve">as </w:t>
      </w:r>
      <w:r>
        <w:rPr>
          <w:lang w:val="en-CA"/>
        </w:rPr>
        <w:t xml:space="preserve">in </w:t>
      </w:r>
      <w:r w:rsidR="00F71B91">
        <w:rPr>
          <w:lang w:val="en-CA"/>
        </w:rPr>
        <w:t>the</w:t>
      </w:r>
      <w:r>
        <w:rPr>
          <w:lang w:val="en-CA"/>
        </w:rPr>
        <w:t xml:space="preserve"> multi-pass DMVR on top of the associated bi-predictive motion vectors for each inter partition.</w:t>
      </w:r>
    </w:p>
    <w:p w14:paraId="488509EF" w14:textId="26947F60" w:rsidR="00EF0652" w:rsidRDefault="00EF0652" w:rsidP="00E11923">
      <w:pPr>
        <w:pStyle w:val="Heading1"/>
        <w:rPr>
          <w:lang w:val="en-CA"/>
        </w:rPr>
      </w:pPr>
      <w:r>
        <w:rPr>
          <w:lang w:val="en-CA"/>
        </w:rPr>
        <w:lastRenderedPageBreak/>
        <w:t>Experiment results</w:t>
      </w:r>
    </w:p>
    <w:p w14:paraId="27171D4A" w14:textId="0AF9478B" w:rsidR="001D3128" w:rsidRDefault="001D3128" w:rsidP="001D3128">
      <w:pPr>
        <w:rPr>
          <w:lang w:val="en-CA"/>
        </w:rPr>
      </w:pPr>
      <w:r>
        <w:rPr>
          <w:lang w:val="en-CA"/>
        </w:rPr>
        <w:t xml:space="preserve">The EE2 Test 3.2 has been </w:t>
      </w:r>
      <w:r w:rsidR="00F02E3A">
        <w:rPr>
          <w:lang w:val="en-CA"/>
        </w:rPr>
        <w:t>carried out</w:t>
      </w:r>
      <w:r>
        <w:rPr>
          <w:lang w:val="en-CA"/>
        </w:rPr>
        <w:t xml:space="preserve"> in ECM-</w:t>
      </w:r>
      <w:r w:rsidR="00F02E3A">
        <w:rPr>
          <w:lang w:val="en-CA"/>
        </w:rPr>
        <w:t>9</w:t>
      </w:r>
      <w:r>
        <w:rPr>
          <w:lang w:val="en-CA"/>
        </w:rPr>
        <w:t>.0 [</w:t>
      </w:r>
      <w:r w:rsidR="00F02E3A">
        <w:rPr>
          <w:lang w:val="en-CA"/>
        </w:rPr>
        <w:t>2</w:t>
      </w:r>
      <w:r>
        <w:rPr>
          <w:lang w:val="en-CA"/>
        </w:rPr>
        <w:t>] and evaluated under the ECM RA and LDB common test configurations [</w:t>
      </w:r>
      <w:r w:rsidR="00F02E3A">
        <w:rPr>
          <w:lang w:val="en-CA"/>
        </w:rPr>
        <w:t>3</w:t>
      </w:r>
      <w:r>
        <w:rPr>
          <w:lang w:val="en-CA"/>
        </w:rPr>
        <w:t>].</w:t>
      </w:r>
    </w:p>
    <w:p w14:paraId="54123A2F" w14:textId="32F6ED9A" w:rsidR="003A2517" w:rsidRDefault="00F02E3A" w:rsidP="001D3128">
      <w:pPr>
        <w:rPr>
          <w:lang w:val="en-CA"/>
        </w:rPr>
      </w:pPr>
      <w:r>
        <w:rPr>
          <w:lang w:val="en-CA"/>
        </w:rPr>
        <w:t>The following table reports the objective results.</w:t>
      </w:r>
      <w:r w:rsidR="00F23F1B">
        <w:rPr>
          <w:lang w:val="en-CA"/>
        </w:rPr>
        <w:t xml:space="preserve"> T</w:t>
      </w:r>
      <w:r>
        <w:rPr>
          <w:lang w:val="en-CA"/>
        </w:rPr>
        <w:t xml:space="preserve">he reported encoder </w:t>
      </w:r>
      <w:r w:rsidR="003A2517">
        <w:rPr>
          <w:lang w:val="en-CA"/>
        </w:rPr>
        <w:t>and decoder run time numbers are the average number from several simulation runs.</w:t>
      </w:r>
    </w:p>
    <w:p w14:paraId="18D33B5C" w14:textId="77777777" w:rsidR="00DD2C9F" w:rsidRDefault="00DD2C9F" w:rsidP="001D3128">
      <w:pPr>
        <w:rPr>
          <w:lang w:val="en-CA"/>
        </w:rPr>
      </w:pPr>
    </w:p>
    <w:tbl>
      <w:tblPr>
        <w:tblW w:w="6361" w:type="dxa"/>
        <w:jc w:val="center"/>
        <w:tblLook w:val="04A0" w:firstRow="1" w:lastRow="0" w:firstColumn="1" w:lastColumn="0" w:noHBand="0" w:noVBand="1"/>
      </w:tblPr>
      <w:tblGrid>
        <w:gridCol w:w="1060"/>
        <w:gridCol w:w="1033"/>
        <w:gridCol w:w="1033"/>
        <w:gridCol w:w="1033"/>
        <w:gridCol w:w="1101"/>
        <w:gridCol w:w="1101"/>
      </w:tblGrid>
      <w:tr w:rsidR="00DD2C9F" w:rsidRPr="00DD2C9F" w14:paraId="08E967BA" w14:textId="77777777" w:rsidTr="005F2212">
        <w:trPr>
          <w:trHeight w:val="255"/>
          <w:jc w:val="center"/>
        </w:trPr>
        <w:tc>
          <w:tcPr>
            <w:tcW w:w="1060" w:type="dxa"/>
            <w:tcBorders>
              <w:top w:val="nil"/>
              <w:left w:val="nil"/>
              <w:bottom w:val="nil"/>
              <w:right w:val="nil"/>
            </w:tcBorders>
            <w:shd w:val="clear" w:color="auto" w:fill="auto"/>
            <w:noWrap/>
            <w:vAlign w:val="center"/>
            <w:hideMark/>
          </w:tcPr>
          <w:p w14:paraId="2B32F2CE"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zh-CN"/>
              </w:rPr>
            </w:pPr>
          </w:p>
        </w:tc>
        <w:tc>
          <w:tcPr>
            <w:tcW w:w="5301" w:type="dxa"/>
            <w:gridSpan w:val="5"/>
            <w:tcBorders>
              <w:top w:val="single" w:sz="8" w:space="0" w:color="auto"/>
              <w:left w:val="single" w:sz="8" w:space="0" w:color="auto"/>
              <w:bottom w:val="single" w:sz="8" w:space="0" w:color="auto"/>
              <w:right w:val="nil"/>
            </w:tcBorders>
            <w:shd w:val="clear" w:color="auto" w:fill="auto"/>
            <w:noWrap/>
            <w:vAlign w:val="center"/>
            <w:hideMark/>
          </w:tcPr>
          <w:p w14:paraId="5C998753"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zh-CN"/>
              </w:rPr>
            </w:pPr>
            <w:r w:rsidRPr="00DD2C9F">
              <w:rPr>
                <w:rFonts w:ascii="Arial" w:hAnsi="Arial" w:cs="Arial"/>
                <w:b/>
                <w:bCs/>
                <w:color w:val="000000"/>
                <w:sz w:val="18"/>
                <w:szCs w:val="18"/>
                <w:lang w:val="en-SE" w:eastAsia="zh-CN"/>
              </w:rPr>
              <w:t>Random Access Main 10</w:t>
            </w:r>
          </w:p>
        </w:tc>
      </w:tr>
      <w:tr w:rsidR="00DD2C9F" w:rsidRPr="00DD2C9F" w14:paraId="7B02A753" w14:textId="77777777" w:rsidTr="005F2212">
        <w:trPr>
          <w:trHeight w:val="255"/>
          <w:jc w:val="center"/>
        </w:trPr>
        <w:tc>
          <w:tcPr>
            <w:tcW w:w="1060" w:type="dxa"/>
            <w:tcBorders>
              <w:top w:val="nil"/>
              <w:left w:val="nil"/>
              <w:bottom w:val="nil"/>
              <w:right w:val="nil"/>
            </w:tcBorders>
            <w:shd w:val="clear" w:color="auto" w:fill="auto"/>
            <w:noWrap/>
            <w:vAlign w:val="center"/>
            <w:hideMark/>
          </w:tcPr>
          <w:p w14:paraId="7D3D059C"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zh-CN"/>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290D36F9"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zh-CN"/>
              </w:rPr>
            </w:pPr>
            <w:r w:rsidRPr="00DD2C9F">
              <w:rPr>
                <w:rFonts w:ascii="Arial" w:hAnsi="Arial" w:cs="Arial"/>
                <w:b/>
                <w:bCs/>
                <w:color w:val="000000"/>
                <w:sz w:val="18"/>
                <w:szCs w:val="18"/>
                <w:lang w:val="en-SE" w:eastAsia="zh-CN"/>
              </w:rPr>
              <w:t>Over ECM-9.0</w:t>
            </w:r>
          </w:p>
        </w:tc>
      </w:tr>
      <w:tr w:rsidR="00DD2C9F" w:rsidRPr="00DD2C9F" w14:paraId="2CD55F4A" w14:textId="77777777" w:rsidTr="005F2212">
        <w:trPr>
          <w:trHeight w:val="255"/>
          <w:jc w:val="center"/>
        </w:trPr>
        <w:tc>
          <w:tcPr>
            <w:tcW w:w="1060" w:type="dxa"/>
            <w:tcBorders>
              <w:top w:val="nil"/>
              <w:left w:val="nil"/>
              <w:bottom w:val="nil"/>
              <w:right w:val="nil"/>
            </w:tcBorders>
            <w:shd w:val="clear" w:color="auto" w:fill="auto"/>
            <w:noWrap/>
            <w:vAlign w:val="center"/>
            <w:hideMark/>
          </w:tcPr>
          <w:p w14:paraId="2FDA1630"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5C91ECCD"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Y</w:t>
            </w:r>
          </w:p>
        </w:tc>
        <w:tc>
          <w:tcPr>
            <w:tcW w:w="1033" w:type="dxa"/>
            <w:tcBorders>
              <w:top w:val="nil"/>
              <w:left w:val="nil"/>
              <w:bottom w:val="single" w:sz="8" w:space="0" w:color="auto"/>
              <w:right w:val="nil"/>
            </w:tcBorders>
            <w:shd w:val="clear" w:color="auto" w:fill="auto"/>
            <w:noWrap/>
            <w:vAlign w:val="center"/>
            <w:hideMark/>
          </w:tcPr>
          <w:p w14:paraId="65366B9B"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U</w:t>
            </w:r>
          </w:p>
        </w:tc>
        <w:tc>
          <w:tcPr>
            <w:tcW w:w="1033" w:type="dxa"/>
            <w:tcBorders>
              <w:top w:val="nil"/>
              <w:left w:val="nil"/>
              <w:bottom w:val="single" w:sz="8" w:space="0" w:color="auto"/>
              <w:right w:val="single" w:sz="4" w:space="0" w:color="auto"/>
            </w:tcBorders>
            <w:shd w:val="clear" w:color="auto" w:fill="auto"/>
            <w:noWrap/>
            <w:vAlign w:val="center"/>
            <w:hideMark/>
          </w:tcPr>
          <w:p w14:paraId="73CB122A"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V</w:t>
            </w:r>
          </w:p>
        </w:tc>
        <w:tc>
          <w:tcPr>
            <w:tcW w:w="1101" w:type="dxa"/>
            <w:tcBorders>
              <w:top w:val="nil"/>
              <w:left w:val="nil"/>
              <w:bottom w:val="single" w:sz="8" w:space="0" w:color="auto"/>
              <w:right w:val="nil"/>
            </w:tcBorders>
            <w:shd w:val="clear" w:color="auto" w:fill="auto"/>
            <w:noWrap/>
            <w:vAlign w:val="center"/>
            <w:hideMark/>
          </w:tcPr>
          <w:p w14:paraId="5084D4EF"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proofErr w:type="spellStart"/>
            <w:r w:rsidRPr="00DD2C9F">
              <w:rPr>
                <w:rFonts w:ascii="Arial" w:hAnsi="Arial" w:cs="Arial"/>
                <w:color w:val="000000"/>
                <w:sz w:val="18"/>
                <w:szCs w:val="18"/>
                <w:lang w:val="en-SE" w:eastAsia="zh-CN"/>
              </w:rPr>
              <w:t>EncT</w:t>
            </w:r>
            <w:proofErr w:type="spellEnd"/>
          </w:p>
        </w:tc>
        <w:tc>
          <w:tcPr>
            <w:tcW w:w="1101" w:type="dxa"/>
            <w:tcBorders>
              <w:top w:val="nil"/>
              <w:left w:val="nil"/>
              <w:bottom w:val="single" w:sz="8" w:space="0" w:color="auto"/>
              <w:right w:val="single" w:sz="8" w:space="0" w:color="auto"/>
            </w:tcBorders>
            <w:shd w:val="clear" w:color="auto" w:fill="auto"/>
            <w:noWrap/>
            <w:vAlign w:val="center"/>
            <w:hideMark/>
          </w:tcPr>
          <w:p w14:paraId="12E9C273"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proofErr w:type="spellStart"/>
            <w:r w:rsidRPr="00DD2C9F">
              <w:rPr>
                <w:rFonts w:ascii="Arial" w:hAnsi="Arial" w:cs="Arial"/>
                <w:color w:val="000000"/>
                <w:sz w:val="18"/>
                <w:szCs w:val="18"/>
                <w:lang w:val="en-SE" w:eastAsia="zh-CN"/>
              </w:rPr>
              <w:t>DecT</w:t>
            </w:r>
            <w:proofErr w:type="spellEnd"/>
          </w:p>
        </w:tc>
      </w:tr>
      <w:tr w:rsidR="00DD2C9F" w:rsidRPr="00DD2C9F" w14:paraId="6D4807F6" w14:textId="77777777" w:rsidTr="005F22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B5657D"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Class A1</w:t>
            </w:r>
          </w:p>
        </w:tc>
        <w:tc>
          <w:tcPr>
            <w:tcW w:w="1033" w:type="dxa"/>
            <w:tcBorders>
              <w:top w:val="nil"/>
              <w:left w:val="nil"/>
              <w:bottom w:val="nil"/>
              <w:right w:val="nil"/>
            </w:tcBorders>
            <w:shd w:val="clear" w:color="auto" w:fill="auto"/>
            <w:noWrap/>
            <w:vAlign w:val="center"/>
            <w:hideMark/>
          </w:tcPr>
          <w:p w14:paraId="1A032A74"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-0,15%</w:t>
            </w:r>
          </w:p>
        </w:tc>
        <w:tc>
          <w:tcPr>
            <w:tcW w:w="1033" w:type="dxa"/>
            <w:tcBorders>
              <w:top w:val="nil"/>
              <w:left w:val="nil"/>
              <w:bottom w:val="nil"/>
              <w:right w:val="nil"/>
            </w:tcBorders>
            <w:shd w:val="clear" w:color="auto" w:fill="auto"/>
            <w:noWrap/>
            <w:vAlign w:val="center"/>
            <w:hideMark/>
          </w:tcPr>
          <w:p w14:paraId="068066E8"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-0,46%</w:t>
            </w:r>
          </w:p>
        </w:tc>
        <w:tc>
          <w:tcPr>
            <w:tcW w:w="1033" w:type="dxa"/>
            <w:tcBorders>
              <w:top w:val="nil"/>
              <w:left w:val="nil"/>
              <w:bottom w:val="nil"/>
              <w:right w:val="single" w:sz="4" w:space="0" w:color="auto"/>
            </w:tcBorders>
            <w:shd w:val="clear" w:color="auto" w:fill="auto"/>
            <w:noWrap/>
            <w:vAlign w:val="center"/>
            <w:hideMark/>
          </w:tcPr>
          <w:p w14:paraId="06F87FB1"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-0,09%</w:t>
            </w:r>
          </w:p>
        </w:tc>
        <w:tc>
          <w:tcPr>
            <w:tcW w:w="1101" w:type="dxa"/>
            <w:tcBorders>
              <w:top w:val="nil"/>
              <w:left w:val="nil"/>
              <w:bottom w:val="nil"/>
              <w:right w:val="nil"/>
            </w:tcBorders>
            <w:shd w:val="clear" w:color="auto" w:fill="auto"/>
            <w:noWrap/>
            <w:vAlign w:val="center"/>
            <w:hideMark/>
          </w:tcPr>
          <w:p w14:paraId="06475FA1"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#NUM!</w:t>
            </w:r>
          </w:p>
        </w:tc>
        <w:tc>
          <w:tcPr>
            <w:tcW w:w="1101" w:type="dxa"/>
            <w:tcBorders>
              <w:top w:val="nil"/>
              <w:left w:val="nil"/>
              <w:bottom w:val="nil"/>
              <w:right w:val="single" w:sz="8" w:space="0" w:color="auto"/>
            </w:tcBorders>
            <w:shd w:val="clear" w:color="auto" w:fill="auto"/>
            <w:noWrap/>
            <w:vAlign w:val="center"/>
            <w:hideMark/>
          </w:tcPr>
          <w:p w14:paraId="7B2C4B0C"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100,0%</w:t>
            </w:r>
          </w:p>
        </w:tc>
      </w:tr>
      <w:tr w:rsidR="00DD2C9F" w:rsidRPr="00DD2C9F" w14:paraId="1B95FE58" w14:textId="77777777" w:rsidTr="005F22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666B43"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Class A2</w:t>
            </w:r>
          </w:p>
        </w:tc>
        <w:tc>
          <w:tcPr>
            <w:tcW w:w="1033" w:type="dxa"/>
            <w:tcBorders>
              <w:top w:val="nil"/>
              <w:left w:val="nil"/>
              <w:bottom w:val="nil"/>
              <w:right w:val="nil"/>
            </w:tcBorders>
            <w:shd w:val="clear" w:color="auto" w:fill="auto"/>
            <w:noWrap/>
            <w:vAlign w:val="center"/>
            <w:hideMark/>
          </w:tcPr>
          <w:p w14:paraId="172DF622"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-0,27%</w:t>
            </w:r>
          </w:p>
        </w:tc>
        <w:tc>
          <w:tcPr>
            <w:tcW w:w="1033" w:type="dxa"/>
            <w:tcBorders>
              <w:top w:val="nil"/>
              <w:left w:val="nil"/>
              <w:bottom w:val="nil"/>
              <w:right w:val="nil"/>
            </w:tcBorders>
            <w:shd w:val="clear" w:color="auto" w:fill="auto"/>
            <w:noWrap/>
            <w:vAlign w:val="center"/>
            <w:hideMark/>
          </w:tcPr>
          <w:p w14:paraId="59483584"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-0,30%</w:t>
            </w:r>
          </w:p>
        </w:tc>
        <w:tc>
          <w:tcPr>
            <w:tcW w:w="1033" w:type="dxa"/>
            <w:tcBorders>
              <w:top w:val="nil"/>
              <w:left w:val="nil"/>
              <w:bottom w:val="nil"/>
              <w:right w:val="single" w:sz="4" w:space="0" w:color="auto"/>
            </w:tcBorders>
            <w:shd w:val="clear" w:color="auto" w:fill="auto"/>
            <w:noWrap/>
            <w:vAlign w:val="center"/>
            <w:hideMark/>
          </w:tcPr>
          <w:p w14:paraId="4239E783"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-0,26%</w:t>
            </w:r>
          </w:p>
        </w:tc>
        <w:tc>
          <w:tcPr>
            <w:tcW w:w="1101" w:type="dxa"/>
            <w:tcBorders>
              <w:top w:val="nil"/>
              <w:left w:val="nil"/>
              <w:bottom w:val="nil"/>
              <w:right w:val="nil"/>
            </w:tcBorders>
            <w:shd w:val="clear" w:color="auto" w:fill="auto"/>
            <w:noWrap/>
            <w:vAlign w:val="center"/>
            <w:hideMark/>
          </w:tcPr>
          <w:p w14:paraId="42736F45"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#NUM!</w:t>
            </w:r>
          </w:p>
        </w:tc>
        <w:tc>
          <w:tcPr>
            <w:tcW w:w="1101" w:type="dxa"/>
            <w:tcBorders>
              <w:top w:val="nil"/>
              <w:left w:val="nil"/>
              <w:bottom w:val="nil"/>
              <w:right w:val="single" w:sz="8" w:space="0" w:color="auto"/>
            </w:tcBorders>
            <w:shd w:val="clear" w:color="auto" w:fill="auto"/>
            <w:noWrap/>
            <w:vAlign w:val="center"/>
            <w:hideMark/>
          </w:tcPr>
          <w:p w14:paraId="61808C5F"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99,4%</w:t>
            </w:r>
          </w:p>
        </w:tc>
      </w:tr>
      <w:tr w:rsidR="00DD2C9F" w:rsidRPr="00DD2C9F" w14:paraId="63D2E87C" w14:textId="77777777" w:rsidTr="005F22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4B23AC"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Class B</w:t>
            </w:r>
          </w:p>
        </w:tc>
        <w:tc>
          <w:tcPr>
            <w:tcW w:w="1033" w:type="dxa"/>
            <w:tcBorders>
              <w:top w:val="nil"/>
              <w:left w:val="nil"/>
              <w:bottom w:val="nil"/>
              <w:right w:val="nil"/>
            </w:tcBorders>
            <w:shd w:val="clear" w:color="auto" w:fill="auto"/>
            <w:noWrap/>
            <w:vAlign w:val="center"/>
            <w:hideMark/>
          </w:tcPr>
          <w:p w14:paraId="31A4760C"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-0,20%</w:t>
            </w:r>
          </w:p>
        </w:tc>
        <w:tc>
          <w:tcPr>
            <w:tcW w:w="1033" w:type="dxa"/>
            <w:tcBorders>
              <w:top w:val="nil"/>
              <w:left w:val="nil"/>
              <w:bottom w:val="nil"/>
              <w:right w:val="nil"/>
            </w:tcBorders>
            <w:shd w:val="clear" w:color="auto" w:fill="auto"/>
            <w:noWrap/>
            <w:vAlign w:val="center"/>
            <w:hideMark/>
          </w:tcPr>
          <w:p w14:paraId="0D5167CE"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-0,23%</w:t>
            </w:r>
          </w:p>
        </w:tc>
        <w:tc>
          <w:tcPr>
            <w:tcW w:w="1033" w:type="dxa"/>
            <w:tcBorders>
              <w:top w:val="nil"/>
              <w:left w:val="nil"/>
              <w:bottom w:val="nil"/>
              <w:right w:val="single" w:sz="4" w:space="0" w:color="auto"/>
            </w:tcBorders>
            <w:shd w:val="clear" w:color="auto" w:fill="auto"/>
            <w:noWrap/>
            <w:vAlign w:val="center"/>
            <w:hideMark/>
          </w:tcPr>
          <w:p w14:paraId="0707FB38"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-0,32%</w:t>
            </w:r>
          </w:p>
        </w:tc>
        <w:tc>
          <w:tcPr>
            <w:tcW w:w="1101" w:type="dxa"/>
            <w:tcBorders>
              <w:top w:val="nil"/>
              <w:left w:val="nil"/>
              <w:bottom w:val="nil"/>
              <w:right w:val="nil"/>
            </w:tcBorders>
            <w:shd w:val="clear" w:color="auto" w:fill="auto"/>
            <w:noWrap/>
            <w:vAlign w:val="center"/>
            <w:hideMark/>
          </w:tcPr>
          <w:p w14:paraId="583D3B5B"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100,9%</w:t>
            </w:r>
          </w:p>
        </w:tc>
        <w:tc>
          <w:tcPr>
            <w:tcW w:w="1101" w:type="dxa"/>
            <w:tcBorders>
              <w:top w:val="nil"/>
              <w:left w:val="nil"/>
              <w:bottom w:val="nil"/>
              <w:right w:val="single" w:sz="8" w:space="0" w:color="auto"/>
            </w:tcBorders>
            <w:shd w:val="clear" w:color="auto" w:fill="auto"/>
            <w:noWrap/>
            <w:vAlign w:val="center"/>
            <w:hideMark/>
          </w:tcPr>
          <w:p w14:paraId="401AEBC0"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99,8%</w:t>
            </w:r>
          </w:p>
        </w:tc>
      </w:tr>
      <w:tr w:rsidR="00DD2C9F" w:rsidRPr="00DD2C9F" w14:paraId="223F647B" w14:textId="77777777" w:rsidTr="005F22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2DBEAE"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Class C</w:t>
            </w:r>
          </w:p>
        </w:tc>
        <w:tc>
          <w:tcPr>
            <w:tcW w:w="1033" w:type="dxa"/>
            <w:tcBorders>
              <w:top w:val="nil"/>
              <w:left w:val="nil"/>
              <w:bottom w:val="nil"/>
              <w:right w:val="nil"/>
            </w:tcBorders>
            <w:shd w:val="clear" w:color="auto" w:fill="auto"/>
            <w:noWrap/>
            <w:vAlign w:val="center"/>
            <w:hideMark/>
          </w:tcPr>
          <w:p w14:paraId="4EF8E6B0"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-0,19%</w:t>
            </w:r>
          </w:p>
        </w:tc>
        <w:tc>
          <w:tcPr>
            <w:tcW w:w="1033" w:type="dxa"/>
            <w:tcBorders>
              <w:top w:val="nil"/>
              <w:left w:val="nil"/>
              <w:bottom w:val="nil"/>
              <w:right w:val="nil"/>
            </w:tcBorders>
            <w:shd w:val="clear" w:color="auto" w:fill="auto"/>
            <w:noWrap/>
            <w:vAlign w:val="center"/>
            <w:hideMark/>
          </w:tcPr>
          <w:p w14:paraId="3DB6C0BC"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-0,33%</w:t>
            </w:r>
          </w:p>
        </w:tc>
        <w:tc>
          <w:tcPr>
            <w:tcW w:w="1033" w:type="dxa"/>
            <w:tcBorders>
              <w:top w:val="nil"/>
              <w:left w:val="nil"/>
              <w:bottom w:val="nil"/>
              <w:right w:val="single" w:sz="4" w:space="0" w:color="auto"/>
            </w:tcBorders>
            <w:shd w:val="clear" w:color="auto" w:fill="auto"/>
            <w:noWrap/>
            <w:vAlign w:val="center"/>
            <w:hideMark/>
          </w:tcPr>
          <w:p w14:paraId="270CBB20"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-0,14%</w:t>
            </w:r>
          </w:p>
        </w:tc>
        <w:tc>
          <w:tcPr>
            <w:tcW w:w="1101" w:type="dxa"/>
            <w:tcBorders>
              <w:top w:val="nil"/>
              <w:left w:val="nil"/>
              <w:bottom w:val="nil"/>
              <w:right w:val="nil"/>
            </w:tcBorders>
            <w:shd w:val="clear" w:color="auto" w:fill="auto"/>
            <w:noWrap/>
            <w:vAlign w:val="center"/>
            <w:hideMark/>
          </w:tcPr>
          <w:p w14:paraId="2E737166"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101,0%</w:t>
            </w:r>
          </w:p>
        </w:tc>
        <w:tc>
          <w:tcPr>
            <w:tcW w:w="1101" w:type="dxa"/>
            <w:tcBorders>
              <w:top w:val="nil"/>
              <w:left w:val="nil"/>
              <w:bottom w:val="nil"/>
              <w:right w:val="single" w:sz="8" w:space="0" w:color="auto"/>
            </w:tcBorders>
            <w:shd w:val="clear" w:color="auto" w:fill="auto"/>
            <w:noWrap/>
            <w:vAlign w:val="center"/>
            <w:hideMark/>
          </w:tcPr>
          <w:p w14:paraId="1DD2276E"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100,0%</w:t>
            </w:r>
          </w:p>
        </w:tc>
      </w:tr>
      <w:tr w:rsidR="00DD2C9F" w:rsidRPr="00DD2C9F" w14:paraId="2EE083A9" w14:textId="77777777" w:rsidTr="005F22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FE7B07"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Class E</w:t>
            </w:r>
          </w:p>
        </w:tc>
        <w:tc>
          <w:tcPr>
            <w:tcW w:w="1033" w:type="dxa"/>
            <w:tcBorders>
              <w:top w:val="nil"/>
              <w:left w:val="nil"/>
              <w:bottom w:val="nil"/>
              <w:right w:val="nil"/>
            </w:tcBorders>
            <w:shd w:val="clear" w:color="auto" w:fill="auto"/>
            <w:noWrap/>
            <w:vAlign w:val="center"/>
            <w:hideMark/>
          </w:tcPr>
          <w:p w14:paraId="61C2AC29"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 </w:t>
            </w:r>
          </w:p>
        </w:tc>
        <w:tc>
          <w:tcPr>
            <w:tcW w:w="1033" w:type="dxa"/>
            <w:tcBorders>
              <w:top w:val="nil"/>
              <w:left w:val="nil"/>
              <w:bottom w:val="nil"/>
              <w:right w:val="nil"/>
            </w:tcBorders>
            <w:shd w:val="clear" w:color="auto" w:fill="auto"/>
            <w:noWrap/>
            <w:vAlign w:val="center"/>
            <w:hideMark/>
          </w:tcPr>
          <w:p w14:paraId="04537B0A"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p>
        </w:tc>
        <w:tc>
          <w:tcPr>
            <w:tcW w:w="1033" w:type="dxa"/>
            <w:tcBorders>
              <w:top w:val="nil"/>
              <w:left w:val="nil"/>
              <w:bottom w:val="nil"/>
              <w:right w:val="single" w:sz="4" w:space="0" w:color="auto"/>
            </w:tcBorders>
            <w:shd w:val="clear" w:color="auto" w:fill="auto"/>
            <w:noWrap/>
            <w:vAlign w:val="center"/>
            <w:hideMark/>
          </w:tcPr>
          <w:p w14:paraId="11A3CF74"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 </w:t>
            </w:r>
          </w:p>
        </w:tc>
        <w:tc>
          <w:tcPr>
            <w:tcW w:w="1101" w:type="dxa"/>
            <w:tcBorders>
              <w:top w:val="nil"/>
              <w:left w:val="nil"/>
              <w:bottom w:val="nil"/>
              <w:right w:val="nil"/>
            </w:tcBorders>
            <w:shd w:val="clear" w:color="auto" w:fill="auto"/>
            <w:noWrap/>
            <w:vAlign w:val="center"/>
            <w:hideMark/>
          </w:tcPr>
          <w:p w14:paraId="545A5E0C"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 </w:t>
            </w:r>
          </w:p>
        </w:tc>
        <w:tc>
          <w:tcPr>
            <w:tcW w:w="1101" w:type="dxa"/>
            <w:tcBorders>
              <w:top w:val="nil"/>
              <w:left w:val="nil"/>
              <w:bottom w:val="nil"/>
              <w:right w:val="single" w:sz="8" w:space="0" w:color="auto"/>
            </w:tcBorders>
            <w:shd w:val="clear" w:color="auto" w:fill="auto"/>
            <w:noWrap/>
            <w:vAlign w:val="center"/>
            <w:hideMark/>
          </w:tcPr>
          <w:p w14:paraId="29D6C216"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 </w:t>
            </w:r>
          </w:p>
        </w:tc>
      </w:tr>
      <w:tr w:rsidR="00DD2C9F" w:rsidRPr="00DD2C9F" w14:paraId="5617315D" w14:textId="77777777" w:rsidTr="005F22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27B0AD"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zh-CN"/>
              </w:rPr>
            </w:pPr>
            <w:r w:rsidRPr="00DD2C9F">
              <w:rPr>
                <w:rFonts w:ascii="Arial" w:hAnsi="Arial" w:cs="Arial"/>
                <w:b/>
                <w:bCs/>
                <w:color w:val="000000"/>
                <w:sz w:val="18"/>
                <w:szCs w:val="18"/>
                <w:lang w:val="en-SE" w:eastAsia="zh-CN"/>
              </w:rPr>
              <w:t>Overall</w:t>
            </w:r>
          </w:p>
        </w:tc>
        <w:tc>
          <w:tcPr>
            <w:tcW w:w="1033" w:type="dxa"/>
            <w:tcBorders>
              <w:top w:val="single" w:sz="8" w:space="0" w:color="auto"/>
              <w:left w:val="nil"/>
              <w:bottom w:val="nil"/>
              <w:right w:val="nil"/>
            </w:tcBorders>
            <w:shd w:val="clear" w:color="auto" w:fill="auto"/>
            <w:noWrap/>
            <w:vAlign w:val="center"/>
            <w:hideMark/>
          </w:tcPr>
          <w:p w14:paraId="6BB1C538"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-0,20%</w:t>
            </w:r>
          </w:p>
        </w:tc>
        <w:tc>
          <w:tcPr>
            <w:tcW w:w="1033" w:type="dxa"/>
            <w:tcBorders>
              <w:top w:val="single" w:sz="8" w:space="0" w:color="auto"/>
              <w:left w:val="nil"/>
              <w:bottom w:val="nil"/>
              <w:right w:val="nil"/>
            </w:tcBorders>
            <w:shd w:val="clear" w:color="auto" w:fill="auto"/>
            <w:noWrap/>
            <w:vAlign w:val="center"/>
            <w:hideMark/>
          </w:tcPr>
          <w:p w14:paraId="1DE7F699"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-0,32%</w:t>
            </w:r>
          </w:p>
        </w:tc>
        <w:tc>
          <w:tcPr>
            <w:tcW w:w="1033" w:type="dxa"/>
            <w:tcBorders>
              <w:top w:val="single" w:sz="8" w:space="0" w:color="auto"/>
              <w:left w:val="nil"/>
              <w:bottom w:val="nil"/>
              <w:right w:val="single" w:sz="4" w:space="0" w:color="auto"/>
            </w:tcBorders>
            <w:shd w:val="clear" w:color="auto" w:fill="auto"/>
            <w:noWrap/>
            <w:vAlign w:val="center"/>
            <w:hideMark/>
          </w:tcPr>
          <w:p w14:paraId="66EC0BCB"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-0,21%</w:t>
            </w:r>
          </w:p>
        </w:tc>
        <w:tc>
          <w:tcPr>
            <w:tcW w:w="1101" w:type="dxa"/>
            <w:tcBorders>
              <w:top w:val="single" w:sz="8" w:space="0" w:color="auto"/>
              <w:left w:val="nil"/>
              <w:bottom w:val="nil"/>
              <w:right w:val="nil"/>
            </w:tcBorders>
            <w:shd w:val="clear" w:color="auto" w:fill="auto"/>
            <w:noWrap/>
            <w:vAlign w:val="center"/>
            <w:hideMark/>
          </w:tcPr>
          <w:p w14:paraId="088D5E24"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#NUM!</w:t>
            </w:r>
          </w:p>
        </w:tc>
        <w:tc>
          <w:tcPr>
            <w:tcW w:w="1101" w:type="dxa"/>
            <w:tcBorders>
              <w:top w:val="single" w:sz="8" w:space="0" w:color="auto"/>
              <w:left w:val="nil"/>
              <w:bottom w:val="nil"/>
              <w:right w:val="single" w:sz="8" w:space="0" w:color="auto"/>
            </w:tcBorders>
            <w:shd w:val="clear" w:color="auto" w:fill="auto"/>
            <w:noWrap/>
            <w:vAlign w:val="center"/>
            <w:hideMark/>
          </w:tcPr>
          <w:p w14:paraId="32613411"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99,8%</w:t>
            </w:r>
          </w:p>
        </w:tc>
      </w:tr>
      <w:tr w:rsidR="00DD2C9F" w:rsidRPr="00DD2C9F" w14:paraId="488B4008" w14:textId="77777777" w:rsidTr="005F22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CD97AC"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Class D</w:t>
            </w:r>
          </w:p>
        </w:tc>
        <w:tc>
          <w:tcPr>
            <w:tcW w:w="1033" w:type="dxa"/>
            <w:tcBorders>
              <w:top w:val="single" w:sz="8" w:space="0" w:color="auto"/>
              <w:left w:val="nil"/>
              <w:bottom w:val="nil"/>
              <w:right w:val="nil"/>
            </w:tcBorders>
            <w:shd w:val="clear" w:color="auto" w:fill="auto"/>
            <w:noWrap/>
            <w:vAlign w:val="center"/>
            <w:hideMark/>
          </w:tcPr>
          <w:p w14:paraId="344087FD"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-0,13%</w:t>
            </w:r>
          </w:p>
        </w:tc>
        <w:tc>
          <w:tcPr>
            <w:tcW w:w="1033" w:type="dxa"/>
            <w:tcBorders>
              <w:top w:val="single" w:sz="8" w:space="0" w:color="auto"/>
              <w:left w:val="nil"/>
              <w:bottom w:val="nil"/>
              <w:right w:val="nil"/>
            </w:tcBorders>
            <w:shd w:val="clear" w:color="auto" w:fill="auto"/>
            <w:noWrap/>
            <w:vAlign w:val="center"/>
            <w:hideMark/>
          </w:tcPr>
          <w:p w14:paraId="2AADBAF8"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-0,06%</w:t>
            </w:r>
          </w:p>
        </w:tc>
        <w:tc>
          <w:tcPr>
            <w:tcW w:w="1033" w:type="dxa"/>
            <w:tcBorders>
              <w:top w:val="single" w:sz="8" w:space="0" w:color="auto"/>
              <w:left w:val="nil"/>
              <w:bottom w:val="nil"/>
              <w:right w:val="single" w:sz="4" w:space="0" w:color="auto"/>
            </w:tcBorders>
            <w:shd w:val="clear" w:color="auto" w:fill="auto"/>
            <w:noWrap/>
            <w:vAlign w:val="center"/>
            <w:hideMark/>
          </w:tcPr>
          <w:p w14:paraId="65EA8F90"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-0,16%</w:t>
            </w:r>
          </w:p>
        </w:tc>
        <w:tc>
          <w:tcPr>
            <w:tcW w:w="1101" w:type="dxa"/>
            <w:tcBorders>
              <w:top w:val="single" w:sz="8" w:space="0" w:color="auto"/>
              <w:left w:val="nil"/>
              <w:bottom w:val="nil"/>
              <w:right w:val="nil"/>
            </w:tcBorders>
            <w:shd w:val="clear" w:color="auto" w:fill="auto"/>
            <w:noWrap/>
            <w:vAlign w:val="center"/>
            <w:hideMark/>
          </w:tcPr>
          <w:p w14:paraId="72926E7C"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99,7%</w:t>
            </w:r>
          </w:p>
        </w:tc>
        <w:tc>
          <w:tcPr>
            <w:tcW w:w="1101" w:type="dxa"/>
            <w:tcBorders>
              <w:top w:val="single" w:sz="8" w:space="0" w:color="auto"/>
              <w:left w:val="nil"/>
              <w:bottom w:val="nil"/>
              <w:right w:val="single" w:sz="8" w:space="0" w:color="auto"/>
            </w:tcBorders>
            <w:shd w:val="clear" w:color="auto" w:fill="auto"/>
            <w:noWrap/>
            <w:vAlign w:val="center"/>
            <w:hideMark/>
          </w:tcPr>
          <w:p w14:paraId="76A58FD1"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100,0%</w:t>
            </w:r>
          </w:p>
        </w:tc>
      </w:tr>
      <w:tr w:rsidR="00DD2C9F" w:rsidRPr="00DD2C9F" w14:paraId="2C1FB972" w14:textId="77777777" w:rsidTr="005F22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245D88"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Class F</w:t>
            </w:r>
          </w:p>
        </w:tc>
        <w:tc>
          <w:tcPr>
            <w:tcW w:w="1033" w:type="dxa"/>
            <w:tcBorders>
              <w:top w:val="nil"/>
              <w:left w:val="nil"/>
              <w:bottom w:val="nil"/>
              <w:right w:val="nil"/>
            </w:tcBorders>
            <w:shd w:val="clear" w:color="auto" w:fill="auto"/>
            <w:noWrap/>
            <w:vAlign w:val="center"/>
            <w:hideMark/>
          </w:tcPr>
          <w:p w14:paraId="0B24F018"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-0,08%</w:t>
            </w:r>
          </w:p>
        </w:tc>
        <w:tc>
          <w:tcPr>
            <w:tcW w:w="1033" w:type="dxa"/>
            <w:tcBorders>
              <w:top w:val="nil"/>
              <w:left w:val="nil"/>
              <w:bottom w:val="nil"/>
              <w:right w:val="nil"/>
            </w:tcBorders>
            <w:shd w:val="clear" w:color="auto" w:fill="auto"/>
            <w:noWrap/>
            <w:vAlign w:val="center"/>
            <w:hideMark/>
          </w:tcPr>
          <w:p w14:paraId="231B7959"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-0,22%</w:t>
            </w:r>
          </w:p>
        </w:tc>
        <w:tc>
          <w:tcPr>
            <w:tcW w:w="1033" w:type="dxa"/>
            <w:tcBorders>
              <w:top w:val="nil"/>
              <w:left w:val="nil"/>
              <w:bottom w:val="nil"/>
              <w:right w:val="single" w:sz="4" w:space="0" w:color="auto"/>
            </w:tcBorders>
            <w:shd w:val="clear" w:color="auto" w:fill="auto"/>
            <w:noWrap/>
            <w:vAlign w:val="center"/>
            <w:hideMark/>
          </w:tcPr>
          <w:p w14:paraId="700B20BF"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-0,17%</w:t>
            </w:r>
          </w:p>
        </w:tc>
        <w:tc>
          <w:tcPr>
            <w:tcW w:w="1101" w:type="dxa"/>
            <w:tcBorders>
              <w:top w:val="nil"/>
              <w:left w:val="nil"/>
              <w:bottom w:val="nil"/>
              <w:right w:val="nil"/>
            </w:tcBorders>
            <w:shd w:val="clear" w:color="auto" w:fill="auto"/>
            <w:noWrap/>
            <w:vAlign w:val="center"/>
            <w:hideMark/>
          </w:tcPr>
          <w:p w14:paraId="75F44249"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100,7%</w:t>
            </w:r>
          </w:p>
        </w:tc>
        <w:tc>
          <w:tcPr>
            <w:tcW w:w="1101" w:type="dxa"/>
            <w:tcBorders>
              <w:top w:val="nil"/>
              <w:left w:val="nil"/>
              <w:bottom w:val="nil"/>
              <w:right w:val="single" w:sz="8" w:space="0" w:color="auto"/>
            </w:tcBorders>
            <w:shd w:val="clear" w:color="auto" w:fill="auto"/>
            <w:noWrap/>
            <w:vAlign w:val="center"/>
            <w:hideMark/>
          </w:tcPr>
          <w:p w14:paraId="369FD0F3" w14:textId="77777777" w:rsidR="00DD2C9F" w:rsidRPr="00DD2C9F" w:rsidRDefault="00DD2C9F" w:rsidP="00DD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DD2C9F">
              <w:rPr>
                <w:rFonts w:ascii="Arial" w:hAnsi="Arial" w:cs="Arial"/>
                <w:color w:val="000000"/>
                <w:sz w:val="18"/>
                <w:szCs w:val="18"/>
                <w:lang w:val="en-SE" w:eastAsia="zh-CN"/>
              </w:rPr>
              <w:t>99,5%</w:t>
            </w:r>
          </w:p>
        </w:tc>
      </w:tr>
    </w:tbl>
    <w:p w14:paraId="033B42E9" w14:textId="77777777" w:rsidR="00B6177E" w:rsidRDefault="00B6177E" w:rsidP="001D3128">
      <w:pPr>
        <w:rPr>
          <w:lang w:val="en-CA"/>
        </w:rPr>
      </w:pPr>
    </w:p>
    <w:tbl>
      <w:tblPr>
        <w:tblW w:w="6361" w:type="dxa"/>
        <w:jc w:val="center"/>
        <w:tblLook w:val="04A0" w:firstRow="1" w:lastRow="0" w:firstColumn="1" w:lastColumn="0" w:noHBand="0" w:noVBand="1"/>
      </w:tblPr>
      <w:tblGrid>
        <w:gridCol w:w="1060"/>
        <w:gridCol w:w="1137"/>
        <w:gridCol w:w="1137"/>
        <w:gridCol w:w="1137"/>
        <w:gridCol w:w="945"/>
        <w:gridCol w:w="945"/>
      </w:tblGrid>
      <w:tr w:rsidR="005F2212" w:rsidRPr="005F2212" w14:paraId="7B834E05" w14:textId="77777777" w:rsidTr="005F2212">
        <w:trPr>
          <w:trHeight w:val="255"/>
          <w:jc w:val="center"/>
        </w:trPr>
        <w:tc>
          <w:tcPr>
            <w:tcW w:w="1060" w:type="dxa"/>
            <w:tcBorders>
              <w:top w:val="nil"/>
              <w:left w:val="nil"/>
              <w:bottom w:val="nil"/>
              <w:right w:val="nil"/>
            </w:tcBorders>
            <w:shd w:val="clear" w:color="auto" w:fill="auto"/>
            <w:noWrap/>
            <w:vAlign w:val="center"/>
            <w:hideMark/>
          </w:tcPr>
          <w:p w14:paraId="6F2E2734"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zh-CN"/>
              </w:rPr>
            </w:pPr>
          </w:p>
        </w:tc>
        <w:tc>
          <w:tcPr>
            <w:tcW w:w="5301" w:type="dxa"/>
            <w:gridSpan w:val="5"/>
            <w:tcBorders>
              <w:top w:val="single" w:sz="8" w:space="0" w:color="auto"/>
              <w:left w:val="single" w:sz="8" w:space="0" w:color="auto"/>
              <w:bottom w:val="single" w:sz="8" w:space="0" w:color="auto"/>
              <w:right w:val="nil"/>
            </w:tcBorders>
            <w:shd w:val="clear" w:color="auto" w:fill="auto"/>
            <w:noWrap/>
            <w:vAlign w:val="center"/>
            <w:hideMark/>
          </w:tcPr>
          <w:p w14:paraId="58A2E04A"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zh-CN"/>
              </w:rPr>
            </w:pPr>
            <w:r w:rsidRPr="005F2212">
              <w:rPr>
                <w:rFonts w:ascii="Arial" w:hAnsi="Arial" w:cs="Arial"/>
                <w:b/>
                <w:bCs/>
                <w:color w:val="000000"/>
                <w:sz w:val="18"/>
                <w:szCs w:val="18"/>
                <w:lang w:val="en-SE" w:eastAsia="zh-CN"/>
              </w:rPr>
              <w:t xml:space="preserve">Low delay B Main10 </w:t>
            </w:r>
          </w:p>
        </w:tc>
      </w:tr>
      <w:tr w:rsidR="005F2212" w:rsidRPr="005F2212" w14:paraId="1493CFBC" w14:textId="77777777" w:rsidTr="005F2212">
        <w:trPr>
          <w:trHeight w:val="255"/>
          <w:jc w:val="center"/>
        </w:trPr>
        <w:tc>
          <w:tcPr>
            <w:tcW w:w="1060" w:type="dxa"/>
            <w:tcBorders>
              <w:top w:val="nil"/>
              <w:left w:val="nil"/>
              <w:bottom w:val="nil"/>
              <w:right w:val="nil"/>
            </w:tcBorders>
            <w:shd w:val="clear" w:color="auto" w:fill="auto"/>
            <w:noWrap/>
            <w:vAlign w:val="center"/>
            <w:hideMark/>
          </w:tcPr>
          <w:p w14:paraId="77551F88"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zh-CN"/>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7A79F37"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zh-CN"/>
              </w:rPr>
            </w:pPr>
            <w:r w:rsidRPr="005F2212">
              <w:rPr>
                <w:rFonts w:ascii="Arial" w:hAnsi="Arial" w:cs="Arial"/>
                <w:b/>
                <w:bCs/>
                <w:color w:val="000000"/>
                <w:sz w:val="18"/>
                <w:szCs w:val="18"/>
                <w:lang w:val="en-SE" w:eastAsia="zh-CN"/>
              </w:rPr>
              <w:t>Over ECM-9.0</w:t>
            </w:r>
          </w:p>
        </w:tc>
      </w:tr>
      <w:tr w:rsidR="005F2212" w:rsidRPr="005F2212" w14:paraId="5087F603" w14:textId="77777777" w:rsidTr="005F2212">
        <w:trPr>
          <w:trHeight w:val="255"/>
          <w:jc w:val="center"/>
        </w:trPr>
        <w:tc>
          <w:tcPr>
            <w:tcW w:w="1060" w:type="dxa"/>
            <w:tcBorders>
              <w:top w:val="nil"/>
              <w:left w:val="nil"/>
              <w:bottom w:val="nil"/>
              <w:right w:val="nil"/>
            </w:tcBorders>
            <w:shd w:val="clear" w:color="auto" w:fill="auto"/>
            <w:noWrap/>
            <w:vAlign w:val="center"/>
            <w:hideMark/>
          </w:tcPr>
          <w:p w14:paraId="05950F1B"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zh-CN"/>
              </w:rPr>
            </w:pPr>
          </w:p>
        </w:tc>
        <w:tc>
          <w:tcPr>
            <w:tcW w:w="1137" w:type="dxa"/>
            <w:tcBorders>
              <w:top w:val="nil"/>
              <w:left w:val="single" w:sz="8" w:space="0" w:color="auto"/>
              <w:bottom w:val="single" w:sz="8" w:space="0" w:color="auto"/>
              <w:right w:val="nil"/>
            </w:tcBorders>
            <w:shd w:val="clear" w:color="auto" w:fill="auto"/>
            <w:noWrap/>
            <w:vAlign w:val="center"/>
            <w:hideMark/>
          </w:tcPr>
          <w:p w14:paraId="42712DF0"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Y</w:t>
            </w:r>
          </w:p>
        </w:tc>
        <w:tc>
          <w:tcPr>
            <w:tcW w:w="1137" w:type="dxa"/>
            <w:tcBorders>
              <w:top w:val="nil"/>
              <w:left w:val="nil"/>
              <w:bottom w:val="single" w:sz="8" w:space="0" w:color="auto"/>
              <w:right w:val="nil"/>
            </w:tcBorders>
            <w:shd w:val="clear" w:color="auto" w:fill="auto"/>
            <w:noWrap/>
            <w:vAlign w:val="center"/>
            <w:hideMark/>
          </w:tcPr>
          <w:p w14:paraId="0AFC33B2"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U</w:t>
            </w:r>
          </w:p>
        </w:tc>
        <w:tc>
          <w:tcPr>
            <w:tcW w:w="1137" w:type="dxa"/>
            <w:tcBorders>
              <w:top w:val="nil"/>
              <w:left w:val="nil"/>
              <w:bottom w:val="single" w:sz="8" w:space="0" w:color="auto"/>
              <w:right w:val="single" w:sz="4" w:space="0" w:color="auto"/>
            </w:tcBorders>
            <w:shd w:val="clear" w:color="auto" w:fill="auto"/>
            <w:noWrap/>
            <w:vAlign w:val="center"/>
            <w:hideMark/>
          </w:tcPr>
          <w:p w14:paraId="0857EF89"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V</w:t>
            </w:r>
          </w:p>
        </w:tc>
        <w:tc>
          <w:tcPr>
            <w:tcW w:w="945" w:type="dxa"/>
            <w:tcBorders>
              <w:top w:val="nil"/>
              <w:left w:val="nil"/>
              <w:bottom w:val="single" w:sz="8" w:space="0" w:color="auto"/>
              <w:right w:val="nil"/>
            </w:tcBorders>
            <w:shd w:val="clear" w:color="auto" w:fill="auto"/>
            <w:noWrap/>
            <w:vAlign w:val="center"/>
            <w:hideMark/>
          </w:tcPr>
          <w:p w14:paraId="308D1344"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proofErr w:type="spellStart"/>
            <w:r w:rsidRPr="005F2212">
              <w:rPr>
                <w:rFonts w:ascii="Arial" w:hAnsi="Arial" w:cs="Arial"/>
                <w:color w:val="000000"/>
                <w:sz w:val="18"/>
                <w:szCs w:val="18"/>
                <w:lang w:val="en-SE" w:eastAsia="zh-CN"/>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2F28EFE5"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proofErr w:type="spellStart"/>
            <w:r w:rsidRPr="005F2212">
              <w:rPr>
                <w:rFonts w:ascii="Arial" w:hAnsi="Arial" w:cs="Arial"/>
                <w:color w:val="000000"/>
                <w:sz w:val="18"/>
                <w:szCs w:val="18"/>
                <w:lang w:val="en-SE" w:eastAsia="zh-CN"/>
              </w:rPr>
              <w:t>DecT</w:t>
            </w:r>
            <w:proofErr w:type="spellEnd"/>
          </w:p>
        </w:tc>
      </w:tr>
      <w:tr w:rsidR="005F2212" w:rsidRPr="005F2212" w14:paraId="58EF354A" w14:textId="77777777" w:rsidTr="005F22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F5B86B"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Class A1</w:t>
            </w:r>
          </w:p>
        </w:tc>
        <w:tc>
          <w:tcPr>
            <w:tcW w:w="1137" w:type="dxa"/>
            <w:tcBorders>
              <w:top w:val="nil"/>
              <w:left w:val="nil"/>
              <w:bottom w:val="nil"/>
              <w:right w:val="nil"/>
            </w:tcBorders>
            <w:shd w:val="clear" w:color="auto" w:fill="auto"/>
            <w:noWrap/>
            <w:vAlign w:val="center"/>
            <w:hideMark/>
          </w:tcPr>
          <w:p w14:paraId="0FB0A6DB"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 </w:t>
            </w:r>
          </w:p>
        </w:tc>
        <w:tc>
          <w:tcPr>
            <w:tcW w:w="1137" w:type="dxa"/>
            <w:tcBorders>
              <w:top w:val="nil"/>
              <w:left w:val="nil"/>
              <w:bottom w:val="nil"/>
              <w:right w:val="nil"/>
            </w:tcBorders>
            <w:shd w:val="clear" w:color="auto" w:fill="auto"/>
            <w:noWrap/>
            <w:vAlign w:val="center"/>
            <w:hideMark/>
          </w:tcPr>
          <w:p w14:paraId="06FDEC10"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 </w:t>
            </w:r>
          </w:p>
        </w:tc>
        <w:tc>
          <w:tcPr>
            <w:tcW w:w="1137" w:type="dxa"/>
            <w:tcBorders>
              <w:top w:val="nil"/>
              <w:left w:val="nil"/>
              <w:bottom w:val="nil"/>
              <w:right w:val="single" w:sz="4" w:space="0" w:color="auto"/>
            </w:tcBorders>
            <w:shd w:val="clear" w:color="auto" w:fill="auto"/>
            <w:noWrap/>
            <w:vAlign w:val="center"/>
            <w:hideMark/>
          </w:tcPr>
          <w:p w14:paraId="5655E6BF"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 </w:t>
            </w:r>
          </w:p>
        </w:tc>
        <w:tc>
          <w:tcPr>
            <w:tcW w:w="945" w:type="dxa"/>
            <w:tcBorders>
              <w:top w:val="nil"/>
              <w:left w:val="nil"/>
              <w:bottom w:val="nil"/>
              <w:right w:val="nil"/>
            </w:tcBorders>
            <w:shd w:val="clear" w:color="auto" w:fill="auto"/>
            <w:noWrap/>
            <w:vAlign w:val="center"/>
            <w:hideMark/>
          </w:tcPr>
          <w:p w14:paraId="38820B6C"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 </w:t>
            </w:r>
          </w:p>
        </w:tc>
        <w:tc>
          <w:tcPr>
            <w:tcW w:w="945" w:type="dxa"/>
            <w:tcBorders>
              <w:top w:val="nil"/>
              <w:left w:val="nil"/>
              <w:bottom w:val="nil"/>
              <w:right w:val="single" w:sz="8" w:space="0" w:color="auto"/>
            </w:tcBorders>
            <w:shd w:val="clear" w:color="auto" w:fill="auto"/>
            <w:noWrap/>
            <w:vAlign w:val="center"/>
            <w:hideMark/>
          </w:tcPr>
          <w:p w14:paraId="6FFD067F"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 </w:t>
            </w:r>
          </w:p>
        </w:tc>
      </w:tr>
      <w:tr w:rsidR="005F2212" w:rsidRPr="005F2212" w14:paraId="755A170C" w14:textId="77777777" w:rsidTr="005F22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DC3B29"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Class A2</w:t>
            </w:r>
          </w:p>
        </w:tc>
        <w:tc>
          <w:tcPr>
            <w:tcW w:w="1137" w:type="dxa"/>
            <w:tcBorders>
              <w:top w:val="nil"/>
              <w:left w:val="nil"/>
              <w:bottom w:val="nil"/>
              <w:right w:val="nil"/>
            </w:tcBorders>
            <w:shd w:val="clear" w:color="auto" w:fill="auto"/>
            <w:noWrap/>
            <w:vAlign w:val="center"/>
            <w:hideMark/>
          </w:tcPr>
          <w:p w14:paraId="7AD68795"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 </w:t>
            </w:r>
          </w:p>
        </w:tc>
        <w:tc>
          <w:tcPr>
            <w:tcW w:w="1137" w:type="dxa"/>
            <w:tcBorders>
              <w:top w:val="nil"/>
              <w:left w:val="nil"/>
              <w:bottom w:val="nil"/>
              <w:right w:val="nil"/>
            </w:tcBorders>
            <w:shd w:val="clear" w:color="auto" w:fill="auto"/>
            <w:noWrap/>
            <w:vAlign w:val="center"/>
            <w:hideMark/>
          </w:tcPr>
          <w:p w14:paraId="131C4A5B"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p>
        </w:tc>
        <w:tc>
          <w:tcPr>
            <w:tcW w:w="1137" w:type="dxa"/>
            <w:tcBorders>
              <w:top w:val="nil"/>
              <w:left w:val="nil"/>
              <w:bottom w:val="nil"/>
              <w:right w:val="single" w:sz="4" w:space="0" w:color="auto"/>
            </w:tcBorders>
            <w:shd w:val="clear" w:color="auto" w:fill="auto"/>
            <w:noWrap/>
            <w:vAlign w:val="center"/>
            <w:hideMark/>
          </w:tcPr>
          <w:p w14:paraId="3F5D35D6"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 </w:t>
            </w:r>
          </w:p>
        </w:tc>
        <w:tc>
          <w:tcPr>
            <w:tcW w:w="945" w:type="dxa"/>
            <w:tcBorders>
              <w:top w:val="nil"/>
              <w:left w:val="nil"/>
              <w:bottom w:val="nil"/>
              <w:right w:val="nil"/>
            </w:tcBorders>
            <w:shd w:val="clear" w:color="auto" w:fill="auto"/>
            <w:noWrap/>
            <w:vAlign w:val="center"/>
            <w:hideMark/>
          </w:tcPr>
          <w:p w14:paraId="75E73618"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 </w:t>
            </w:r>
          </w:p>
        </w:tc>
        <w:tc>
          <w:tcPr>
            <w:tcW w:w="945" w:type="dxa"/>
            <w:tcBorders>
              <w:top w:val="nil"/>
              <w:left w:val="nil"/>
              <w:bottom w:val="nil"/>
              <w:right w:val="single" w:sz="8" w:space="0" w:color="auto"/>
            </w:tcBorders>
            <w:shd w:val="clear" w:color="auto" w:fill="auto"/>
            <w:noWrap/>
            <w:vAlign w:val="center"/>
            <w:hideMark/>
          </w:tcPr>
          <w:p w14:paraId="42133160"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 </w:t>
            </w:r>
          </w:p>
        </w:tc>
      </w:tr>
      <w:tr w:rsidR="005F2212" w:rsidRPr="005F2212" w14:paraId="25570EE1" w14:textId="77777777" w:rsidTr="005F22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332C23"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Class B</w:t>
            </w:r>
          </w:p>
        </w:tc>
        <w:tc>
          <w:tcPr>
            <w:tcW w:w="1137" w:type="dxa"/>
            <w:tcBorders>
              <w:top w:val="nil"/>
              <w:left w:val="nil"/>
              <w:bottom w:val="nil"/>
              <w:right w:val="nil"/>
            </w:tcBorders>
            <w:shd w:val="clear" w:color="auto" w:fill="auto"/>
            <w:noWrap/>
            <w:vAlign w:val="center"/>
            <w:hideMark/>
          </w:tcPr>
          <w:p w14:paraId="7230E918"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#VALUE!</w:t>
            </w:r>
          </w:p>
        </w:tc>
        <w:tc>
          <w:tcPr>
            <w:tcW w:w="1137" w:type="dxa"/>
            <w:tcBorders>
              <w:top w:val="nil"/>
              <w:left w:val="nil"/>
              <w:bottom w:val="nil"/>
              <w:right w:val="nil"/>
            </w:tcBorders>
            <w:shd w:val="clear" w:color="auto" w:fill="auto"/>
            <w:noWrap/>
            <w:vAlign w:val="center"/>
            <w:hideMark/>
          </w:tcPr>
          <w:p w14:paraId="596B2844"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#VALUE!</w:t>
            </w:r>
          </w:p>
        </w:tc>
        <w:tc>
          <w:tcPr>
            <w:tcW w:w="1137" w:type="dxa"/>
            <w:tcBorders>
              <w:top w:val="nil"/>
              <w:left w:val="nil"/>
              <w:bottom w:val="nil"/>
              <w:right w:val="single" w:sz="4" w:space="0" w:color="auto"/>
            </w:tcBorders>
            <w:shd w:val="clear" w:color="auto" w:fill="auto"/>
            <w:noWrap/>
            <w:vAlign w:val="center"/>
            <w:hideMark/>
          </w:tcPr>
          <w:p w14:paraId="7EF49DED"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#VALUE!</w:t>
            </w:r>
          </w:p>
        </w:tc>
        <w:tc>
          <w:tcPr>
            <w:tcW w:w="945" w:type="dxa"/>
            <w:tcBorders>
              <w:top w:val="nil"/>
              <w:left w:val="nil"/>
              <w:bottom w:val="nil"/>
              <w:right w:val="nil"/>
            </w:tcBorders>
            <w:shd w:val="clear" w:color="auto" w:fill="auto"/>
            <w:noWrap/>
            <w:vAlign w:val="center"/>
            <w:hideMark/>
          </w:tcPr>
          <w:p w14:paraId="095B9C84"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#DIV/0!</w:t>
            </w:r>
          </w:p>
        </w:tc>
        <w:tc>
          <w:tcPr>
            <w:tcW w:w="945" w:type="dxa"/>
            <w:tcBorders>
              <w:top w:val="nil"/>
              <w:left w:val="nil"/>
              <w:bottom w:val="nil"/>
              <w:right w:val="single" w:sz="8" w:space="0" w:color="auto"/>
            </w:tcBorders>
            <w:shd w:val="clear" w:color="auto" w:fill="auto"/>
            <w:noWrap/>
            <w:vAlign w:val="center"/>
            <w:hideMark/>
          </w:tcPr>
          <w:p w14:paraId="1A901A8B"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#NUM!</w:t>
            </w:r>
          </w:p>
        </w:tc>
      </w:tr>
      <w:tr w:rsidR="005F2212" w:rsidRPr="005F2212" w14:paraId="6CCBFB60" w14:textId="77777777" w:rsidTr="005F22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E2930D"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Class C</w:t>
            </w:r>
          </w:p>
        </w:tc>
        <w:tc>
          <w:tcPr>
            <w:tcW w:w="1137" w:type="dxa"/>
            <w:tcBorders>
              <w:top w:val="nil"/>
              <w:left w:val="nil"/>
              <w:bottom w:val="nil"/>
              <w:right w:val="nil"/>
            </w:tcBorders>
            <w:shd w:val="clear" w:color="auto" w:fill="auto"/>
            <w:noWrap/>
            <w:vAlign w:val="center"/>
            <w:hideMark/>
          </w:tcPr>
          <w:p w14:paraId="6A300DDF"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-0,23%</w:t>
            </w:r>
          </w:p>
        </w:tc>
        <w:tc>
          <w:tcPr>
            <w:tcW w:w="1137" w:type="dxa"/>
            <w:tcBorders>
              <w:top w:val="nil"/>
              <w:left w:val="nil"/>
              <w:bottom w:val="nil"/>
              <w:right w:val="nil"/>
            </w:tcBorders>
            <w:shd w:val="clear" w:color="auto" w:fill="auto"/>
            <w:noWrap/>
            <w:vAlign w:val="center"/>
            <w:hideMark/>
          </w:tcPr>
          <w:p w14:paraId="50910E09"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-0,68%</w:t>
            </w:r>
          </w:p>
        </w:tc>
        <w:tc>
          <w:tcPr>
            <w:tcW w:w="1137" w:type="dxa"/>
            <w:tcBorders>
              <w:top w:val="nil"/>
              <w:left w:val="nil"/>
              <w:bottom w:val="nil"/>
              <w:right w:val="single" w:sz="4" w:space="0" w:color="auto"/>
            </w:tcBorders>
            <w:shd w:val="clear" w:color="auto" w:fill="auto"/>
            <w:noWrap/>
            <w:vAlign w:val="center"/>
            <w:hideMark/>
          </w:tcPr>
          <w:p w14:paraId="67D449EE"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-0,58%</w:t>
            </w:r>
          </w:p>
        </w:tc>
        <w:tc>
          <w:tcPr>
            <w:tcW w:w="945" w:type="dxa"/>
            <w:tcBorders>
              <w:top w:val="nil"/>
              <w:left w:val="nil"/>
              <w:bottom w:val="nil"/>
              <w:right w:val="nil"/>
            </w:tcBorders>
            <w:shd w:val="clear" w:color="auto" w:fill="auto"/>
            <w:noWrap/>
            <w:vAlign w:val="center"/>
            <w:hideMark/>
          </w:tcPr>
          <w:p w14:paraId="5625276C"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101,6%</w:t>
            </w:r>
          </w:p>
        </w:tc>
        <w:tc>
          <w:tcPr>
            <w:tcW w:w="945" w:type="dxa"/>
            <w:tcBorders>
              <w:top w:val="nil"/>
              <w:left w:val="nil"/>
              <w:bottom w:val="nil"/>
              <w:right w:val="single" w:sz="8" w:space="0" w:color="auto"/>
            </w:tcBorders>
            <w:shd w:val="clear" w:color="auto" w:fill="auto"/>
            <w:noWrap/>
            <w:vAlign w:val="center"/>
            <w:hideMark/>
          </w:tcPr>
          <w:p w14:paraId="6A662CA7"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100,5%</w:t>
            </w:r>
          </w:p>
        </w:tc>
      </w:tr>
      <w:tr w:rsidR="005F2212" w:rsidRPr="005F2212" w14:paraId="20BC3FAB" w14:textId="77777777" w:rsidTr="005F22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77839D"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Class E</w:t>
            </w:r>
          </w:p>
        </w:tc>
        <w:tc>
          <w:tcPr>
            <w:tcW w:w="1137" w:type="dxa"/>
            <w:tcBorders>
              <w:top w:val="nil"/>
              <w:left w:val="nil"/>
              <w:bottom w:val="nil"/>
              <w:right w:val="nil"/>
            </w:tcBorders>
            <w:shd w:val="clear" w:color="auto" w:fill="auto"/>
            <w:noWrap/>
            <w:vAlign w:val="center"/>
            <w:hideMark/>
          </w:tcPr>
          <w:p w14:paraId="4C01140C"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-0,17%</w:t>
            </w:r>
          </w:p>
        </w:tc>
        <w:tc>
          <w:tcPr>
            <w:tcW w:w="1137" w:type="dxa"/>
            <w:tcBorders>
              <w:top w:val="nil"/>
              <w:left w:val="nil"/>
              <w:bottom w:val="nil"/>
              <w:right w:val="nil"/>
            </w:tcBorders>
            <w:shd w:val="clear" w:color="auto" w:fill="auto"/>
            <w:noWrap/>
            <w:vAlign w:val="center"/>
            <w:hideMark/>
          </w:tcPr>
          <w:p w14:paraId="606AED6B"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-0,01%</w:t>
            </w:r>
          </w:p>
        </w:tc>
        <w:tc>
          <w:tcPr>
            <w:tcW w:w="1137" w:type="dxa"/>
            <w:tcBorders>
              <w:top w:val="nil"/>
              <w:left w:val="nil"/>
              <w:bottom w:val="nil"/>
              <w:right w:val="single" w:sz="4" w:space="0" w:color="auto"/>
            </w:tcBorders>
            <w:shd w:val="clear" w:color="auto" w:fill="auto"/>
            <w:noWrap/>
            <w:vAlign w:val="center"/>
            <w:hideMark/>
          </w:tcPr>
          <w:p w14:paraId="012312A4"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-0,46%</w:t>
            </w:r>
          </w:p>
        </w:tc>
        <w:tc>
          <w:tcPr>
            <w:tcW w:w="945" w:type="dxa"/>
            <w:tcBorders>
              <w:top w:val="nil"/>
              <w:left w:val="nil"/>
              <w:bottom w:val="nil"/>
              <w:right w:val="nil"/>
            </w:tcBorders>
            <w:shd w:val="clear" w:color="auto" w:fill="auto"/>
            <w:noWrap/>
            <w:vAlign w:val="center"/>
            <w:hideMark/>
          </w:tcPr>
          <w:p w14:paraId="398EDF37"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101,4%</w:t>
            </w:r>
          </w:p>
        </w:tc>
        <w:tc>
          <w:tcPr>
            <w:tcW w:w="945" w:type="dxa"/>
            <w:tcBorders>
              <w:top w:val="nil"/>
              <w:left w:val="nil"/>
              <w:bottom w:val="nil"/>
              <w:right w:val="single" w:sz="8" w:space="0" w:color="auto"/>
            </w:tcBorders>
            <w:shd w:val="clear" w:color="auto" w:fill="auto"/>
            <w:noWrap/>
            <w:vAlign w:val="center"/>
            <w:hideMark/>
          </w:tcPr>
          <w:p w14:paraId="39161F51"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101,9%</w:t>
            </w:r>
          </w:p>
        </w:tc>
      </w:tr>
      <w:tr w:rsidR="005F2212" w:rsidRPr="005F2212" w14:paraId="555CBED6" w14:textId="77777777" w:rsidTr="005F22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E34368"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zh-CN"/>
              </w:rPr>
            </w:pPr>
            <w:r w:rsidRPr="005F2212">
              <w:rPr>
                <w:rFonts w:ascii="Arial" w:hAnsi="Arial" w:cs="Arial"/>
                <w:b/>
                <w:bCs/>
                <w:color w:val="000000"/>
                <w:sz w:val="18"/>
                <w:szCs w:val="18"/>
                <w:lang w:val="en-SE" w:eastAsia="zh-CN"/>
              </w:rPr>
              <w:t>Overall</w:t>
            </w:r>
          </w:p>
        </w:tc>
        <w:tc>
          <w:tcPr>
            <w:tcW w:w="1137" w:type="dxa"/>
            <w:tcBorders>
              <w:top w:val="single" w:sz="8" w:space="0" w:color="auto"/>
              <w:left w:val="nil"/>
              <w:bottom w:val="nil"/>
              <w:right w:val="nil"/>
            </w:tcBorders>
            <w:shd w:val="clear" w:color="auto" w:fill="auto"/>
            <w:noWrap/>
            <w:vAlign w:val="center"/>
            <w:hideMark/>
          </w:tcPr>
          <w:p w14:paraId="599DE723"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#VALUE!</w:t>
            </w:r>
          </w:p>
        </w:tc>
        <w:tc>
          <w:tcPr>
            <w:tcW w:w="1137" w:type="dxa"/>
            <w:tcBorders>
              <w:top w:val="single" w:sz="8" w:space="0" w:color="auto"/>
              <w:left w:val="nil"/>
              <w:bottom w:val="nil"/>
              <w:right w:val="nil"/>
            </w:tcBorders>
            <w:shd w:val="clear" w:color="auto" w:fill="auto"/>
            <w:noWrap/>
            <w:vAlign w:val="center"/>
            <w:hideMark/>
          </w:tcPr>
          <w:p w14:paraId="19B91B62"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#VALUE!</w:t>
            </w:r>
          </w:p>
        </w:tc>
        <w:tc>
          <w:tcPr>
            <w:tcW w:w="1137" w:type="dxa"/>
            <w:tcBorders>
              <w:top w:val="single" w:sz="8" w:space="0" w:color="auto"/>
              <w:left w:val="nil"/>
              <w:bottom w:val="nil"/>
              <w:right w:val="single" w:sz="4" w:space="0" w:color="auto"/>
            </w:tcBorders>
            <w:shd w:val="clear" w:color="auto" w:fill="auto"/>
            <w:noWrap/>
            <w:vAlign w:val="center"/>
            <w:hideMark/>
          </w:tcPr>
          <w:p w14:paraId="6D5C4721"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#VALUE!</w:t>
            </w:r>
          </w:p>
        </w:tc>
        <w:tc>
          <w:tcPr>
            <w:tcW w:w="945" w:type="dxa"/>
            <w:tcBorders>
              <w:top w:val="single" w:sz="8" w:space="0" w:color="auto"/>
              <w:left w:val="nil"/>
              <w:bottom w:val="nil"/>
              <w:right w:val="nil"/>
            </w:tcBorders>
            <w:shd w:val="clear" w:color="auto" w:fill="auto"/>
            <w:noWrap/>
            <w:vAlign w:val="center"/>
            <w:hideMark/>
          </w:tcPr>
          <w:p w14:paraId="0821B69A"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#DIV/0!</w:t>
            </w:r>
          </w:p>
        </w:tc>
        <w:tc>
          <w:tcPr>
            <w:tcW w:w="945" w:type="dxa"/>
            <w:tcBorders>
              <w:top w:val="single" w:sz="8" w:space="0" w:color="auto"/>
              <w:left w:val="nil"/>
              <w:bottom w:val="nil"/>
              <w:right w:val="single" w:sz="8" w:space="0" w:color="auto"/>
            </w:tcBorders>
            <w:shd w:val="clear" w:color="auto" w:fill="auto"/>
            <w:noWrap/>
            <w:vAlign w:val="center"/>
            <w:hideMark/>
          </w:tcPr>
          <w:p w14:paraId="1066DDEE"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#NUM!</w:t>
            </w:r>
          </w:p>
        </w:tc>
      </w:tr>
      <w:tr w:rsidR="005F2212" w:rsidRPr="005F2212" w14:paraId="62966990" w14:textId="77777777" w:rsidTr="005F22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120D9A"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Class D</w:t>
            </w:r>
          </w:p>
        </w:tc>
        <w:tc>
          <w:tcPr>
            <w:tcW w:w="1137" w:type="dxa"/>
            <w:tcBorders>
              <w:top w:val="single" w:sz="8" w:space="0" w:color="auto"/>
              <w:left w:val="nil"/>
              <w:bottom w:val="nil"/>
              <w:right w:val="nil"/>
            </w:tcBorders>
            <w:shd w:val="clear" w:color="auto" w:fill="auto"/>
            <w:noWrap/>
            <w:vAlign w:val="center"/>
            <w:hideMark/>
          </w:tcPr>
          <w:p w14:paraId="69A0C26E"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-0,06%</w:t>
            </w:r>
          </w:p>
        </w:tc>
        <w:tc>
          <w:tcPr>
            <w:tcW w:w="1137" w:type="dxa"/>
            <w:tcBorders>
              <w:top w:val="single" w:sz="8" w:space="0" w:color="auto"/>
              <w:left w:val="nil"/>
              <w:bottom w:val="nil"/>
              <w:right w:val="nil"/>
            </w:tcBorders>
            <w:shd w:val="clear" w:color="auto" w:fill="auto"/>
            <w:noWrap/>
            <w:vAlign w:val="center"/>
            <w:hideMark/>
          </w:tcPr>
          <w:p w14:paraId="574FEEF8"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-0,05%</w:t>
            </w:r>
          </w:p>
        </w:tc>
        <w:tc>
          <w:tcPr>
            <w:tcW w:w="1137" w:type="dxa"/>
            <w:tcBorders>
              <w:top w:val="single" w:sz="8" w:space="0" w:color="auto"/>
              <w:left w:val="nil"/>
              <w:bottom w:val="nil"/>
              <w:right w:val="single" w:sz="4" w:space="0" w:color="auto"/>
            </w:tcBorders>
            <w:shd w:val="clear" w:color="auto" w:fill="auto"/>
            <w:noWrap/>
            <w:vAlign w:val="center"/>
            <w:hideMark/>
          </w:tcPr>
          <w:p w14:paraId="308F8759"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0,10%</w:t>
            </w:r>
          </w:p>
        </w:tc>
        <w:tc>
          <w:tcPr>
            <w:tcW w:w="945" w:type="dxa"/>
            <w:tcBorders>
              <w:top w:val="single" w:sz="8" w:space="0" w:color="auto"/>
              <w:left w:val="nil"/>
              <w:bottom w:val="nil"/>
              <w:right w:val="nil"/>
            </w:tcBorders>
            <w:shd w:val="clear" w:color="auto" w:fill="auto"/>
            <w:noWrap/>
            <w:vAlign w:val="center"/>
            <w:hideMark/>
          </w:tcPr>
          <w:p w14:paraId="0D48205A"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102,6%</w:t>
            </w:r>
          </w:p>
        </w:tc>
        <w:tc>
          <w:tcPr>
            <w:tcW w:w="945" w:type="dxa"/>
            <w:tcBorders>
              <w:top w:val="single" w:sz="8" w:space="0" w:color="auto"/>
              <w:left w:val="nil"/>
              <w:bottom w:val="nil"/>
              <w:right w:val="single" w:sz="8" w:space="0" w:color="auto"/>
            </w:tcBorders>
            <w:shd w:val="clear" w:color="auto" w:fill="auto"/>
            <w:noWrap/>
            <w:vAlign w:val="center"/>
            <w:hideMark/>
          </w:tcPr>
          <w:p w14:paraId="230DC6F5"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102,0%</w:t>
            </w:r>
          </w:p>
        </w:tc>
      </w:tr>
      <w:tr w:rsidR="005F2212" w:rsidRPr="005F2212" w14:paraId="200966F7" w14:textId="77777777" w:rsidTr="005F22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5C9ADF"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Class F</w:t>
            </w:r>
          </w:p>
        </w:tc>
        <w:tc>
          <w:tcPr>
            <w:tcW w:w="1137" w:type="dxa"/>
            <w:tcBorders>
              <w:top w:val="nil"/>
              <w:left w:val="nil"/>
              <w:bottom w:val="nil"/>
              <w:right w:val="nil"/>
            </w:tcBorders>
            <w:shd w:val="clear" w:color="auto" w:fill="auto"/>
            <w:noWrap/>
            <w:vAlign w:val="center"/>
            <w:hideMark/>
          </w:tcPr>
          <w:p w14:paraId="5EAE2385"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-0,23%</w:t>
            </w:r>
          </w:p>
        </w:tc>
        <w:tc>
          <w:tcPr>
            <w:tcW w:w="1137" w:type="dxa"/>
            <w:tcBorders>
              <w:top w:val="nil"/>
              <w:left w:val="nil"/>
              <w:bottom w:val="nil"/>
              <w:right w:val="nil"/>
            </w:tcBorders>
            <w:shd w:val="clear" w:color="auto" w:fill="auto"/>
            <w:noWrap/>
            <w:vAlign w:val="center"/>
            <w:hideMark/>
          </w:tcPr>
          <w:p w14:paraId="59957C3B"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-0,49%</w:t>
            </w:r>
          </w:p>
        </w:tc>
        <w:tc>
          <w:tcPr>
            <w:tcW w:w="1137" w:type="dxa"/>
            <w:tcBorders>
              <w:top w:val="nil"/>
              <w:left w:val="nil"/>
              <w:bottom w:val="nil"/>
              <w:right w:val="single" w:sz="4" w:space="0" w:color="auto"/>
            </w:tcBorders>
            <w:shd w:val="clear" w:color="auto" w:fill="auto"/>
            <w:noWrap/>
            <w:vAlign w:val="center"/>
            <w:hideMark/>
          </w:tcPr>
          <w:p w14:paraId="56CBD83F"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-0,28%</w:t>
            </w:r>
          </w:p>
        </w:tc>
        <w:tc>
          <w:tcPr>
            <w:tcW w:w="945" w:type="dxa"/>
            <w:tcBorders>
              <w:top w:val="nil"/>
              <w:left w:val="nil"/>
              <w:bottom w:val="nil"/>
              <w:right w:val="nil"/>
            </w:tcBorders>
            <w:shd w:val="clear" w:color="auto" w:fill="auto"/>
            <w:noWrap/>
            <w:vAlign w:val="center"/>
            <w:hideMark/>
          </w:tcPr>
          <w:p w14:paraId="6533C98B"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#DIV/0!</w:t>
            </w:r>
          </w:p>
        </w:tc>
        <w:tc>
          <w:tcPr>
            <w:tcW w:w="945" w:type="dxa"/>
            <w:tcBorders>
              <w:top w:val="nil"/>
              <w:left w:val="nil"/>
              <w:bottom w:val="nil"/>
              <w:right w:val="single" w:sz="8" w:space="0" w:color="auto"/>
            </w:tcBorders>
            <w:shd w:val="clear" w:color="auto" w:fill="auto"/>
            <w:noWrap/>
            <w:vAlign w:val="center"/>
            <w:hideMark/>
          </w:tcPr>
          <w:p w14:paraId="0EC7BF7A" w14:textId="77777777" w:rsidR="005F2212" w:rsidRPr="005F2212" w:rsidRDefault="005F2212" w:rsidP="005F2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zh-CN"/>
              </w:rPr>
            </w:pPr>
            <w:r w:rsidRPr="005F2212">
              <w:rPr>
                <w:rFonts w:ascii="Arial" w:hAnsi="Arial" w:cs="Arial"/>
                <w:color w:val="000000"/>
                <w:sz w:val="18"/>
                <w:szCs w:val="18"/>
                <w:lang w:val="en-SE" w:eastAsia="zh-CN"/>
              </w:rPr>
              <w:t>100,6%</w:t>
            </w:r>
          </w:p>
        </w:tc>
      </w:tr>
    </w:tbl>
    <w:p w14:paraId="1429ADE7" w14:textId="77777777" w:rsidR="00B6177E" w:rsidRPr="001D3128" w:rsidRDefault="00B6177E" w:rsidP="001D3128">
      <w:pPr>
        <w:rPr>
          <w:lang w:val="en-CA"/>
        </w:rPr>
      </w:pPr>
    </w:p>
    <w:p w14:paraId="0D1AB0BF" w14:textId="7F5B6F1C" w:rsidR="003A2517" w:rsidRDefault="003A2517" w:rsidP="00E11923">
      <w:pPr>
        <w:pStyle w:val="Heading1"/>
        <w:rPr>
          <w:lang w:val="en-CA"/>
        </w:rPr>
      </w:pPr>
      <w:r>
        <w:rPr>
          <w:lang w:val="en-CA"/>
        </w:rPr>
        <w:t>Conclusion</w:t>
      </w:r>
    </w:p>
    <w:p w14:paraId="71C29123" w14:textId="5F8E68BE" w:rsidR="003A2517" w:rsidRPr="003A2517" w:rsidRDefault="009669C7" w:rsidP="003A2517">
      <w:pPr>
        <w:rPr>
          <w:lang w:val="en-CA"/>
        </w:rPr>
      </w:pPr>
      <w:r>
        <w:rPr>
          <w:lang w:val="en-CA"/>
        </w:rPr>
        <w:t>The contribution reports the results for EE2 Test</w:t>
      </w:r>
      <w:r w:rsidR="00934999">
        <w:rPr>
          <w:lang w:val="en-CA"/>
        </w:rPr>
        <w:t xml:space="preserve"> </w:t>
      </w:r>
      <w:r w:rsidR="00BD4789">
        <w:rPr>
          <w:lang w:val="en-CA"/>
        </w:rPr>
        <w:t xml:space="preserve">3.2 on bi-predictive GPM. It </w:t>
      </w:r>
      <w:r>
        <w:rPr>
          <w:lang w:val="en-CA"/>
        </w:rPr>
        <w:t>is asserted that</w:t>
      </w:r>
      <w:r w:rsidR="00824DC8">
        <w:rPr>
          <w:lang w:val="en-CA"/>
        </w:rPr>
        <w:t xml:space="preserve"> the</w:t>
      </w:r>
      <w:r>
        <w:rPr>
          <w:lang w:val="en-CA"/>
        </w:rPr>
        <w:t xml:space="preserve"> </w:t>
      </w:r>
      <w:r w:rsidR="00406BB5">
        <w:rPr>
          <w:lang w:val="en-CA"/>
        </w:rPr>
        <w:t>results indicate reasonable</w:t>
      </w:r>
      <w:r>
        <w:rPr>
          <w:lang w:val="en-CA"/>
        </w:rPr>
        <w:t xml:space="preserve"> trade-off between BD-rate gains and run time impacts. It is proposed to include the proposed modifications</w:t>
      </w:r>
      <w:r w:rsidR="00406BB5">
        <w:rPr>
          <w:lang w:val="en-CA"/>
        </w:rPr>
        <w:t xml:space="preserve"> from EE2 Test</w:t>
      </w:r>
      <w:r w:rsidR="00545BB4">
        <w:rPr>
          <w:lang w:val="en-CA"/>
        </w:rPr>
        <w:t xml:space="preserve"> </w:t>
      </w:r>
      <w:r w:rsidR="00406BB5">
        <w:rPr>
          <w:lang w:val="en-CA"/>
        </w:rPr>
        <w:t>3.2</w:t>
      </w:r>
      <w:r>
        <w:rPr>
          <w:lang w:val="en-CA"/>
        </w:rPr>
        <w:t xml:space="preserve"> into the next version of ECM.</w:t>
      </w:r>
    </w:p>
    <w:p w14:paraId="5F0CF8E4" w14:textId="1931230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688354" w:rsidR="00342FF4" w:rsidRPr="005B217D" w:rsidRDefault="008A2CF2"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22F96" w14:textId="77777777" w:rsidR="00640479" w:rsidRDefault="00640479">
      <w:r>
        <w:separator/>
      </w:r>
    </w:p>
  </w:endnote>
  <w:endnote w:type="continuationSeparator" w:id="0">
    <w:p w14:paraId="789EC191" w14:textId="77777777" w:rsidR="00640479" w:rsidRDefault="0064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1FEA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F2212">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2A74" w14:textId="77777777" w:rsidR="00640479" w:rsidRDefault="00640479">
      <w:r>
        <w:separator/>
      </w:r>
    </w:p>
  </w:footnote>
  <w:footnote w:type="continuationSeparator" w:id="0">
    <w:p w14:paraId="4AB813FA" w14:textId="77777777" w:rsidR="00640479" w:rsidRDefault="00640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41238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336537">
    <w:abstractNumId w:val="9"/>
  </w:num>
  <w:num w:numId="3" w16cid:durableId="1545018443">
    <w:abstractNumId w:val="8"/>
  </w:num>
  <w:num w:numId="4" w16cid:durableId="1700201798">
    <w:abstractNumId w:val="6"/>
  </w:num>
  <w:num w:numId="5" w16cid:durableId="1603950636">
    <w:abstractNumId w:val="7"/>
  </w:num>
  <w:num w:numId="6" w16cid:durableId="598755679">
    <w:abstractNumId w:val="4"/>
  </w:num>
  <w:num w:numId="7" w16cid:durableId="1410420968">
    <w:abstractNumId w:val="5"/>
  </w:num>
  <w:num w:numId="8" w16cid:durableId="1528637495">
    <w:abstractNumId w:val="4"/>
  </w:num>
  <w:num w:numId="9" w16cid:durableId="1943340148">
    <w:abstractNumId w:val="1"/>
  </w:num>
  <w:num w:numId="10" w16cid:durableId="983118465">
    <w:abstractNumId w:val="3"/>
  </w:num>
  <w:num w:numId="11" w16cid:durableId="1743333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53EAC"/>
    <w:rsid w:val="00065039"/>
    <w:rsid w:val="0007614F"/>
    <w:rsid w:val="00077F37"/>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1636"/>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3128"/>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070C"/>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314B"/>
    <w:rsid w:val="003021A5"/>
    <w:rsid w:val="003021BC"/>
    <w:rsid w:val="00306206"/>
    <w:rsid w:val="00317D85"/>
    <w:rsid w:val="00327C56"/>
    <w:rsid w:val="003315A1"/>
    <w:rsid w:val="003373EC"/>
    <w:rsid w:val="00342FF4"/>
    <w:rsid w:val="00344E5A"/>
    <w:rsid w:val="00346148"/>
    <w:rsid w:val="00355DF6"/>
    <w:rsid w:val="003669EA"/>
    <w:rsid w:val="003706CC"/>
    <w:rsid w:val="00377710"/>
    <w:rsid w:val="003A2517"/>
    <w:rsid w:val="003A25F5"/>
    <w:rsid w:val="003A2D8E"/>
    <w:rsid w:val="003A7CE6"/>
    <w:rsid w:val="003C20E4"/>
    <w:rsid w:val="003D6342"/>
    <w:rsid w:val="003E6F90"/>
    <w:rsid w:val="003E73ED"/>
    <w:rsid w:val="003F5D0F"/>
    <w:rsid w:val="00406BB5"/>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53DD"/>
    <w:rsid w:val="004E6789"/>
    <w:rsid w:val="004F61E3"/>
    <w:rsid w:val="00502E10"/>
    <w:rsid w:val="0050354E"/>
    <w:rsid w:val="0051015C"/>
    <w:rsid w:val="00513381"/>
    <w:rsid w:val="00516CF1"/>
    <w:rsid w:val="00531AE9"/>
    <w:rsid w:val="00536188"/>
    <w:rsid w:val="00541FF1"/>
    <w:rsid w:val="00545BB4"/>
    <w:rsid w:val="00550A66"/>
    <w:rsid w:val="00567EC7"/>
    <w:rsid w:val="00570013"/>
    <w:rsid w:val="005753EC"/>
    <w:rsid w:val="005801A2"/>
    <w:rsid w:val="00586E20"/>
    <w:rsid w:val="005952A5"/>
    <w:rsid w:val="005A33A1"/>
    <w:rsid w:val="005A4CE5"/>
    <w:rsid w:val="005B217D"/>
    <w:rsid w:val="005C385F"/>
    <w:rsid w:val="005C7C26"/>
    <w:rsid w:val="005E1AC6"/>
    <w:rsid w:val="005E3F2B"/>
    <w:rsid w:val="005F2212"/>
    <w:rsid w:val="005F6F1B"/>
    <w:rsid w:val="006033D5"/>
    <w:rsid w:val="00615995"/>
    <w:rsid w:val="00616155"/>
    <w:rsid w:val="00624B33"/>
    <w:rsid w:val="0063041A"/>
    <w:rsid w:val="00630AA2"/>
    <w:rsid w:val="00631D8B"/>
    <w:rsid w:val="00640479"/>
    <w:rsid w:val="00646707"/>
    <w:rsid w:val="006509DD"/>
    <w:rsid w:val="006553FE"/>
    <w:rsid w:val="00657F7E"/>
    <w:rsid w:val="0066270D"/>
    <w:rsid w:val="00662E58"/>
    <w:rsid w:val="006637F2"/>
    <w:rsid w:val="006642A5"/>
    <w:rsid w:val="00664DCF"/>
    <w:rsid w:val="006A0E5C"/>
    <w:rsid w:val="006A48E6"/>
    <w:rsid w:val="006C5D39"/>
    <w:rsid w:val="006C5F0A"/>
    <w:rsid w:val="006D6D9B"/>
    <w:rsid w:val="006E14A2"/>
    <w:rsid w:val="006E2810"/>
    <w:rsid w:val="006E5417"/>
    <w:rsid w:val="006F0794"/>
    <w:rsid w:val="006F7528"/>
    <w:rsid w:val="007023DE"/>
    <w:rsid w:val="00712F60"/>
    <w:rsid w:val="00720E3B"/>
    <w:rsid w:val="0074393F"/>
    <w:rsid w:val="00745F6B"/>
    <w:rsid w:val="0075175B"/>
    <w:rsid w:val="00751C97"/>
    <w:rsid w:val="0075585E"/>
    <w:rsid w:val="00757782"/>
    <w:rsid w:val="00770571"/>
    <w:rsid w:val="00776659"/>
    <w:rsid w:val="007768FF"/>
    <w:rsid w:val="007824D3"/>
    <w:rsid w:val="0078263A"/>
    <w:rsid w:val="00795316"/>
    <w:rsid w:val="00796EE3"/>
    <w:rsid w:val="007A7D29"/>
    <w:rsid w:val="007B4AB8"/>
    <w:rsid w:val="007C081C"/>
    <w:rsid w:val="007D1181"/>
    <w:rsid w:val="007E01A3"/>
    <w:rsid w:val="007F1F8B"/>
    <w:rsid w:val="007F6205"/>
    <w:rsid w:val="007F67A1"/>
    <w:rsid w:val="00801A7B"/>
    <w:rsid w:val="00811C05"/>
    <w:rsid w:val="008206C8"/>
    <w:rsid w:val="00824DC8"/>
    <w:rsid w:val="0086387C"/>
    <w:rsid w:val="00874A6C"/>
    <w:rsid w:val="00876C65"/>
    <w:rsid w:val="00882F72"/>
    <w:rsid w:val="00893DC4"/>
    <w:rsid w:val="008A147E"/>
    <w:rsid w:val="008A2CF2"/>
    <w:rsid w:val="008A4B4C"/>
    <w:rsid w:val="008A58C3"/>
    <w:rsid w:val="008C239F"/>
    <w:rsid w:val="008D715D"/>
    <w:rsid w:val="008E480C"/>
    <w:rsid w:val="00907757"/>
    <w:rsid w:val="009212B0"/>
    <w:rsid w:val="00921FA1"/>
    <w:rsid w:val="009234A5"/>
    <w:rsid w:val="0092700E"/>
    <w:rsid w:val="00933453"/>
    <w:rsid w:val="009336F7"/>
    <w:rsid w:val="00934999"/>
    <w:rsid w:val="0093636C"/>
    <w:rsid w:val="009374A7"/>
    <w:rsid w:val="00937F03"/>
    <w:rsid w:val="00955F6D"/>
    <w:rsid w:val="009669C7"/>
    <w:rsid w:val="009776EA"/>
    <w:rsid w:val="00977C16"/>
    <w:rsid w:val="0098551D"/>
    <w:rsid w:val="00985DCB"/>
    <w:rsid w:val="0099518F"/>
    <w:rsid w:val="009A523D"/>
    <w:rsid w:val="009B02A1"/>
    <w:rsid w:val="009B295F"/>
    <w:rsid w:val="009B3361"/>
    <w:rsid w:val="009B7F3F"/>
    <w:rsid w:val="009D7CE6"/>
    <w:rsid w:val="009E448E"/>
    <w:rsid w:val="009F061C"/>
    <w:rsid w:val="009F496B"/>
    <w:rsid w:val="00A01439"/>
    <w:rsid w:val="00A02E61"/>
    <w:rsid w:val="00A05CFF"/>
    <w:rsid w:val="00A073D8"/>
    <w:rsid w:val="00A07A7F"/>
    <w:rsid w:val="00A13048"/>
    <w:rsid w:val="00A46843"/>
    <w:rsid w:val="00A56B97"/>
    <w:rsid w:val="00A6093D"/>
    <w:rsid w:val="00A703CE"/>
    <w:rsid w:val="00A72017"/>
    <w:rsid w:val="00A767DC"/>
    <w:rsid w:val="00A76A6D"/>
    <w:rsid w:val="00A83253"/>
    <w:rsid w:val="00A96778"/>
    <w:rsid w:val="00AA6E84"/>
    <w:rsid w:val="00AB1A1C"/>
    <w:rsid w:val="00AB4721"/>
    <w:rsid w:val="00AB7405"/>
    <w:rsid w:val="00AD05A8"/>
    <w:rsid w:val="00AE341B"/>
    <w:rsid w:val="00AF51C5"/>
    <w:rsid w:val="00B01905"/>
    <w:rsid w:val="00B07CA7"/>
    <w:rsid w:val="00B1279A"/>
    <w:rsid w:val="00B3640F"/>
    <w:rsid w:val="00B37A85"/>
    <w:rsid w:val="00B40ED5"/>
    <w:rsid w:val="00B4194A"/>
    <w:rsid w:val="00B437E8"/>
    <w:rsid w:val="00B51F2C"/>
    <w:rsid w:val="00B5222E"/>
    <w:rsid w:val="00B53179"/>
    <w:rsid w:val="00B532EA"/>
    <w:rsid w:val="00B556D4"/>
    <w:rsid w:val="00B57A23"/>
    <w:rsid w:val="00B600CD"/>
    <w:rsid w:val="00B6177E"/>
    <w:rsid w:val="00B61C96"/>
    <w:rsid w:val="00B71210"/>
    <w:rsid w:val="00B73A2A"/>
    <w:rsid w:val="00B75A51"/>
    <w:rsid w:val="00B827C6"/>
    <w:rsid w:val="00B94B06"/>
    <w:rsid w:val="00B94C28"/>
    <w:rsid w:val="00BC10BA"/>
    <w:rsid w:val="00BC5AFD"/>
    <w:rsid w:val="00BD4789"/>
    <w:rsid w:val="00BE7250"/>
    <w:rsid w:val="00C00DDE"/>
    <w:rsid w:val="00C04F43"/>
    <w:rsid w:val="00C05271"/>
    <w:rsid w:val="00C0609D"/>
    <w:rsid w:val="00C115AB"/>
    <w:rsid w:val="00C1794D"/>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4EEC"/>
    <w:rsid w:val="00D06B8B"/>
    <w:rsid w:val="00D073E2"/>
    <w:rsid w:val="00D1555A"/>
    <w:rsid w:val="00D446EC"/>
    <w:rsid w:val="00D4795C"/>
    <w:rsid w:val="00D51BF0"/>
    <w:rsid w:val="00D531DB"/>
    <w:rsid w:val="00D55942"/>
    <w:rsid w:val="00D807BF"/>
    <w:rsid w:val="00D82FCC"/>
    <w:rsid w:val="00DA17FC"/>
    <w:rsid w:val="00DA7887"/>
    <w:rsid w:val="00DB2C26"/>
    <w:rsid w:val="00DB45C3"/>
    <w:rsid w:val="00DD02F4"/>
    <w:rsid w:val="00DD2C9F"/>
    <w:rsid w:val="00DD6622"/>
    <w:rsid w:val="00DE1C7C"/>
    <w:rsid w:val="00DE6B43"/>
    <w:rsid w:val="00E041C6"/>
    <w:rsid w:val="00E074DE"/>
    <w:rsid w:val="00E11923"/>
    <w:rsid w:val="00E207D8"/>
    <w:rsid w:val="00E262D4"/>
    <w:rsid w:val="00E36250"/>
    <w:rsid w:val="00E47F2D"/>
    <w:rsid w:val="00E54511"/>
    <w:rsid w:val="00E60EDC"/>
    <w:rsid w:val="00E61DAC"/>
    <w:rsid w:val="00E6768D"/>
    <w:rsid w:val="00E72B80"/>
    <w:rsid w:val="00E75FE3"/>
    <w:rsid w:val="00E86C4C"/>
    <w:rsid w:val="00E907A3"/>
    <w:rsid w:val="00EA5AE0"/>
    <w:rsid w:val="00EB56E1"/>
    <w:rsid w:val="00EB7AB1"/>
    <w:rsid w:val="00EC2180"/>
    <w:rsid w:val="00EC32BD"/>
    <w:rsid w:val="00ED536F"/>
    <w:rsid w:val="00EE7CD8"/>
    <w:rsid w:val="00EF0652"/>
    <w:rsid w:val="00EF37F6"/>
    <w:rsid w:val="00EF48CC"/>
    <w:rsid w:val="00F00801"/>
    <w:rsid w:val="00F02E3A"/>
    <w:rsid w:val="00F23F1B"/>
    <w:rsid w:val="00F2488D"/>
    <w:rsid w:val="00F53E03"/>
    <w:rsid w:val="00F601A0"/>
    <w:rsid w:val="00F712E9"/>
    <w:rsid w:val="00F71B91"/>
    <w:rsid w:val="00F723B4"/>
    <w:rsid w:val="00F73032"/>
    <w:rsid w:val="00F84494"/>
    <w:rsid w:val="00F848FC"/>
    <w:rsid w:val="00F906F6"/>
    <w:rsid w:val="00F91F74"/>
    <w:rsid w:val="00F9282A"/>
    <w:rsid w:val="00F96BAD"/>
    <w:rsid w:val="00FA139D"/>
    <w:rsid w:val="00FA56CF"/>
    <w:rsid w:val="00FA60F5"/>
    <w:rsid w:val="00FA7F0A"/>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E5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625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1123936">
      <w:bodyDiv w:val="1"/>
      <w:marLeft w:val="0"/>
      <w:marRight w:val="0"/>
      <w:marTop w:val="0"/>
      <w:marBottom w:val="0"/>
      <w:divBdr>
        <w:top w:val="none" w:sz="0" w:space="0" w:color="auto"/>
        <w:left w:val="none" w:sz="0" w:space="0" w:color="auto"/>
        <w:bottom w:val="none" w:sz="0" w:space="0" w:color="auto"/>
        <w:right w:val="none" w:sz="0" w:space="0" w:color="auto"/>
      </w:divBdr>
    </w:div>
    <w:div w:id="1957321884">
      <w:bodyDiv w:val="1"/>
      <w:marLeft w:val="0"/>
      <w:marRight w:val="0"/>
      <w:marTop w:val="0"/>
      <w:marBottom w:val="0"/>
      <w:divBdr>
        <w:top w:val="none" w:sz="0" w:space="0" w:color="auto"/>
        <w:left w:val="none" w:sz="0" w:space="0" w:color="auto"/>
        <w:bottom w:val="none" w:sz="0" w:space="0" w:color="auto"/>
        <w:right w:val="none" w:sz="0" w:space="0" w:color="auto"/>
      </w:divBdr>
    </w:div>
    <w:div w:id="210942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uoyang.yu@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663</Words>
  <Characters>3782</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60</cp:revision>
  <cp:lastPrinted>1900-01-01T08:00:00Z</cp:lastPrinted>
  <dcterms:created xsi:type="dcterms:W3CDTF">2023-06-26T11:11:00Z</dcterms:created>
  <dcterms:modified xsi:type="dcterms:W3CDTF">2023-07-04T09:34:00Z</dcterms:modified>
</cp:coreProperties>
</file>