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B1FA1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2F31">
              <w:rPr>
                <w:lang w:val="en-CA"/>
              </w:rPr>
              <w:t>AA0</w:t>
            </w:r>
            <w:r w:rsidR="001E3222">
              <w:rPr>
                <w:lang w:val="en-CA"/>
              </w:rPr>
              <w:t>246</w:t>
            </w:r>
            <w:r w:rsidR="006A0E5C" w:rsidRPr="006A0E5C">
              <w:rPr>
                <w:lang w:val="en-CA"/>
              </w:rPr>
              <w:t>-v</w:t>
            </w:r>
            <w:r w:rsidR="00D515C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476D0" w:rsidR="00E61DAC" w:rsidRPr="005B217D" w:rsidRDefault="00504D2C" w:rsidP="009D7CE6">
            <w:pPr>
              <w:spacing w:before="60" w:after="60"/>
              <w:rPr>
                <w:b/>
                <w:szCs w:val="22"/>
                <w:lang w:val="en-CA"/>
              </w:rPr>
            </w:pPr>
            <w:r>
              <w:rPr>
                <w:b/>
                <w:szCs w:val="22"/>
                <w:lang w:val="en-CA"/>
              </w:rPr>
              <w:t>Non-EE</w:t>
            </w:r>
            <w:r w:rsidR="009C3898">
              <w:rPr>
                <w:b/>
                <w:szCs w:val="22"/>
                <w:lang w:val="en-CA"/>
              </w:rPr>
              <w:t>2</w:t>
            </w:r>
            <w:r>
              <w:rPr>
                <w:b/>
                <w:szCs w:val="22"/>
                <w:lang w:val="en-CA"/>
              </w:rPr>
              <w:t xml:space="preserve">: </w:t>
            </w:r>
            <w:r w:rsidR="00852207">
              <w:rPr>
                <w:b/>
                <w:szCs w:val="22"/>
                <w:lang w:val="en-CA"/>
              </w:rPr>
              <w:t>Combination of JVET-AA0120 and JVET-AA0137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EE94" w:rsidR="00E61DAC" w:rsidRPr="005B217D" w:rsidRDefault="00504D2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8AD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93268C" w:rsidR="00E61DAC" w:rsidRPr="005B217D" w:rsidRDefault="000F1705">
            <w:pPr>
              <w:spacing w:before="60" w:after="60"/>
              <w:rPr>
                <w:szCs w:val="22"/>
                <w:lang w:val="en-CA"/>
              </w:rPr>
            </w:pPr>
            <w:r>
              <w:rPr>
                <w:szCs w:val="22"/>
                <w:lang w:val="en-CA"/>
              </w:rPr>
              <w:t>Luhang Xu</w:t>
            </w:r>
            <w:r>
              <w:rPr>
                <w:szCs w:val="22"/>
                <w:lang w:val="en-CA"/>
              </w:rPr>
              <w:br/>
              <w:t>Yue Yu</w:t>
            </w:r>
            <w:r>
              <w:rPr>
                <w:szCs w:val="22"/>
                <w:lang w:val="en-CA"/>
              </w:rPr>
              <w:br/>
              <w:t>Haoping Yu</w:t>
            </w:r>
            <w:r>
              <w:rPr>
                <w:szCs w:val="22"/>
                <w:lang w:val="en-CA"/>
              </w:rPr>
              <w:br/>
              <w:t>Dong Wang</w:t>
            </w:r>
            <w:r>
              <w:rPr>
                <w:szCs w:val="22"/>
                <w:lang w:val="en-CA"/>
              </w:rPr>
              <w:br/>
            </w:r>
            <w:r w:rsidR="001F1ACE">
              <w:rPr>
                <w:szCs w:val="22"/>
                <w:lang w:val="en-CA"/>
              </w:rPr>
              <w:t>Keming Cao</w:t>
            </w:r>
            <w:r w:rsidR="00243C13" w:rsidRPr="005B217D">
              <w:rPr>
                <w:szCs w:val="22"/>
                <w:lang w:val="en-CA"/>
              </w:rPr>
              <w:t xml:space="preserve"> </w:t>
            </w:r>
            <w:r w:rsidR="00E61DAC" w:rsidRPr="005B217D">
              <w:rPr>
                <w:szCs w:val="22"/>
                <w:lang w:val="en-CA"/>
              </w:rPr>
              <w:br/>
            </w:r>
            <w:r w:rsidR="001F1ACE">
              <w:rPr>
                <w:szCs w:val="22"/>
                <w:lang w:val="en-CA"/>
              </w:rPr>
              <w:t>Vadim Seregin</w:t>
            </w:r>
            <w:r w:rsidR="00E61DAC" w:rsidRPr="005B217D">
              <w:rPr>
                <w:szCs w:val="22"/>
                <w:lang w:val="en-CA"/>
              </w:rPr>
              <w:br/>
            </w:r>
            <w:r w:rsidR="00E94DF8">
              <w:rPr>
                <w:szCs w:val="22"/>
                <w:lang w:val="en-CA"/>
              </w:rPr>
              <w:t>Marta Kar</w:t>
            </w:r>
            <w:r w:rsidR="00D515C3">
              <w:rPr>
                <w:szCs w:val="22"/>
                <w:lang w:val="en-CA"/>
              </w:rPr>
              <w:t>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7809CEE" w14:textId="099164C9" w:rsidR="00E61DAC" w:rsidRPr="00852207" w:rsidRDefault="00000000" w:rsidP="00243C13">
            <w:pPr>
              <w:spacing w:before="60" w:after="60"/>
            </w:pPr>
            <w:hyperlink r:id="rId13" w:history="1">
              <w:r w:rsidR="000F1705" w:rsidRPr="00852207">
                <w:t>xuluhang@oppo.com</w:t>
              </w:r>
            </w:hyperlink>
            <w:r w:rsidR="000F1705" w:rsidRPr="00852207">
              <w:br/>
            </w:r>
            <w:hyperlink r:id="rId14" w:history="1">
              <w:r w:rsidR="000F1705" w:rsidRPr="00852207">
                <w:t>yue.yu@oppo.com</w:t>
              </w:r>
            </w:hyperlink>
            <w:r w:rsidR="000F1705" w:rsidRPr="00852207">
              <w:br/>
            </w:r>
            <w:hyperlink r:id="rId15" w:history="1">
              <w:r w:rsidR="000F1705" w:rsidRPr="00852207">
                <w:t>v-yuhaoping@oppo.com</w:t>
              </w:r>
            </w:hyperlink>
            <w:r w:rsidR="000F1705" w:rsidRPr="00852207">
              <w:br/>
            </w:r>
            <w:r w:rsidR="002B5A3D" w:rsidRPr="002B5A3D">
              <w:t>wangdong7@oppo.com</w:t>
            </w:r>
            <w:r w:rsidR="000F1705">
              <w:br/>
            </w:r>
            <w:hyperlink r:id="rId16" w:history="1">
              <w:r w:rsidR="000F1705" w:rsidRPr="00852207">
                <w:t>kemicao@qti.qualcomm.com</w:t>
              </w:r>
            </w:hyperlink>
            <w:r w:rsidR="00E61DAC" w:rsidRPr="00852207">
              <w:br/>
            </w:r>
            <w:hyperlink r:id="rId17" w:history="1">
              <w:r w:rsidR="003A0DE8" w:rsidRPr="00852207">
                <w:t>vseregin@qti.qualcomm.com</w:t>
              </w:r>
            </w:hyperlink>
          </w:p>
          <w:p w14:paraId="79D3EDF7" w14:textId="2C2852B9" w:rsidR="003A0DE8" w:rsidRPr="00852207" w:rsidRDefault="00000000" w:rsidP="00917E24">
            <w:pPr>
              <w:spacing w:before="0" w:after="60"/>
            </w:pPr>
            <w:hyperlink r:id="rId18" w:history="1">
              <w:r w:rsidR="003A0DE8" w:rsidRPr="00852207">
                <w:t>martak@qti.qualcomm.com</w:t>
              </w:r>
            </w:hyperlink>
          </w:p>
          <w:p w14:paraId="32C2ABFD" w14:textId="6C970CD3" w:rsidR="003A0DE8" w:rsidRPr="005B217D" w:rsidRDefault="003A0DE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830783" w:rsidR="00E61DAC" w:rsidRPr="005B217D" w:rsidRDefault="000F1705">
            <w:pPr>
              <w:spacing w:before="60" w:after="60"/>
              <w:rPr>
                <w:szCs w:val="22"/>
                <w:lang w:val="en-CA"/>
              </w:rPr>
            </w:pPr>
            <w:r>
              <w:rPr>
                <w:szCs w:val="22"/>
                <w:lang w:val="en-CA"/>
              </w:rPr>
              <w:t xml:space="preserve">OPPO, </w:t>
            </w:r>
            <w:r w:rsidR="0081274B">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177225" w14:textId="67420C5B" w:rsidR="00FC69BF" w:rsidRPr="009C11A1" w:rsidRDefault="00A35840" w:rsidP="00FC69BF">
      <w:pPr>
        <w:rPr>
          <w:lang w:val="en-CA"/>
        </w:rPr>
      </w:pPr>
      <w:r w:rsidRPr="009C11A1">
        <w:rPr>
          <w:lang w:val="en-CA"/>
        </w:rPr>
        <w:t xml:space="preserve">This contribution proposes </w:t>
      </w:r>
      <w:r>
        <w:rPr>
          <w:lang w:val="en-CA"/>
        </w:rPr>
        <w:t xml:space="preserve">to combine the template-based multiple reference line intra prediction in JVET-AA0120[1] and the intra prediction fusion method proposed in JVET-0137 [2]. </w:t>
      </w:r>
      <w:r w:rsidRPr="009C11A1">
        <w:rPr>
          <w:lang w:val="en-CA"/>
        </w:rPr>
        <w:t>The proposed method was implemented on top of ECM-</w:t>
      </w:r>
      <w:r>
        <w:rPr>
          <w:lang w:val="en-CA"/>
        </w:rPr>
        <w:t>5</w:t>
      </w:r>
      <w:r w:rsidRPr="009C11A1">
        <w:rPr>
          <w:lang w:val="en-CA"/>
        </w:rPr>
        <w:t xml:space="preserve">.0 software, </w:t>
      </w:r>
      <w:r>
        <w:rPr>
          <w:lang w:val="en-CA"/>
        </w:rPr>
        <w:t xml:space="preserve">and </w:t>
      </w:r>
      <w:r w:rsidRPr="009C11A1">
        <w:rPr>
          <w:lang w:val="en-CA"/>
        </w:rPr>
        <w:t>it reportedly provides Y, U, V-BD rate reduction with encoder and decoder runtime as follows:</w:t>
      </w:r>
    </w:p>
    <w:p w14:paraId="723883F2" w14:textId="3463FFE0" w:rsidR="00263398" w:rsidRPr="005B217D" w:rsidRDefault="00FC69BF" w:rsidP="00852207">
      <w:pPr>
        <w:tabs>
          <w:tab w:val="clear" w:pos="2520"/>
          <w:tab w:val="clear" w:pos="3240"/>
        </w:tabs>
        <w:rPr>
          <w:szCs w:val="22"/>
          <w:lang w:val="en-CA"/>
        </w:rPr>
      </w:pPr>
      <w:r w:rsidRPr="009C11A1">
        <w:rPr>
          <w:szCs w:val="22"/>
          <w:lang w:val="en-CA" w:eastAsia="zh-CN"/>
        </w:rPr>
        <w:t xml:space="preserve">AI: </w:t>
      </w:r>
    </w:p>
    <w:p w14:paraId="6C243DA7" w14:textId="1B7F40FC" w:rsidR="002704C0" w:rsidRDefault="00DC4C42" w:rsidP="00852207">
      <w:pPr>
        <w:pStyle w:val="Heading1"/>
        <w:rPr>
          <w:noProof/>
          <w:lang w:val="en-CA"/>
        </w:rPr>
      </w:pPr>
      <w:r>
        <w:rPr>
          <w:lang w:val="en-CA"/>
        </w:rPr>
        <w:t>Introduction</w:t>
      </w:r>
      <w:r w:rsidR="008918E1" w:rsidRPr="005B217D" w:rsidDel="008918E1">
        <w:rPr>
          <w:lang w:val="en-CA"/>
        </w:rPr>
        <w:t xml:space="preserve"> </w:t>
      </w:r>
    </w:p>
    <w:p w14:paraId="0CBEE9DB" w14:textId="116E390C" w:rsidR="008918E1" w:rsidRDefault="008918E1" w:rsidP="008918E1">
      <w:pPr>
        <w:pStyle w:val="Heading2"/>
        <w:rPr>
          <w:lang w:val="en-CA" w:eastAsia="zh-CN"/>
        </w:rPr>
      </w:pPr>
      <w:r>
        <w:rPr>
          <w:rFonts w:hint="eastAsia"/>
          <w:lang w:val="en-CA" w:eastAsia="zh-CN"/>
        </w:rPr>
        <w:t>T</w:t>
      </w:r>
      <w:r>
        <w:rPr>
          <w:lang w:val="en-CA" w:eastAsia="zh-CN"/>
        </w:rPr>
        <w:t>emplate-based multiple reference line intra prediction</w:t>
      </w:r>
    </w:p>
    <w:p w14:paraId="4C8F3762" w14:textId="489EA668" w:rsidR="00DC4C42" w:rsidRDefault="00DC4C42" w:rsidP="00DC4C42">
      <w:pPr>
        <w:rPr>
          <w:szCs w:val="22"/>
          <w:lang w:val="en-CA"/>
        </w:rPr>
      </w:pPr>
      <w:r>
        <w:rPr>
          <w:szCs w:val="22"/>
          <w:lang w:val="en-CA"/>
        </w:rPr>
        <w:t>The proposed template-based multiple reference line intra prediction (TMRL) includes the following aspects:</w:t>
      </w:r>
    </w:p>
    <w:p w14:paraId="1EAC8802" w14:textId="77777777" w:rsidR="00DC4C42" w:rsidRPr="00DC4C42" w:rsidRDefault="00DC4C42" w:rsidP="00DC4C42">
      <w:pPr>
        <w:numPr>
          <w:ilvl w:val="0"/>
          <w:numId w:val="13"/>
        </w:numPr>
        <w:rPr>
          <w:szCs w:val="22"/>
          <w:lang w:val="en-CA"/>
        </w:rPr>
      </w:pPr>
      <w:r w:rsidRPr="00DC4C42">
        <w:rPr>
          <w:szCs w:val="22"/>
          <w:lang w:val="en-CA"/>
        </w:rPr>
        <w:t>the extended reference line candidate list</w:t>
      </w:r>
      <w:r w:rsidRPr="00DC4C42">
        <w:rPr>
          <w:szCs w:val="22"/>
          <w:lang w:val="en-CA" w:eastAsia="zh-CN"/>
        </w:rPr>
        <w:t xml:space="preserve"> and the intra-prediction-mode </w:t>
      </w:r>
      <w:r w:rsidRPr="00DC4C42">
        <w:rPr>
          <w:szCs w:val="22"/>
          <w:lang w:val="en-CA"/>
        </w:rPr>
        <w:t>candidate list</w:t>
      </w:r>
      <w:r w:rsidRPr="00DC4C42">
        <w:rPr>
          <w:szCs w:val="22"/>
          <w:lang w:val="en-CA" w:eastAsia="zh-CN"/>
        </w:rPr>
        <w:t>.</w:t>
      </w:r>
    </w:p>
    <w:p w14:paraId="5BEA77A3" w14:textId="77777777" w:rsidR="00DC4C42" w:rsidRPr="00DC4C42" w:rsidRDefault="00DC4C42" w:rsidP="00DC4C42">
      <w:pPr>
        <w:tabs>
          <w:tab w:val="clear" w:pos="720"/>
        </w:tabs>
        <w:ind w:leftChars="64" w:left="141"/>
        <w:rPr>
          <w:lang w:val="en-CA" w:eastAsia="zh-CN"/>
        </w:rPr>
      </w:pPr>
      <w:r w:rsidRPr="00DC4C42">
        <w:rPr>
          <w:szCs w:val="22"/>
          <w:lang w:val="en-CA"/>
        </w:rPr>
        <w:t xml:space="preserve">The extended reference line candidate list is {1, 3, 5, 7, 12}. The restriction on CTU top row is unchanged. The size of the intra-prediction-mode candidate list is 10. The construction of the intra-prediction-mode candidate list is similar to MPM. </w:t>
      </w:r>
      <w:r w:rsidRPr="00DC4C42">
        <w:rPr>
          <w:lang w:val="en-CA" w:eastAsia="zh-CN"/>
        </w:rPr>
        <w:t>The only difference is that PLANAR mode is excluded from the proposed intra-prediction-mode candidate list.</w:t>
      </w:r>
    </w:p>
    <w:p w14:paraId="4CFC89EC" w14:textId="77777777" w:rsidR="00DC4C42" w:rsidRPr="00DC4C42" w:rsidRDefault="00DC4C42" w:rsidP="00DC4C42">
      <w:pPr>
        <w:numPr>
          <w:ilvl w:val="0"/>
          <w:numId w:val="13"/>
        </w:numPr>
        <w:rPr>
          <w:szCs w:val="22"/>
          <w:lang w:val="en-CA"/>
        </w:rPr>
      </w:pPr>
      <w:r w:rsidRPr="00DC4C42">
        <w:rPr>
          <w:szCs w:val="22"/>
          <w:lang w:val="en-CA"/>
        </w:rPr>
        <w:t>construction of the TMRL combination list.</w:t>
      </w:r>
    </w:p>
    <w:p w14:paraId="0F43F72F" w14:textId="77777777" w:rsidR="00DC4C42" w:rsidRPr="00DC4C42" w:rsidRDefault="00DC4C42" w:rsidP="00DC4C42">
      <w:pPr>
        <w:tabs>
          <w:tab w:val="clear" w:pos="720"/>
        </w:tabs>
        <w:ind w:leftChars="64" w:left="141"/>
        <w:rPr>
          <w:szCs w:val="22"/>
          <w:lang w:val="en-CA" w:eastAsia="zh-CN"/>
        </w:rPr>
      </w:pPr>
      <w:r w:rsidRPr="00DC4C42">
        <w:rPr>
          <w:szCs w:val="22"/>
          <w:lang w:val="en-CA" w:eastAsia="zh-CN"/>
        </w:rPr>
        <w:t>There are 5x10=50 combinations of the extended reference line and the allowed intra-prediction modes for a block. Since the extended reference line starts from reference line 1, the area covered by reference line 0 is used for template matching. The SAD costs over the template area (see Figure-2) are calculated between the predictions (generated by 50 combinations) and the reconstructions. Only the first 20 combinations with the least cost are pruned from the combinations in an ascending order to form the combination candidate list.</w:t>
      </w:r>
    </w:p>
    <w:p w14:paraId="3D6E6E63" w14:textId="77777777" w:rsidR="00DC4C42" w:rsidRPr="00DC4C42" w:rsidRDefault="00DC4C42" w:rsidP="00DC4C42">
      <w:pPr>
        <w:tabs>
          <w:tab w:val="clear" w:pos="720"/>
        </w:tabs>
        <w:ind w:leftChars="64" w:left="141"/>
        <w:jc w:val="center"/>
        <w:rPr>
          <w:szCs w:val="22"/>
          <w:lang w:val="en-CA" w:eastAsia="zh-CN"/>
        </w:rPr>
      </w:pPr>
      <w:r w:rsidRPr="00DC4C42">
        <w:rPr>
          <w:rFonts w:hint="eastAsia"/>
          <w:noProof/>
          <w:szCs w:val="22"/>
          <w:lang w:val="en-CA" w:eastAsia="zh-CN"/>
        </w:rPr>
        <w:lastRenderedPageBreak/>
        <w:drawing>
          <wp:inline distT="0" distB="0" distL="0" distR="0" wp14:anchorId="0EEFEBD6" wp14:editId="2537177B">
            <wp:extent cx="3070105" cy="30701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llus-Template.jpg"/>
                    <pic:cNvPicPr/>
                  </pic:nvPicPr>
                  <pic:blipFill>
                    <a:blip r:embed="rId19">
                      <a:extLst>
                        <a:ext uri="{28A0092B-C50C-407E-A947-70E740481C1C}">
                          <a14:useLocalDpi xmlns:a14="http://schemas.microsoft.com/office/drawing/2010/main" val="0"/>
                        </a:ext>
                      </a:extLst>
                    </a:blip>
                    <a:stretch>
                      <a:fillRect/>
                    </a:stretch>
                  </pic:blipFill>
                  <pic:spPr>
                    <a:xfrm>
                      <a:off x="0" y="0"/>
                      <a:ext cx="3093394" cy="3093394"/>
                    </a:xfrm>
                    <a:prstGeom prst="rect">
                      <a:avLst/>
                    </a:prstGeom>
                  </pic:spPr>
                </pic:pic>
              </a:graphicData>
            </a:graphic>
          </wp:inline>
        </w:drawing>
      </w:r>
    </w:p>
    <w:p w14:paraId="508D9B2A" w14:textId="2FD6EDAD" w:rsidR="00DC4C42" w:rsidRPr="00DC4C42" w:rsidRDefault="00DC4C42" w:rsidP="00DC4C42">
      <w:pPr>
        <w:tabs>
          <w:tab w:val="clear" w:pos="720"/>
        </w:tabs>
        <w:ind w:leftChars="64" w:left="141"/>
        <w:jc w:val="center"/>
        <w:rPr>
          <w:szCs w:val="22"/>
          <w:lang w:val="en-CA" w:eastAsia="zh-CN"/>
        </w:rPr>
      </w:pPr>
      <w:r w:rsidRPr="00DC4C42">
        <w:rPr>
          <w:rFonts w:hint="eastAsia"/>
          <w:szCs w:val="22"/>
          <w:lang w:val="en-CA" w:eastAsia="zh-CN"/>
        </w:rPr>
        <w:t>F</w:t>
      </w:r>
      <w:r w:rsidRPr="00DC4C42">
        <w:rPr>
          <w:szCs w:val="22"/>
          <w:lang w:val="en-CA" w:eastAsia="zh-CN"/>
        </w:rPr>
        <w:t>igure-</w:t>
      </w:r>
      <w:r w:rsidR="002F5509">
        <w:rPr>
          <w:szCs w:val="22"/>
          <w:lang w:val="en-CA" w:eastAsia="zh-CN"/>
        </w:rPr>
        <w:t>1</w:t>
      </w:r>
      <w:r w:rsidRPr="00DC4C42">
        <w:rPr>
          <w:szCs w:val="22"/>
          <w:lang w:val="en-CA" w:eastAsia="zh-CN"/>
        </w:rPr>
        <w:t>. Illustration of template area</w:t>
      </w:r>
    </w:p>
    <w:p w14:paraId="7E9F5291" w14:textId="77777777" w:rsidR="00DC4C42" w:rsidRDefault="00DC4C42" w:rsidP="00DC4C42">
      <w:pPr>
        <w:numPr>
          <w:ilvl w:val="0"/>
          <w:numId w:val="13"/>
        </w:numPr>
        <w:rPr>
          <w:szCs w:val="22"/>
          <w:lang w:val="en-CA"/>
        </w:rPr>
      </w:pPr>
      <w:r w:rsidRPr="00DC4C42">
        <w:rPr>
          <w:szCs w:val="22"/>
          <w:lang w:val="en-CA"/>
        </w:rPr>
        <w:t>signaling of TMRL</w:t>
      </w:r>
    </w:p>
    <w:p w14:paraId="0962C1E5" w14:textId="4FF45542" w:rsidR="00DC4C42" w:rsidRDefault="00DC4C42" w:rsidP="00DC4C42">
      <w:pPr>
        <w:tabs>
          <w:tab w:val="clear" w:pos="720"/>
        </w:tabs>
        <w:ind w:leftChars="64" w:left="141"/>
        <w:rPr>
          <w:szCs w:val="22"/>
          <w:lang w:val="en-CA" w:eastAsia="zh-CN"/>
        </w:rPr>
      </w:pPr>
      <w:r w:rsidRPr="00852207">
        <w:rPr>
          <w:szCs w:val="22"/>
          <w:lang w:val="en-CA" w:eastAsia="zh-CN"/>
        </w:rPr>
        <w:t>In ECM or VTM, MRL is always combined with the non-planar intra-prediction modes from primary MPM. When an extended reference line is selected, up to 6 context-coded bins and 3 equi-probable (EP) bins are needed to represent the MRL and MPM index. In the proposed TMRL mode, a truncated Golomb-Rice coding with a divisor 4 is employed to code selected combinations from the combination list. The binarization process and the codewords are shown in Table-2.</w:t>
      </w:r>
    </w:p>
    <w:p w14:paraId="69E60922" w14:textId="77777777" w:rsidR="002822D2" w:rsidRPr="00A462C9" w:rsidRDefault="002822D2" w:rsidP="002822D2">
      <w:pPr>
        <w:pStyle w:val="Heading2"/>
        <w:rPr>
          <w:lang w:val="en-CA"/>
        </w:rPr>
      </w:pPr>
      <w:r>
        <w:rPr>
          <w:rFonts w:hint="eastAsia"/>
          <w:lang w:val="en-CA" w:eastAsia="zh-CN"/>
        </w:rPr>
        <w:t>I</w:t>
      </w:r>
      <w:r>
        <w:rPr>
          <w:lang w:val="en-CA" w:eastAsia="zh-CN"/>
        </w:rPr>
        <w:t>ntra Prediction Fusion</w:t>
      </w:r>
    </w:p>
    <w:p w14:paraId="38F95E9B" w14:textId="77777777" w:rsidR="002822D2" w:rsidRDefault="002822D2" w:rsidP="002822D2">
      <w:pPr>
        <w:rPr>
          <w:lang w:val="en-CA"/>
        </w:rPr>
      </w:pPr>
      <w:r w:rsidRPr="009C11A1">
        <w:rPr>
          <w:lang w:val="en-CA"/>
        </w:rPr>
        <w:t xml:space="preserve">In </w:t>
      </w:r>
      <w:r>
        <w:rPr>
          <w:lang w:val="en-CA"/>
        </w:rPr>
        <w:t>JVET-AA0137</w:t>
      </w:r>
      <w:r w:rsidRPr="009C11A1">
        <w:rPr>
          <w:lang w:val="en-CA"/>
        </w:rPr>
        <w:t xml:space="preserve">, it is proposed to </w:t>
      </w:r>
      <w:r>
        <w:rPr>
          <w:lang w:val="en-CA"/>
        </w:rPr>
        <w:t xml:space="preserve">derive intra prediction by weighting intra predictions obtained from multiple reference lines represented as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fusion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line+1</m:t>
            </m:r>
          </m:sub>
        </m:sSub>
      </m:oMath>
      <w:r>
        <w:rPr>
          <w:lang w:val="en-CA"/>
        </w:rPr>
        <w:t xml:space="preserve">, 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m:t>
            </m:r>
          </m:sub>
        </m:sSub>
      </m:oMath>
      <w:r>
        <w:rPr>
          <w:lang w:val="en-CA"/>
        </w:rPr>
        <w:t xml:space="preserve"> is the intra prediction from the default reference line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line+1</m:t>
            </m:r>
          </m:sub>
        </m:sSub>
      </m:oMath>
      <w:r>
        <w:rPr>
          <w:lang w:val="en-CA"/>
        </w:rPr>
        <w:t xml:space="preserve"> </w:t>
      </w:r>
      <w:r>
        <w:rPr>
          <w:rFonts w:hint="eastAsia"/>
          <w:lang w:val="en-CA" w:eastAsia="zh-CN"/>
        </w:rPr>
        <w:t>is</w:t>
      </w:r>
      <w:r>
        <w:rPr>
          <w:lang w:val="en-CA" w:eastAsia="zh-CN"/>
        </w:rPr>
        <w:t xml:space="preserve"> the </w:t>
      </w:r>
      <w:r>
        <w:rPr>
          <w:rFonts w:hint="eastAsia"/>
          <w:lang w:val="en-CA" w:eastAsia="zh-CN"/>
        </w:rPr>
        <w:t>prediction</w:t>
      </w:r>
      <w:r>
        <w:rPr>
          <w:lang w:val="en-CA" w:eastAsia="zh-CN"/>
        </w:rPr>
        <w:t xml:space="preserve"> from the line above the default reference line. In the experiment, the weights are set as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r>
          <w:rPr>
            <w:rFonts w:ascii="Cambria Math" w:hAnsi="Cambria Math"/>
            <w:lang w:val="en-CA"/>
          </w:rPr>
          <m:t>=3/4</m:t>
        </m:r>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=1/4</m:t>
        </m:r>
      </m:oMath>
      <w:r>
        <w:rPr>
          <w:lang w:val="en-CA"/>
        </w:rPr>
        <w:t>.</w:t>
      </w:r>
    </w:p>
    <w:p w14:paraId="51AF2072" w14:textId="77777777" w:rsidR="002822D2" w:rsidRDefault="002822D2" w:rsidP="002822D2">
      <w:pPr>
        <w:spacing w:after="120"/>
      </w:pPr>
      <w:r>
        <w:rPr>
          <w:lang w:val="en-CA" w:eastAsia="zh-CN"/>
        </w:rPr>
        <w:t xml:space="preserve">The proposed intra prediction fusion is applied to luma blocks </w:t>
      </w:r>
      <w:r>
        <w:rPr>
          <w:lang w:val="en-CA"/>
        </w:rPr>
        <w:t>when angular intra mode has non-integer slope and the block size is greater than 16,</w:t>
      </w:r>
      <w:r>
        <w:rPr>
          <w:lang w:val="en-CA" w:eastAsia="zh-CN"/>
        </w:rPr>
        <w:t xml:space="preserve"> it is used with MRL and not applied for ISP coded blocks.</w:t>
      </w:r>
    </w:p>
    <w:p w14:paraId="467CA1D6" w14:textId="77777777" w:rsidR="002822D2" w:rsidRDefault="002822D2" w:rsidP="002822D2">
      <w:pPr>
        <w:keepNext/>
        <w:jc w:val="center"/>
      </w:pPr>
      <w:r>
        <w:rPr>
          <w:noProof/>
        </w:rPr>
        <w:lastRenderedPageBreak/>
        <w:drawing>
          <wp:inline distT="0" distB="0" distL="0" distR="0" wp14:anchorId="1E1998CC" wp14:editId="57078228">
            <wp:extent cx="3625702" cy="2926902"/>
            <wp:effectExtent l="0" t="0" r="0" b="6985"/>
            <wp:docPr id="30" name="Picture 2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pic:cNvPicPr/>
                  </pic:nvPicPr>
                  <pic:blipFill>
                    <a:blip r:embed="rId20"/>
                    <a:stretch>
                      <a:fillRect/>
                    </a:stretch>
                  </pic:blipFill>
                  <pic:spPr>
                    <a:xfrm>
                      <a:off x="0" y="0"/>
                      <a:ext cx="3634310" cy="2933851"/>
                    </a:xfrm>
                    <a:prstGeom prst="rect">
                      <a:avLst/>
                    </a:prstGeom>
                  </pic:spPr>
                </pic:pic>
              </a:graphicData>
            </a:graphic>
          </wp:inline>
        </w:drawing>
      </w:r>
    </w:p>
    <w:p w14:paraId="36596237" w14:textId="4903F87D" w:rsidR="002822D2" w:rsidRPr="004A7DAA" w:rsidRDefault="002822D2" w:rsidP="002822D2">
      <w:pPr>
        <w:jc w:val="center"/>
        <w:rPr>
          <w:szCs w:val="22"/>
          <w:lang w:val="en-CA"/>
        </w:rPr>
      </w:pPr>
      <w:r w:rsidRPr="00A325B3">
        <w:t>Figure</w:t>
      </w:r>
      <w:r w:rsidR="002F5509">
        <w:t>-2</w:t>
      </w:r>
      <w:r>
        <w:t>.</w:t>
      </w:r>
      <w:r w:rsidRPr="00A325B3">
        <w:t xml:space="preserve"> </w:t>
      </w:r>
      <w:r>
        <w:t>Reference lines for current CU</w:t>
      </w:r>
    </w:p>
    <w:p w14:paraId="6B77B19F" w14:textId="77777777" w:rsidR="002822D2" w:rsidRPr="00FA0CEA" w:rsidRDefault="002822D2" w:rsidP="00852207">
      <w:pPr>
        <w:tabs>
          <w:tab w:val="clear" w:pos="720"/>
        </w:tabs>
        <w:ind w:leftChars="64" w:left="141"/>
        <w:rPr>
          <w:szCs w:val="22"/>
          <w:lang w:val="en-CA"/>
        </w:rPr>
      </w:pPr>
    </w:p>
    <w:p w14:paraId="47400847" w14:textId="77777777" w:rsidR="002704C0" w:rsidRPr="009C11A1" w:rsidRDefault="002704C0" w:rsidP="002704C0">
      <w:pPr>
        <w:pStyle w:val="Heading1"/>
        <w:rPr>
          <w:lang w:val="en-CA"/>
        </w:rPr>
      </w:pPr>
      <w:r w:rsidRPr="009C11A1">
        <w:rPr>
          <w:lang w:val="en-CA"/>
        </w:rPr>
        <w:t>Proposed method</w:t>
      </w:r>
    </w:p>
    <w:p w14:paraId="7E8A585E" w14:textId="5FB71D68" w:rsidR="002704C0" w:rsidRPr="00A35840" w:rsidRDefault="00A35840">
      <w:pPr>
        <w:rPr>
          <w:lang w:val="en-CA"/>
        </w:rPr>
      </w:pPr>
      <w:r w:rsidRPr="009C11A1">
        <w:rPr>
          <w:lang w:val="en-CA"/>
        </w:rPr>
        <w:t xml:space="preserve">In the contribution, it is proposed to </w:t>
      </w:r>
      <w:r>
        <w:rPr>
          <w:lang w:val="en-CA"/>
        </w:rPr>
        <w:t>combine the intra prediction fusion and the TMRL</w:t>
      </w:r>
      <w:r>
        <w:rPr>
          <w:lang w:val="en-CA" w:eastAsia="zh-CN"/>
        </w:rPr>
        <w:t>. In the combined test, the encoder-side changes in JVET-AA0120 are not applied.</w:t>
      </w:r>
    </w:p>
    <w:p w14:paraId="1C6D006B" w14:textId="77777777" w:rsidR="002704C0" w:rsidRPr="009C11A1" w:rsidRDefault="002704C0" w:rsidP="002704C0">
      <w:pPr>
        <w:pStyle w:val="Heading1"/>
        <w:rPr>
          <w:lang w:val="en-CA"/>
        </w:rPr>
      </w:pPr>
      <w:r w:rsidRPr="009C11A1">
        <w:rPr>
          <w:lang w:val="en-CA"/>
        </w:rPr>
        <w:t>Results</w:t>
      </w:r>
    </w:p>
    <w:p w14:paraId="1CB5BC80" w14:textId="1B2D19A1" w:rsidR="002704C0" w:rsidRPr="009C11A1" w:rsidRDefault="002704C0" w:rsidP="002704C0">
      <w:pPr>
        <w:rPr>
          <w:lang w:val="en-CA"/>
        </w:rPr>
      </w:pPr>
      <w:r w:rsidRPr="009C11A1">
        <w:rPr>
          <w:lang w:val="en-CA"/>
        </w:rPr>
        <w:t>The proposed method is implemented on top of ECM-</w:t>
      </w:r>
      <w:r w:rsidR="00D10699">
        <w:rPr>
          <w:lang w:val="en-CA"/>
        </w:rPr>
        <w:t>5</w:t>
      </w:r>
      <w:r w:rsidRPr="009C11A1">
        <w:rPr>
          <w:lang w:val="en-CA"/>
        </w:rPr>
        <w:t xml:space="preserve">.0. The test simulations were conducted using the Common Test Conditions as defined in [3]. Test results for </w:t>
      </w:r>
      <w:r w:rsidR="0097419A">
        <w:rPr>
          <w:lang w:val="en-CA"/>
        </w:rPr>
        <w:t>AI</w:t>
      </w:r>
      <w:r w:rsidRPr="009C11A1">
        <w:rPr>
          <w:lang w:val="en-CA"/>
        </w:rPr>
        <w:t xml:space="preserve"> configuration are summarized in the following tables. More detailed results can be found in the attached spreadsheets.</w:t>
      </w:r>
    </w:p>
    <w:tbl>
      <w:tblPr>
        <w:tblW w:w="6360" w:type="dxa"/>
        <w:jc w:val="center"/>
        <w:tblLook w:val="04A0" w:firstRow="1" w:lastRow="0" w:firstColumn="1" w:lastColumn="0" w:noHBand="0" w:noVBand="1"/>
      </w:tblPr>
      <w:tblGrid>
        <w:gridCol w:w="1060"/>
        <w:gridCol w:w="1144"/>
        <w:gridCol w:w="1143"/>
        <w:gridCol w:w="1143"/>
        <w:gridCol w:w="935"/>
        <w:gridCol w:w="935"/>
      </w:tblGrid>
      <w:tr w:rsidR="00DC4C42" w:rsidRPr="00DC4C42" w14:paraId="61126833" w14:textId="77777777" w:rsidTr="00852207">
        <w:trPr>
          <w:trHeight w:val="255"/>
          <w:jc w:val="center"/>
        </w:trPr>
        <w:tc>
          <w:tcPr>
            <w:tcW w:w="1060" w:type="dxa"/>
            <w:tcBorders>
              <w:top w:val="nil"/>
              <w:left w:val="nil"/>
              <w:bottom w:val="nil"/>
              <w:right w:val="nil"/>
            </w:tcBorders>
            <w:shd w:val="clear" w:color="auto" w:fill="auto"/>
            <w:noWrap/>
            <w:vAlign w:val="center"/>
            <w:hideMark/>
          </w:tcPr>
          <w:p w14:paraId="3EE7A74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08B4F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C42">
              <w:rPr>
                <w:rFonts w:ascii="Arial" w:hAnsi="Arial" w:cs="Arial"/>
                <w:b/>
                <w:bCs/>
                <w:color w:val="000000"/>
                <w:sz w:val="18"/>
                <w:szCs w:val="18"/>
                <w:lang w:eastAsia="zh-CN"/>
              </w:rPr>
              <w:t xml:space="preserve">All Intra Main 10 </w:t>
            </w:r>
          </w:p>
        </w:tc>
      </w:tr>
      <w:tr w:rsidR="00DC4C42" w:rsidRPr="00DC4C42" w14:paraId="4A54B73A" w14:textId="77777777" w:rsidTr="00852207">
        <w:trPr>
          <w:trHeight w:val="255"/>
          <w:jc w:val="center"/>
        </w:trPr>
        <w:tc>
          <w:tcPr>
            <w:tcW w:w="1060" w:type="dxa"/>
            <w:tcBorders>
              <w:top w:val="nil"/>
              <w:left w:val="nil"/>
              <w:bottom w:val="nil"/>
              <w:right w:val="nil"/>
            </w:tcBorders>
            <w:shd w:val="clear" w:color="auto" w:fill="auto"/>
            <w:noWrap/>
            <w:vAlign w:val="center"/>
            <w:hideMark/>
          </w:tcPr>
          <w:p w14:paraId="1A3466E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75BDDB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C42">
              <w:rPr>
                <w:rFonts w:ascii="Arial" w:hAnsi="Arial" w:cs="Arial"/>
                <w:b/>
                <w:bCs/>
                <w:color w:val="000000"/>
                <w:sz w:val="18"/>
                <w:szCs w:val="18"/>
                <w:lang w:eastAsia="zh-CN"/>
              </w:rPr>
              <w:t>Over ECM-5.0</w:t>
            </w:r>
          </w:p>
        </w:tc>
      </w:tr>
      <w:tr w:rsidR="00DC4C42" w:rsidRPr="00DC4C42" w14:paraId="76DD90CA" w14:textId="77777777" w:rsidTr="00852207">
        <w:trPr>
          <w:trHeight w:val="255"/>
          <w:jc w:val="center"/>
        </w:trPr>
        <w:tc>
          <w:tcPr>
            <w:tcW w:w="1060" w:type="dxa"/>
            <w:tcBorders>
              <w:top w:val="nil"/>
              <w:left w:val="nil"/>
              <w:bottom w:val="nil"/>
              <w:right w:val="nil"/>
            </w:tcBorders>
            <w:shd w:val="clear" w:color="auto" w:fill="auto"/>
            <w:noWrap/>
            <w:vAlign w:val="center"/>
            <w:hideMark/>
          </w:tcPr>
          <w:p w14:paraId="2F06037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4BEB196"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2AF8F6C"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1E0A75"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F841DD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A78C9AC"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DecT</w:t>
            </w:r>
          </w:p>
        </w:tc>
      </w:tr>
      <w:tr w:rsidR="00DC4C42" w:rsidRPr="00DC4C42" w14:paraId="0C22AF2E" w14:textId="77777777" w:rsidTr="0085220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08964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794C0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716576A9"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C86295A"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21ED5A8F"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110%</w:t>
            </w:r>
          </w:p>
        </w:tc>
        <w:tc>
          <w:tcPr>
            <w:tcW w:w="935" w:type="dxa"/>
            <w:tcBorders>
              <w:top w:val="nil"/>
              <w:left w:val="nil"/>
              <w:bottom w:val="nil"/>
              <w:right w:val="single" w:sz="8" w:space="0" w:color="auto"/>
            </w:tcBorders>
            <w:shd w:val="clear" w:color="auto" w:fill="auto"/>
            <w:noWrap/>
            <w:vAlign w:val="center"/>
            <w:hideMark/>
          </w:tcPr>
          <w:p w14:paraId="29B7D2E7"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103%</w:t>
            </w:r>
          </w:p>
        </w:tc>
      </w:tr>
      <w:tr w:rsidR="00DC4C42" w:rsidRPr="00DC4C42" w14:paraId="4E656B77" w14:textId="77777777" w:rsidTr="008522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A72139"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B2535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332E21A"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218E89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09EFCCE"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1E556DE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#DIV/0!</w:t>
            </w:r>
          </w:p>
        </w:tc>
      </w:tr>
      <w:tr w:rsidR="00DC4C42" w:rsidRPr="00DC4C42" w14:paraId="69674EF4" w14:textId="77777777" w:rsidTr="008522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8917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650746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178E0017"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3DA62B1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2ACF650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109%</w:t>
            </w:r>
          </w:p>
        </w:tc>
        <w:tc>
          <w:tcPr>
            <w:tcW w:w="935" w:type="dxa"/>
            <w:tcBorders>
              <w:top w:val="nil"/>
              <w:left w:val="nil"/>
              <w:bottom w:val="nil"/>
              <w:right w:val="single" w:sz="8" w:space="0" w:color="auto"/>
            </w:tcBorders>
            <w:shd w:val="clear" w:color="auto" w:fill="auto"/>
            <w:noWrap/>
            <w:vAlign w:val="center"/>
            <w:hideMark/>
          </w:tcPr>
          <w:p w14:paraId="71627675"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104%</w:t>
            </w:r>
          </w:p>
        </w:tc>
      </w:tr>
      <w:tr w:rsidR="00DC4C42" w:rsidRPr="00DC4C42" w14:paraId="435DD4F0" w14:textId="77777777" w:rsidTr="008522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4CC89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B7726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17AC28A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429FEBE7"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0C29CBF9"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107%</w:t>
            </w:r>
          </w:p>
        </w:tc>
        <w:tc>
          <w:tcPr>
            <w:tcW w:w="935" w:type="dxa"/>
            <w:tcBorders>
              <w:top w:val="nil"/>
              <w:left w:val="nil"/>
              <w:bottom w:val="nil"/>
              <w:right w:val="single" w:sz="8" w:space="0" w:color="auto"/>
            </w:tcBorders>
            <w:shd w:val="clear" w:color="auto" w:fill="auto"/>
            <w:noWrap/>
            <w:vAlign w:val="center"/>
            <w:hideMark/>
          </w:tcPr>
          <w:p w14:paraId="3A82B4C6"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110%</w:t>
            </w:r>
          </w:p>
        </w:tc>
      </w:tr>
      <w:tr w:rsidR="00DC4C42" w:rsidRPr="00DC4C42" w14:paraId="3CC68B32" w14:textId="77777777" w:rsidTr="008522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BEE03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2AB8BF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5A249C1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4984A1F4"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0045DCB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109%</w:t>
            </w:r>
          </w:p>
        </w:tc>
        <w:tc>
          <w:tcPr>
            <w:tcW w:w="935" w:type="dxa"/>
            <w:tcBorders>
              <w:top w:val="nil"/>
              <w:left w:val="nil"/>
              <w:bottom w:val="nil"/>
              <w:right w:val="single" w:sz="8" w:space="0" w:color="auto"/>
            </w:tcBorders>
            <w:shd w:val="clear" w:color="auto" w:fill="auto"/>
            <w:noWrap/>
            <w:vAlign w:val="center"/>
            <w:hideMark/>
          </w:tcPr>
          <w:p w14:paraId="13303DFB"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103%</w:t>
            </w:r>
          </w:p>
        </w:tc>
      </w:tr>
      <w:tr w:rsidR="00DC4C42" w:rsidRPr="00DC4C42" w14:paraId="1DCDED91" w14:textId="77777777" w:rsidTr="0085220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D6CA2C"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C42">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616D133"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4647BD9"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DF02A7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1991F8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A5A1B15"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#DIV/0!</w:t>
            </w:r>
          </w:p>
        </w:tc>
      </w:tr>
      <w:tr w:rsidR="00DC4C42" w:rsidRPr="00DC4C42" w14:paraId="799576E6" w14:textId="77777777" w:rsidTr="0085220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1F9910"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73FB5EE"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4233515D"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45C54636"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-0.25%</w:t>
            </w:r>
          </w:p>
        </w:tc>
        <w:tc>
          <w:tcPr>
            <w:tcW w:w="935" w:type="dxa"/>
            <w:tcBorders>
              <w:top w:val="single" w:sz="8" w:space="0" w:color="auto"/>
              <w:left w:val="nil"/>
              <w:bottom w:val="nil"/>
              <w:right w:val="nil"/>
            </w:tcBorders>
            <w:shd w:val="clear" w:color="auto" w:fill="auto"/>
            <w:noWrap/>
            <w:vAlign w:val="center"/>
            <w:hideMark/>
          </w:tcPr>
          <w:p w14:paraId="3C234EE6"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106%</w:t>
            </w:r>
          </w:p>
        </w:tc>
        <w:tc>
          <w:tcPr>
            <w:tcW w:w="935" w:type="dxa"/>
            <w:tcBorders>
              <w:top w:val="single" w:sz="8" w:space="0" w:color="auto"/>
              <w:left w:val="nil"/>
              <w:bottom w:val="nil"/>
              <w:right w:val="single" w:sz="8" w:space="0" w:color="auto"/>
            </w:tcBorders>
            <w:shd w:val="clear" w:color="auto" w:fill="auto"/>
            <w:noWrap/>
            <w:vAlign w:val="center"/>
            <w:hideMark/>
          </w:tcPr>
          <w:p w14:paraId="319699C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109%</w:t>
            </w:r>
          </w:p>
        </w:tc>
      </w:tr>
      <w:tr w:rsidR="00DC4C42" w:rsidRPr="00DC4C42" w14:paraId="251FFE04" w14:textId="77777777" w:rsidTr="008522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FF441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CE363BE"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1A765DF2"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49FED24C"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4FD68F17"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14:paraId="753C4B41" w14:textId="77777777" w:rsidR="00DC4C42" w:rsidRPr="00DC4C42" w:rsidRDefault="00DC4C42" w:rsidP="00DC4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C42">
              <w:rPr>
                <w:rFonts w:ascii="Arial" w:hAnsi="Arial" w:cs="Arial"/>
                <w:color w:val="000000"/>
                <w:sz w:val="18"/>
                <w:szCs w:val="18"/>
                <w:lang w:eastAsia="zh-CN"/>
              </w:rPr>
              <w:t>105%</w:t>
            </w:r>
          </w:p>
        </w:tc>
      </w:tr>
    </w:tbl>
    <w:p w14:paraId="030D33C0" w14:textId="77777777" w:rsidR="002704C0" w:rsidRPr="009C11A1" w:rsidRDefault="002704C0" w:rsidP="002704C0">
      <w:pPr>
        <w:rPr>
          <w:lang w:val="en-CA"/>
        </w:rPr>
      </w:pPr>
    </w:p>
    <w:p w14:paraId="5C424143" w14:textId="63C2EEB2" w:rsidR="002704C0" w:rsidRDefault="00DC4C42" w:rsidP="00DC4C42">
      <w:pPr>
        <w:pStyle w:val="Heading1"/>
        <w:rPr>
          <w:lang w:val="en-CA" w:eastAsia="zh-CN"/>
        </w:rPr>
      </w:pPr>
      <w:r>
        <w:rPr>
          <w:rFonts w:hint="eastAsia"/>
          <w:lang w:val="en-CA" w:eastAsia="zh-CN"/>
        </w:rPr>
        <w:t>C</w:t>
      </w:r>
      <w:r>
        <w:rPr>
          <w:lang w:val="en-CA" w:eastAsia="zh-CN"/>
        </w:rPr>
        <w:t>onclusions</w:t>
      </w:r>
    </w:p>
    <w:p w14:paraId="73B78A6F" w14:textId="77777777" w:rsidR="00A35840" w:rsidRPr="00A462C9" w:rsidRDefault="00A35840" w:rsidP="00A35840">
      <w:pPr>
        <w:rPr>
          <w:lang w:val="en-CA" w:eastAsia="zh-CN"/>
        </w:rPr>
      </w:pPr>
      <w:r>
        <w:rPr>
          <w:lang w:val="en-CA" w:eastAsia="zh-CN"/>
        </w:rPr>
        <w:t>The proposed combined test of TMRL and the intra prediction fusion shows an additive coding gain. It is proposed to study this method in EE2.</w:t>
      </w:r>
    </w:p>
    <w:p w14:paraId="1487F2E7" w14:textId="77777777" w:rsidR="002704C0" w:rsidRPr="009C11A1" w:rsidRDefault="002704C0" w:rsidP="002704C0">
      <w:pPr>
        <w:pStyle w:val="Heading1"/>
        <w:rPr>
          <w:rFonts w:eastAsiaTheme="minorEastAsia"/>
          <w:lang w:val="en-CA"/>
        </w:rPr>
      </w:pPr>
      <w:r w:rsidRPr="009C11A1">
        <w:rPr>
          <w:rFonts w:eastAsiaTheme="minorEastAsia"/>
          <w:lang w:val="en-CA"/>
        </w:rPr>
        <w:lastRenderedPageBreak/>
        <w:t>References</w:t>
      </w:r>
    </w:p>
    <w:p w14:paraId="3E7E4D14" w14:textId="36EBEE43" w:rsidR="002704C0" w:rsidRPr="009C11A1" w:rsidRDefault="00657DCF" w:rsidP="002704C0">
      <w:pPr>
        <w:pStyle w:val="ListParagraph"/>
        <w:numPr>
          <w:ilvl w:val="0"/>
          <w:numId w:val="12"/>
        </w:numPr>
        <w:tabs>
          <w:tab w:val="clear" w:pos="360"/>
        </w:tabs>
        <w:overflowPunct/>
        <w:autoSpaceDE/>
        <w:adjustRightInd/>
        <w:spacing w:before="0"/>
        <w:ind w:firstLineChars="0"/>
        <w:contextualSpacing/>
        <w:rPr>
          <w:lang w:val="en-CA"/>
        </w:rPr>
      </w:pPr>
      <w:bookmarkStart w:id="0" w:name="_Ref75786603"/>
      <w:r>
        <w:rPr>
          <w:lang w:val="en-CA"/>
        </w:rPr>
        <w:t>Luhang Xu, Yue Yu, Haoping Yu, Dong Wang “Non-EE2: Template-based multiple reference line intra prediction</w:t>
      </w:r>
      <w:r w:rsidR="00B46062">
        <w:rPr>
          <w:lang w:val="en-CA"/>
        </w:rPr>
        <w:t>,</w:t>
      </w:r>
      <w:r>
        <w:rPr>
          <w:lang w:val="en-CA"/>
        </w:rPr>
        <w:t>” JVET-AA0120, July. 2022</w:t>
      </w:r>
      <w:r w:rsidR="002704C0" w:rsidRPr="009C11A1">
        <w:rPr>
          <w:lang w:val="en-CA"/>
        </w:rPr>
        <w:t>.</w:t>
      </w:r>
    </w:p>
    <w:p w14:paraId="0E5FC4D8" w14:textId="07CE2C08" w:rsidR="002704C0" w:rsidRPr="009C11A1" w:rsidRDefault="00657DCF" w:rsidP="002704C0">
      <w:pPr>
        <w:pStyle w:val="ListParagraph"/>
        <w:numPr>
          <w:ilvl w:val="0"/>
          <w:numId w:val="12"/>
        </w:numPr>
        <w:overflowPunct/>
        <w:autoSpaceDE/>
        <w:adjustRightInd/>
        <w:spacing w:before="0"/>
        <w:ind w:firstLineChars="0"/>
        <w:contextualSpacing/>
        <w:rPr>
          <w:lang w:val="en-CA"/>
        </w:rPr>
      </w:pPr>
      <w:r>
        <w:rPr>
          <w:szCs w:val="22"/>
          <w:lang w:val="en-CA"/>
        </w:rPr>
        <w:t xml:space="preserve">Keming Cao, Vadim Seregin, Marta </w:t>
      </w:r>
      <w:r w:rsidRPr="00852207">
        <w:rPr>
          <w:lang w:val="en-CA"/>
        </w:rPr>
        <w:t>Karczewicz</w:t>
      </w:r>
      <w:r>
        <w:rPr>
          <w:lang w:val="en-CA"/>
        </w:rPr>
        <w:t>, “Non-EE2: Intra Prediction Fusion</w:t>
      </w:r>
      <w:r w:rsidR="00B46062">
        <w:rPr>
          <w:lang w:val="en-CA"/>
        </w:rPr>
        <w:t>,</w:t>
      </w:r>
      <w:r>
        <w:rPr>
          <w:lang w:val="en-CA"/>
        </w:rPr>
        <w:t>” JVET-AA0137, July. 2022</w:t>
      </w:r>
      <w:r w:rsidR="002704C0" w:rsidRPr="009C11A1">
        <w:rPr>
          <w:lang w:val="en-CA"/>
        </w:rPr>
        <w:t>.</w:t>
      </w:r>
    </w:p>
    <w:p w14:paraId="0B0F5E60" w14:textId="7EDFE0F3" w:rsidR="002704C0" w:rsidRPr="009C11A1" w:rsidRDefault="002704C0" w:rsidP="00852207">
      <w:pPr>
        <w:pStyle w:val="ListParagraph"/>
        <w:numPr>
          <w:ilvl w:val="0"/>
          <w:numId w:val="12"/>
        </w:numPr>
        <w:tabs>
          <w:tab w:val="clear" w:pos="360"/>
          <w:tab w:val="clear" w:pos="3240"/>
        </w:tabs>
        <w:overflowPunct/>
        <w:autoSpaceDE/>
        <w:adjustRightInd/>
        <w:spacing w:before="0"/>
        <w:ind w:firstLineChars="0"/>
        <w:contextualSpacing/>
        <w:rPr>
          <w:lang w:val="en-CA"/>
        </w:rPr>
      </w:pPr>
      <w:bookmarkStart w:id="1" w:name="_Ref83737136"/>
      <w:r w:rsidRPr="009C11A1">
        <w:rPr>
          <w:lang w:val="en-CA"/>
        </w:rPr>
        <w:t>Marta Karczewicz, Yan Ye,</w:t>
      </w:r>
      <w:r w:rsidR="00B46062">
        <w:rPr>
          <w:lang w:val="en-CA"/>
        </w:rPr>
        <w:t xml:space="preserve"> </w:t>
      </w:r>
      <w:r w:rsidRPr="009C11A1">
        <w:rPr>
          <w:lang w:val="en-CA"/>
        </w:rPr>
        <w:t>"Common test conditions and evaluation procedures for enhanced compression tool testing," JVET-Y2017, Jan. 2022.</w:t>
      </w:r>
      <w:bookmarkEnd w:id="0"/>
      <w:bookmarkEnd w:id="1"/>
    </w:p>
    <w:p w14:paraId="1539A21D" w14:textId="799E54A3"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9C1F90C" w14:textId="4E3E06F4" w:rsidR="00F10A08" w:rsidRPr="00F10A08" w:rsidRDefault="00F10A08"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5AF590D4" w:rsidR="00342FF4" w:rsidRPr="005B217D" w:rsidRDefault="00291061"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A7589" w14:textId="77777777" w:rsidR="00E35D8F" w:rsidRDefault="00E35D8F">
      <w:r>
        <w:separator/>
      </w:r>
    </w:p>
  </w:endnote>
  <w:endnote w:type="continuationSeparator" w:id="0">
    <w:p w14:paraId="0CD539C8" w14:textId="77777777" w:rsidR="00E35D8F" w:rsidRDefault="00E35D8F">
      <w:r>
        <w:continuationSeparator/>
      </w:r>
    </w:p>
  </w:endnote>
  <w:endnote w:type="continuationNotice" w:id="1">
    <w:p w14:paraId="548507EE" w14:textId="77777777" w:rsidR="00E35D8F" w:rsidRDefault="00E35D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F5B4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3222">
      <w:rPr>
        <w:rStyle w:val="PageNumber"/>
        <w:noProof/>
      </w:rPr>
      <w:t>2022-07-18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D174" w14:textId="77777777" w:rsidR="00E35D8F" w:rsidRDefault="00E35D8F">
      <w:r>
        <w:separator/>
      </w:r>
    </w:p>
  </w:footnote>
  <w:footnote w:type="continuationSeparator" w:id="0">
    <w:p w14:paraId="097CE04E" w14:textId="77777777" w:rsidR="00E35D8F" w:rsidRDefault="00E35D8F">
      <w:r>
        <w:continuationSeparator/>
      </w:r>
    </w:p>
  </w:footnote>
  <w:footnote w:type="continuationNotice" w:id="1">
    <w:p w14:paraId="55A47A0E" w14:textId="77777777" w:rsidR="00E35D8F" w:rsidRDefault="00E35D8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4110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72317">
    <w:abstractNumId w:val="11"/>
  </w:num>
  <w:num w:numId="3" w16cid:durableId="1983197451">
    <w:abstractNumId w:val="9"/>
  </w:num>
  <w:num w:numId="4" w16cid:durableId="1005863309">
    <w:abstractNumId w:val="6"/>
  </w:num>
  <w:num w:numId="5" w16cid:durableId="1982689469">
    <w:abstractNumId w:val="7"/>
  </w:num>
  <w:num w:numId="6" w16cid:durableId="515464948">
    <w:abstractNumId w:val="4"/>
  </w:num>
  <w:num w:numId="7" w16cid:durableId="468790421">
    <w:abstractNumId w:val="5"/>
  </w:num>
  <w:num w:numId="8" w16cid:durableId="805437571">
    <w:abstractNumId w:val="4"/>
  </w:num>
  <w:num w:numId="9" w16cid:durableId="1639408563">
    <w:abstractNumId w:val="1"/>
  </w:num>
  <w:num w:numId="10" w16cid:durableId="1232472805">
    <w:abstractNumId w:val="3"/>
  </w:num>
  <w:num w:numId="11" w16cid:durableId="1462840022">
    <w:abstractNumId w:val="2"/>
  </w:num>
  <w:num w:numId="12" w16cid:durableId="8576191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885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69"/>
    <w:rsid w:val="000308A3"/>
    <w:rsid w:val="000347EB"/>
    <w:rsid w:val="00035F1F"/>
    <w:rsid w:val="0004543A"/>
    <w:rsid w:val="000458BC"/>
    <w:rsid w:val="00045C41"/>
    <w:rsid w:val="00046C03"/>
    <w:rsid w:val="00065039"/>
    <w:rsid w:val="0007614F"/>
    <w:rsid w:val="0007704F"/>
    <w:rsid w:val="00077338"/>
    <w:rsid w:val="00081398"/>
    <w:rsid w:val="00084393"/>
    <w:rsid w:val="000865E1"/>
    <w:rsid w:val="00090A38"/>
    <w:rsid w:val="00092AF4"/>
    <w:rsid w:val="00094479"/>
    <w:rsid w:val="000962AC"/>
    <w:rsid w:val="000B0C0F"/>
    <w:rsid w:val="000B1C6B"/>
    <w:rsid w:val="000B4142"/>
    <w:rsid w:val="000B4FF9"/>
    <w:rsid w:val="000C09AC"/>
    <w:rsid w:val="000C228D"/>
    <w:rsid w:val="000C2BAA"/>
    <w:rsid w:val="000C5F4C"/>
    <w:rsid w:val="000D6BB5"/>
    <w:rsid w:val="000D7D37"/>
    <w:rsid w:val="000E00F3"/>
    <w:rsid w:val="000F158C"/>
    <w:rsid w:val="000F1705"/>
    <w:rsid w:val="00102F3D"/>
    <w:rsid w:val="00103995"/>
    <w:rsid w:val="001057A4"/>
    <w:rsid w:val="001078D7"/>
    <w:rsid w:val="00110B12"/>
    <w:rsid w:val="0011777E"/>
    <w:rsid w:val="00124E38"/>
    <w:rsid w:val="0012580B"/>
    <w:rsid w:val="00131F90"/>
    <w:rsid w:val="0013458C"/>
    <w:rsid w:val="0013526E"/>
    <w:rsid w:val="00146152"/>
    <w:rsid w:val="0014643D"/>
    <w:rsid w:val="00155526"/>
    <w:rsid w:val="001610BC"/>
    <w:rsid w:val="001656C8"/>
    <w:rsid w:val="00171371"/>
    <w:rsid w:val="00173DF2"/>
    <w:rsid w:val="00175A24"/>
    <w:rsid w:val="00187E58"/>
    <w:rsid w:val="001A297E"/>
    <w:rsid w:val="001A368E"/>
    <w:rsid w:val="001A7329"/>
    <w:rsid w:val="001A792F"/>
    <w:rsid w:val="001A7CD9"/>
    <w:rsid w:val="001B4E28"/>
    <w:rsid w:val="001B61B9"/>
    <w:rsid w:val="001C2EC8"/>
    <w:rsid w:val="001C3525"/>
    <w:rsid w:val="001C3AFB"/>
    <w:rsid w:val="001D07F0"/>
    <w:rsid w:val="001D1BD2"/>
    <w:rsid w:val="001E0248"/>
    <w:rsid w:val="001E02BE"/>
    <w:rsid w:val="001E3222"/>
    <w:rsid w:val="001E3B37"/>
    <w:rsid w:val="001E519E"/>
    <w:rsid w:val="001F1ACE"/>
    <w:rsid w:val="001F2594"/>
    <w:rsid w:val="001F6A5E"/>
    <w:rsid w:val="00201255"/>
    <w:rsid w:val="002055A6"/>
    <w:rsid w:val="00206460"/>
    <w:rsid w:val="002069B4"/>
    <w:rsid w:val="00215DFC"/>
    <w:rsid w:val="00220B14"/>
    <w:rsid w:val="00221110"/>
    <w:rsid w:val="002212DF"/>
    <w:rsid w:val="00222CD4"/>
    <w:rsid w:val="00225016"/>
    <w:rsid w:val="002253CA"/>
    <w:rsid w:val="002264A6"/>
    <w:rsid w:val="00227BA7"/>
    <w:rsid w:val="0023011C"/>
    <w:rsid w:val="002375C1"/>
    <w:rsid w:val="00243C13"/>
    <w:rsid w:val="00244D11"/>
    <w:rsid w:val="0024533B"/>
    <w:rsid w:val="00247E1E"/>
    <w:rsid w:val="00252913"/>
    <w:rsid w:val="00263398"/>
    <w:rsid w:val="00263B99"/>
    <w:rsid w:val="002647D8"/>
    <w:rsid w:val="00264C04"/>
    <w:rsid w:val="00266F06"/>
    <w:rsid w:val="002704C0"/>
    <w:rsid w:val="00275BCF"/>
    <w:rsid w:val="00280613"/>
    <w:rsid w:val="002822D2"/>
    <w:rsid w:val="00291061"/>
    <w:rsid w:val="00291E36"/>
    <w:rsid w:val="00292257"/>
    <w:rsid w:val="00296A41"/>
    <w:rsid w:val="002A54E0"/>
    <w:rsid w:val="002B1595"/>
    <w:rsid w:val="002B1753"/>
    <w:rsid w:val="002B191D"/>
    <w:rsid w:val="002B2E83"/>
    <w:rsid w:val="002B3EE8"/>
    <w:rsid w:val="002B5A3D"/>
    <w:rsid w:val="002C068B"/>
    <w:rsid w:val="002D0AF6"/>
    <w:rsid w:val="002D3F0B"/>
    <w:rsid w:val="002E05CF"/>
    <w:rsid w:val="002E0851"/>
    <w:rsid w:val="002F164D"/>
    <w:rsid w:val="002F5509"/>
    <w:rsid w:val="003021BC"/>
    <w:rsid w:val="00305BB8"/>
    <w:rsid w:val="00306206"/>
    <w:rsid w:val="00317D85"/>
    <w:rsid w:val="00321135"/>
    <w:rsid w:val="00327C56"/>
    <w:rsid w:val="003315A1"/>
    <w:rsid w:val="00334AA9"/>
    <w:rsid w:val="003373EC"/>
    <w:rsid w:val="00342FF4"/>
    <w:rsid w:val="00344E5A"/>
    <w:rsid w:val="00346148"/>
    <w:rsid w:val="003669EA"/>
    <w:rsid w:val="003706CC"/>
    <w:rsid w:val="003742DC"/>
    <w:rsid w:val="00377710"/>
    <w:rsid w:val="003777ED"/>
    <w:rsid w:val="003A0DE8"/>
    <w:rsid w:val="003A2D8E"/>
    <w:rsid w:val="003A372F"/>
    <w:rsid w:val="003A7CE6"/>
    <w:rsid w:val="003B33FB"/>
    <w:rsid w:val="003C0067"/>
    <w:rsid w:val="003C20E4"/>
    <w:rsid w:val="003D6342"/>
    <w:rsid w:val="003E0841"/>
    <w:rsid w:val="003E3361"/>
    <w:rsid w:val="003E6F90"/>
    <w:rsid w:val="003E73ED"/>
    <w:rsid w:val="003F5D0F"/>
    <w:rsid w:val="003F77DE"/>
    <w:rsid w:val="004071DC"/>
    <w:rsid w:val="00414101"/>
    <w:rsid w:val="004219CF"/>
    <w:rsid w:val="004234F0"/>
    <w:rsid w:val="00427EEC"/>
    <w:rsid w:val="00430A31"/>
    <w:rsid w:val="00433DDB"/>
    <w:rsid w:val="00435A29"/>
    <w:rsid w:val="00435E74"/>
    <w:rsid w:val="00437619"/>
    <w:rsid w:val="00445E81"/>
    <w:rsid w:val="00460EF4"/>
    <w:rsid w:val="004635B2"/>
    <w:rsid w:val="00465A1E"/>
    <w:rsid w:val="00491FA3"/>
    <w:rsid w:val="0049445A"/>
    <w:rsid w:val="004957D9"/>
    <w:rsid w:val="004A2A63"/>
    <w:rsid w:val="004A7DAA"/>
    <w:rsid w:val="004B210C"/>
    <w:rsid w:val="004B5728"/>
    <w:rsid w:val="004B6170"/>
    <w:rsid w:val="004D3AA8"/>
    <w:rsid w:val="004D405F"/>
    <w:rsid w:val="004D62B1"/>
    <w:rsid w:val="004E4F4F"/>
    <w:rsid w:val="004E6789"/>
    <w:rsid w:val="004F61E3"/>
    <w:rsid w:val="00502E10"/>
    <w:rsid w:val="0050354E"/>
    <w:rsid w:val="00504D2C"/>
    <w:rsid w:val="0051015C"/>
    <w:rsid w:val="00514DAE"/>
    <w:rsid w:val="00516CF1"/>
    <w:rsid w:val="005262AE"/>
    <w:rsid w:val="00531AE9"/>
    <w:rsid w:val="00536188"/>
    <w:rsid w:val="00550039"/>
    <w:rsid w:val="00550A66"/>
    <w:rsid w:val="00567EC7"/>
    <w:rsid w:val="00567EFE"/>
    <w:rsid w:val="00570013"/>
    <w:rsid w:val="005753EC"/>
    <w:rsid w:val="005801A2"/>
    <w:rsid w:val="00590C1D"/>
    <w:rsid w:val="005952A5"/>
    <w:rsid w:val="005A33A1"/>
    <w:rsid w:val="005B217D"/>
    <w:rsid w:val="005C385F"/>
    <w:rsid w:val="005C7C26"/>
    <w:rsid w:val="005E1AC6"/>
    <w:rsid w:val="005E3F2B"/>
    <w:rsid w:val="005F6F1B"/>
    <w:rsid w:val="00601B53"/>
    <w:rsid w:val="00604970"/>
    <w:rsid w:val="00615995"/>
    <w:rsid w:val="00616155"/>
    <w:rsid w:val="0061722F"/>
    <w:rsid w:val="00622670"/>
    <w:rsid w:val="00624B33"/>
    <w:rsid w:val="00627F99"/>
    <w:rsid w:val="0063041A"/>
    <w:rsid w:val="00630AA2"/>
    <w:rsid w:val="00631D8B"/>
    <w:rsid w:val="00635218"/>
    <w:rsid w:val="00636E93"/>
    <w:rsid w:val="00646707"/>
    <w:rsid w:val="00647B66"/>
    <w:rsid w:val="00652888"/>
    <w:rsid w:val="00657DCF"/>
    <w:rsid w:val="00657F7E"/>
    <w:rsid w:val="00662E58"/>
    <w:rsid w:val="006637F2"/>
    <w:rsid w:val="006642A5"/>
    <w:rsid w:val="00664DCF"/>
    <w:rsid w:val="006654CC"/>
    <w:rsid w:val="006856AE"/>
    <w:rsid w:val="00690A70"/>
    <w:rsid w:val="0069458C"/>
    <w:rsid w:val="006A0E5C"/>
    <w:rsid w:val="006A48E6"/>
    <w:rsid w:val="006B6D5E"/>
    <w:rsid w:val="006C5D39"/>
    <w:rsid w:val="006D6D9B"/>
    <w:rsid w:val="006E2810"/>
    <w:rsid w:val="006E5417"/>
    <w:rsid w:val="006F0794"/>
    <w:rsid w:val="006F7528"/>
    <w:rsid w:val="0070143A"/>
    <w:rsid w:val="007023DE"/>
    <w:rsid w:val="00712F60"/>
    <w:rsid w:val="00720E3B"/>
    <w:rsid w:val="00723578"/>
    <w:rsid w:val="00741F9C"/>
    <w:rsid w:val="0074393F"/>
    <w:rsid w:val="00745F6B"/>
    <w:rsid w:val="0075175B"/>
    <w:rsid w:val="0075585E"/>
    <w:rsid w:val="00770571"/>
    <w:rsid w:val="0077151E"/>
    <w:rsid w:val="007768FF"/>
    <w:rsid w:val="007824D3"/>
    <w:rsid w:val="00784BA3"/>
    <w:rsid w:val="0078506C"/>
    <w:rsid w:val="007867F3"/>
    <w:rsid w:val="00796EE3"/>
    <w:rsid w:val="007A7D29"/>
    <w:rsid w:val="007B4AB8"/>
    <w:rsid w:val="007C081C"/>
    <w:rsid w:val="007D0F31"/>
    <w:rsid w:val="007D1181"/>
    <w:rsid w:val="007E01A3"/>
    <w:rsid w:val="007F1F8B"/>
    <w:rsid w:val="007F6205"/>
    <w:rsid w:val="007F67A1"/>
    <w:rsid w:val="00801A7B"/>
    <w:rsid w:val="00804FA9"/>
    <w:rsid w:val="00811C05"/>
    <w:rsid w:val="0081274B"/>
    <w:rsid w:val="008206C8"/>
    <w:rsid w:val="00852207"/>
    <w:rsid w:val="00852F31"/>
    <w:rsid w:val="00855305"/>
    <w:rsid w:val="0086387C"/>
    <w:rsid w:val="00874A6C"/>
    <w:rsid w:val="00876C65"/>
    <w:rsid w:val="00877592"/>
    <w:rsid w:val="00882F72"/>
    <w:rsid w:val="00885CF0"/>
    <w:rsid w:val="008918E1"/>
    <w:rsid w:val="00893396"/>
    <w:rsid w:val="00893DC4"/>
    <w:rsid w:val="008A147E"/>
    <w:rsid w:val="008A49EF"/>
    <w:rsid w:val="008A4B4C"/>
    <w:rsid w:val="008C1695"/>
    <w:rsid w:val="008C239F"/>
    <w:rsid w:val="008D050A"/>
    <w:rsid w:val="008E480C"/>
    <w:rsid w:val="008F3A6D"/>
    <w:rsid w:val="0090652A"/>
    <w:rsid w:val="00907757"/>
    <w:rsid w:val="00917E24"/>
    <w:rsid w:val="009212B0"/>
    <w:rsid w:val="00921FA1"/>
    <w:rsid w:val="009234A5"/>
    <w:rsid w:val="0093104C"/>
    <w:rsid w:val="00933453"/>
    <w:rsid w:val="009336F7"/>
    <w:rsid w:val="00935856"/>
    <w:rsid w:val="0093636C"/>
    <w:rsid w:val="009374A7"/>
    <w:rsid w:val="00937F03"/>
    <w:rsid w:val="00943F38"/>
    <w:rsid w:val="00955F6D"/>
    <w:rsid w:val="0096664C"/>
    <w:rsid w:val="0097419A"/>
    <w:rsid w:val="00977C16"/>
    <w:rsid w:val="0098551D"/>
    <w:rsid w:val="00985DCB"/>
    <w:rsid w:val="0099518F"/>
    <w:rsid w:val="00996F64"/>
    <w:rsid w:val="009A50CE"/>
    <w:rsid w:val="009A523D"/>
    <w:rsid w:val="009B02A1"/>
    <w:rsid w:val="009B3361"/>
    <w:rsid w:val="009B7F3F"/>
    <w:rsid w:val="009C3898"/>
    <w:rsid w:val="009D7CE6"/>
    <w:rsid w:val="009E0D16"/>
    <w:rsid w:val="009E3151"/>
    <w:rsid w:val="009E448E"/>
    <w:rsid w:val="009E4C78"/>
    <w:rsid w:val="009F496B"/>
    <w:rsid w:val="00A01439"/>
    <w:rsid w:val="00A02E61"/>
    <w:rsid w:val="00A05CFF"/>
    <w:rsid w:val="00A1033C"/>
    <w:rsid w:val="00A13048"/>
    <w:rsid w:val="00A222EA"/>
    <w:rsid w:val="00A27EA8"/>
    <w:rsid w:val="00A33D30"/>
    <w:rsid w:val="00A35840"/>
    <w:rsid w:val="00A453CE"/>
    <w:rsid w:val="00A46843"/>
    <w:rsid w:val="00A56B97"/>
    <w:rsid w:val="00A6093D"/>
    <w:rsid w:val="00A703CE"/>
    <w:rsid w:val="00A72017"/>
    <w:rsid w:val="00A7478D"/>
    <w:rsid w:val="00A74B43"/>
    <w:rsid w:val="00A767DC"/>
    <w:rsid w:val="00A76A6D"/>
    <w:rsid w:val="00A83253"/>
    <w:rsid w:val="00A8539A"/>
    <w:rsid w:val="00A93BDD"/>
    <w:rsid w:val="00AA15D3"/>
    <w:rsid w:val="00AA2F05"/>
    <w:rsid w:val="00AA6C0A"/>
    <w:rsid w:val="00AA6E84"/>
    <w:rsid w:val="00AB1A1C"/>
    <w:rsid w:val="00AB4721"/>
    <w:rsid w:val="00AB7405"/>
    <w:rsid w:val="00AC53EF"/>
    <w:rsid w:val="00AC6E8B"/>
    <w:rsid w:val="00AD05A8"/>
    <w:rsid w:val="00AE341B"/>
    <w:rsid w:val="00AF0AD7"/>
    <w:rsid w:val="00AF51C5"/>
    <w:rsid w:val="00B009D9"/>
    <w:rsid w:val="00B01905"/>
    <w:rsid w:val="00B07CA7"/>
    <w:rsid w:val="00B1279A"/>
    <w:rsid w:val="00B17398"/>
    <w:rsid w:val="00B3640F"/>
    <w:rsid w:val="00B4194A"/>
    <w:rsid w:val="00B42631"/>
    <w:rsid w:val="00B437E8"/>
    <w:rsid w:val="00B46062"/>
    <w:rsid w:val="00B51F2C"/>
    <w:rsid w:val="00B5222E"/>
    <w:rsid w:val="00B53179"/>
    <w:rsid w:val="00B532EA"/>
    <w:rsid w:val="00B57A23"/>
    <w:rsid w:val="00B600CD"/>
    <w:rsid w:val="00B61C96"/>
    <w:rsid w:val="00B62EC0"/>
    <w:rsid w:val="00B63944"/>
    <w:rsid w:val="00B73A2A"/>
    <w:rsid w:val="00B75A51"/>
    <w:rsid w:val="00B827C6"/>
    <w:rsid w:val="00B90755"/>
    <w:rsid w:val="00B94B06"/>
    <w:rsid w:val="00B94C28"/>
    <w:rsid w:val="00BB3E0A"/>
    <w:rsid w:val="00BB5D58"/>
    <w:rsid w:val="00BB7456"/>
    <w:rsid w:val="00BC10BA"/>
    <w:rsid w:val="00BC5AFD"/>
    <w:rsid w:val="00BD1A96"/>
    <w:rsid w:val="00BE6E06"/>
    <w:rsid w:val="00BF02B2"/>
    <w:rsid w:val="00BF6370"/>
    <w:rsid w:val="00C00DDE"/>
    <w:rsid w:val="00C04F43"/>
    <w:rsid w:val="00C05271"/>
    <w:rsid w:val="00C0609D"/>
    <w:rsid w:val="00C115AB"/>
    <w:rsid w:val="00C2399A"/>
    <w:rsid w:val="00C26CCB"/>
    <w:rsid w:val="00C30249"/>
    <w:rsid w:val="00C35F74"/>
    <w:rsid w:val="00C3723B"/>
    <w:rsid w:val="00C42466"/>
    <w:rsid w:val="00C46CC3"/>
    <w:rsid w:val="00C50A87"/>
    <w:rsid w:val="00C606C9"/>
    <w:rsid w:val="00C77F5C"/>
    <w:rsid w:val="00C80288"/>
    <w:rsid w:val="00C836F0"/>
    <w:rsid w:val="00C84003"/>
    <w:rsid w:val="00C90650"/>
    <w:rsid w:val="00C95A8F"/>
    <w:rsid w:val="00C97D78"/>
    <w:rsid w:val="00CC2AAE"/>
    <w:rsid w:val="00CC5800"/>
    <w:rsid w:val="00CC5A42"/>
    <w:rsid w:val="00CC6B05"/>
    <w:rsid w:val="00CD0EAB"/>
    <w:rsid w:val="00CD543A"/>
    <w:rsid w:val="00CE5E02"/>
    <w:rsid w:val="00CE6734"/>
    <w:rsid w:val="00CF34DB"/>
    <w:rsid w:val="00CF3917"/>
    <w:rsid w:val="00CF558F"/>
    <w:rsid w:val="00CF7CFF"/>
    <w:rsid w:val="00D010C0"/>
    <w:rsid w:val="00D06B8B"/>
    <w:rsid w:val="00D073E2"/>
    <w:rsid w:val="00D10699"/>
    <w:rsid w:val="00D1555A"/>
    <w:rsid w:val="00D16050"/>
    <w:rsid w:val="00D446EC"/>
    <w:rsid w:val="00D5052D"/>
    <w:rsid w:val="00D515C3"/>
    <w:rsid w:val="00D51BF0"/>
    <w:rsid w:val="00D531DB"/>
    <w:rsid w:val="00D54E9A"/>
    <w:rsid w:val="00D55942"/>
    <w:rsid w:val="00D807BF"/>
    <w:rsid w:val="00D82FCC"/>
    <w:rsid w:val="00D83B9D"/>
    <w:rsid w:val="00DA07CA"/>
    <w:rsid w:val="00DA17FC"/>
    <w:rsid w:val="00DA7887"/>
    <w:rsid w:val="00DB2C26"/>
    <w:rsid w:val="00DB45C3"/>
    <w:rsid w:val="00DC4C42"/>
    <w:rsid w:val="00DD02F4"/>
    <w:rsid w:val="00DD6622"/>
    <w:rsid w:val="00DE1C7C"/>
    <w:rsid w:val="00DE3EE6"/>
    <w:rsid w:val="00DE6B43"/>
    <w:rsid w:val="00DF6BD0"/>
    <w:rsid w:val="00E041C6"/>
    <w:rsid w:val="00E11923"/>
    <w:rsid w:val="00E1305E"/>
    <w:rsid w:val="00E207D8"/>
    <w:rsid w:val="00E23517"/>
    <w:rsid w:val="00E262D4"/>
    <w:rsid w:val="00E269A0"/>
    <w:rsid w:val="00E30709"/>
    <w:rsid w:val="00E35D8F"/>
    <w:rsid w:val="00E36250"/>
    <w:rsid w:val="00E47F2D"/>
    <w:rsid w:val="00E502A4"/>
    <w:rsid w:val="00E54511"/>
    <w:rsid w:val="00E60EDC"/>
    <w:rsid w:val="00E61DAC"/>
    <w:rsid w:val="00E72B80"/>
    <w:rsid w:val="00E75FE3"/>
    <w:rsid w:val="00E81251"/>
    <w:rsid w:val="00E86C4C"/>
    <w:rsid w:val="00E907A3"/>
    <w:rsid w:val="00E91CEC"/>
    <w:rsid w:val="00E94DF8"/>
    <w:rsid w:val="00EA5826"/>
    <w:rsid w:val="00EA5AE0"/>
    <w:rsid w:val="00EB56E1"/>
    <w:rsid w:val="00EB7AB1"/>
    <w:rsid w:val="00EC2F37"/>
    <w:rsid w:val="00EC32BD"/>
    <w:rsid w:val="00ED07E2"/>
    <w:rsid w:val="00ED44E1"/>
    <w:rsid w:val="00EE34E7"/>
    <w:rsid w:val="00EE7CD8"/>
    <w:rsid w:val="00EF37F6"/>
    <w:rsid w:val="00EF48CC"/>
    <w:rsid w:val="00F00801"/>
    <w:rsid w:val="00F02ACA"/>
    <w:rsid w:val="00F0672D"/>
    <w:rsid w:val="00F10A08"/>
    <w:rsid w:val="00F2488D"/>
    <w:rsid w:val="00F35FA3"/>
    <w:rsid w:val="00F41F78"/>
    <w:rsid w:val="00F434C7"/>
    <w:rsid w:val="00F525EA"/>
    <w:rsid w:val="00F601A0"/>
    <w:rsid w:val="00F61FA2"/>
    <w:rsid w:val="00F63619"/>
    <w:rsid w:val="00F712E9"/>
    <w:rsid w:val="00F73032"/>
    <w:rsid w:val="00F848FC"/>
    <w:rsid w:val="00F87D82"/>
    <w:rsid w:val="00F906F6"/>
    <w:rsid w:val="00F9282A"/>
    <w:rsid w:val="00F96BAD"/>
    <w:rsid w:val="00FA0CEA"/>
    <w:rsid w:val="00FA139D"/>
    <w:rsid w:val="00FA60F5"/>
    <w:rsid w:val="00FB0E84"/>
    <w:rsid w:val="00FC2405"/>
    <w:rsid w:val="00FC69BF"/>
    <w:rsid w:val="00FD01C2"/>
    <w:rsid w:val="00FD4C3F"/>
    <w:rsid w:val="00FE1821"/>
    <w:rsid w:val="00FE3BC0"/>
    <w:rsid w:val="00FE595C"/>
    <w:rsid w:val="00FF0263"/>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E9E98AA-7918-4D5F-8FE8-3C6EE856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A0DE8"/>
    <w:rPr>
      <w:color w:val="605E5C"/>
      <w:shd w:val="clear" w:color="auto" w:fill="E1DFDD"/>
    </w:rPr>
  </w:style>
  <w:style w:type="paragraph" w:styleId="Caption">
    <w:name w:val="caption"/>
    <w:basedOn w:val="Normal"/>
    <w:next w:val="Normal"/>
    <w:unhideWhenUsed/>
    <w:qFormat/>
    <w:rsid w:val="002704C0"/>
    <w:pPr>
      <w:spacing w:before="0" w:after="200"/>
    </w:pPr>
    <w:rPr>
      <w:i/>
      <w:iCs/>
      <w:color w:val="44546A" w:themeColor="text2"/>
      <w:sz w:val="18"/>
      <w:szCs w:val="18"/>
    </w:rPr>
  </w:style>
  <w:style w:type="character" w:customStyle="1" w:styleId="ListParagraphChar">
    <w:name w:val="List Paragraph Char"/>
    <w:link w:val="ListParagraph"/>
    <w:uiPriority w:val="34"/>
    <w:locked/>
    <w:rsid w:val="002704C0"/>
    <w:rPr>
      <w:sz w:val="22"/>
    </w:rPr>
  </w:style>
  <w:style w:type="paragraph" w:styleId="ListParagraph">
    <w:name w:val="List Paragraph"/>
    <w:basedOn w:val="Normal"/>
    <w:link w:val="ListParagraphChar"/>
    <w:uiPriority w:val="34"/>
    <w:qFormat/>
    <w:rsid w:val="002704C0"/>
    <w:pPr>
      <w:ind w:firstLineChars="200" w:firstLine="420"/>
      <w:textAlignment w:val="auto"/>
    </w:pPr>
  </w:style>
  <w:style w:type="character" w:styleId="PlaceholderText">
    <w:name w:val="Placeholder Text"/>
    <w:basedOn w:val="DefaultParagraphFont"/>
    <w:uiPriority w:val="99"/>
    <w:semiHidden/>
    <w:rsid w:val="00AC53EF"/>
    <w:rPr>
      <w:color w:val="808080"/>
    </w:rPr>
  </w:style>
  <w:style w:type="character" w:styleId="CommentReference">
    <w:name w:val="annotation reference"/>
    <w:basedOn w:val="DefaultParagraphFont"/>
    <w:rsid w:val="00AF0AD7"/>
    <w:rPr>
      <w:sz w:val="16"/>
      <w:szCs w:val="16"/>
    </w:rPr>
  </w:style>
  <w:style w:type="paragraph" w:styleId="CommentText">
    <w:name w:val="annotation text"/>
    <w:basedOn w:val="Normal"/>
    <w:link w:val="CommentTextChar"/>
    <w:rsid w:val="00AF0AD7"/>
    <w:rPr>
      <w:sz w:val="20"/>
    </w:rPr>
  </w:style>
  <w:style w:type="character" w:customStyle="1" w:styleId="CommentTextChar">
    <w:name w:val="Comment Text Char"/>
    <w:basedOn w:val="DefaultParagraphFont"/>
    <w:link w:val="CommentText"/>
    <w:rsid w:val="00AF0AD7"/>
  </w:style>
  <w:style w:type="paragraph" w:styleId="CommentSubject">
    <w:name w:val="annotation subject"/>
    <w:basedOn w:val="CommentText"/>
    <w:next w:val="CommentText"/>
    <w:link w:val="CommentSubjectChar"/>
    <w:semiHidden/>
    <w:unhideWhenUsed/>
    <w:rsid w:val="00AF0AD7"/>
    <w:rPr>
      <w:b/>
      <w:bCs/>
    </w:rPr>
  </w:style>
  <w:style w:type="character" w:customStyle="1" w:styleId="CommentSubjectChar">
    <w:name w:val="Comment Subject Char"/>
    <w:basedOn w:val="CommentTextChar"/>
    <w:link w:val="CommentSubject"/>
    <w:semiHidden/>
    <w:rsid w:val="00AF0A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107401">
      <w:bodyDiv w:val="1"/>
      <w:marLeft w:val="0"/>
      <w:marRight w:val="0"/>
      <w:marTop w:val="0"/>
      <w:marBottom w:val="0"/>
      <w:divBdr>
        <w:top w:val="none" w:sz="0" w:space="0" w:color="auto"/>
        <w:left w:val="none" w:sz="0" w:space="0" w:color="auto"/>
        <w:bottom w:val="none" w:sz="0" w:space="0" w:color="auto"/>
        <w:right w:val="none" w:sz="0" w:space="0" w:color="auto"/>
      </w:divBdr>
    </w:div>
    <w:div w:id="1582134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luhang@oppo.com" TargetMode="External"/><Relationship Id="rId18" Type="http://schemas.openxmlformats.org/officeDocument/2006/relationships/hyperlink" Target="mailto:martak@qti.qualcomm.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hyperlink" Target="mailto:kemicao@qti.qualcomm.com"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v-yuhaoping@oppo.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e.yu@oppo.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CF34C-2C08-44D9-8C7C-4FED87BAA0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0E5D08-FBA3-4544-A837-E09D4C1B2A68}">
  <ds:schemaRefs>
    <ds:schemaRef ds:uri="http://schemas.openxmlformats.org/officeDocument/2006/bibliography"/>
  </ds:schemaRefs>
</ds:datastoreItem>
</file>

<file path=customXml/itemProps3.xml><?xml version="1.0" encoding="utf-8"?>
<ds:datastoreItem xmlns:ds="http://schemas.openxmlformats.org/officeDocument/2006/customXml" ds:itemID="{05775119-4A38-4FC1-BA1D-F7B8BDE4C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323C6-1C23-4E0F-B202-1435DAC6B0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893</Words>
  <Characters>5095</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5977</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3080261</vt:i4>
      </vt:variant>
      <vt:variant>
        <vt:i4>0</vt:i4>
      </vt:variant>
      <vt:variant>
        <vt:i4>0</vt:i4>
      </vt:variant>
      <vt:variant>
        <vt:i4>5</vt:i4>
      </vt:variant>
      <vt:variant>
        <vt:lpwstr>mailto:kemicao@qti.qualcomm.com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8</cp:revision>
  <cp:lastPrinted>1900-01-01T08:00:00Z</cp:lastPrinted>
  <dcterms:created xsi:type="dcterms:W3CDTF">2022-07-18T16:14:00Z</dcterms:created>
  <dcterms:modified xsi:type="dcterms:W3CDTF">2022-07-18T17:04:00Z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