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_rels/document.xml.rels" ContentType="application/vnd.openxmlformats-package.relationships+xml"/>
  <Override PartName="/word/settings.xml" ContentType="application/vnd.openxmlformats-officedocument.wordprocessingml.settings+xml"/>
  <Override PartName="/word/media/image2.png" ContentType="image/png"/>
  <Override PartName="/word/media/image1.png" ContentType="image/png"/>
  <Override PartName="/word/theme/theme1.xml" ContentType="application/vnd.openxmlformats-officedocument.theme+xml"/>
  <Override PartName="/word/styles.xml" ContentType="application/vnd.openxmlformats-officedocument.wordprocessingml.styles+xml"/>
  <Override PartName="/word/numbering.xml" ContentType="application/vnd.openxmlformats-officedocument.wordprocessingml.numbering+xml"/>
  <Override PartName="/word/footer1.xml" ContentType="application/vnd.openxmlformats-officedocument.wordprocessingml.footer+xml"/>
  <Override PartName="/word/document.xml" ContentType="application/vnd.openxmlformats-officedocument.wordprocessingml.document.main+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tbl>
      <w:tblPr>
        <w:tblW w:w="9361" w:type="dxa"/>
        <w:jc w:val="left"/>
        <w:tblInd w:w="0" w:type="dxa"/>
        <w:tblBorders/>
        <w:tblCellMar>
          <w:top w:w="0" w:type="dxa"/>
          <w:left w:w="108" w:type="dxa"/>
          <w:bottom w:w="0" w:type="dxa"/>
          <w:right w:w="108" w:type="dxa"/>
        </w:tblCellMar>
        <w:tblLook w:val="0000" w:noVBand="0" w:noHBand="0" w:lastColumn="0" w:firstColumn="0" w:lastRow="0" w:firstRow="0"/>
      </w:tblPr>
      <w:tblGrid>
        <w:gridCol w:w="6300"/>
        <w:gridCol w:w="3060"/>
      </w:tblGrid>
      <w:tr>
        <w:trPr/>
        <w:tc>
          <w:tcPr>
            <w:tcW w:w="6300" w:type="dxa"/>
            <w:tcBorders/>
            <w:shd w:color="auto" w:fill="auto" w:val="clear"/>
          </w:tcPr>
          <w:p>
            <w:pPr>
              <w:pStyle w:val="Normal"/>
              <w:tabs>
                <w:tab w:val="left" w:pos="360" w:leader="none"/>
                <w:tab w:val="left" w:pos="720" w:leader="none"/>
                <w:tab w:val="left" w:pos="1080" w:leader="none"/>
                <w:tab w:val="left" w:pos="1440" w:leader="none"/>
                <w:tab w:val="left" w:pos="1800" w:leader="none"/>
                <w:tab w:val="left" w:pos="2160" w:leader="none"/>
                <w:tab w:val="left" w:pos="2520" w:leader="none"/>
                <w:tab w:val="left" w:pos="2880" w:leader="none"/>
                <w:tab w:val="left" w:pos="3240" w:leader="none"/>
                <w:tab w:val="left" w:pos="3600" w:leader="none"/>
                <w:tab w:val="left" w:pos="3960" w:leader="none"/>
                <w:tab w:val="left" w:pos="4320" w:leader="none"/>
                <w:tab w:val="left" w:pos="7200" w:leader="none"/>
              </w:tabs>
              <w:spacing w:before="0" w:after="0"/>
              <w:rPr>
                <w:b/>
                <w:b/>
                <w:szCs w:val="22"/>
                <w:lang w:val="en-CA"/>
              </w:rPr>
            </w:pPr>
            <w:r>
              <mc:AlternateContent>
                <mc:Choice Requires="wpg">
                  <w:drawing>
                    <wp:anchor behindDoc="0" distT="0" distB="0" distL="114300" distR="114300" simplePos="0" locked="0" layoutInCell="1" allowOverlap="1" relativeHeight="2" wp14:anchorId="7AF4159C">
                      <wp:simplePos x="0" y="0"/>
                      <wp:positionH relativeFrom="column">
                        <wp:posOffset>-17780</wp:posOffset>
                      </wp:positionH>
                      <wp:positionV relativeFrom="paragraph">
                        <wp:posOffset>-379730</wp:posOffset>
                      </wp:positionV>
                      <wp:extent cx="297180" cy="314325"/>
                      <wp:effectExtent l="0" t="0" r="0" b="0"/>
                      <wp:wrapNone/>
                      <wp:docPr id="1" name="Group 2"/>
                      <a:graphic xmlns:a="http://schemas.openxmlformats.org/drawingml/2006/main">
                        <a:graphicData uri="http://schemas.microsoft.com/office/word/2010/wordprocessingGroup">
                          <wpg:wgp>
                            <wpg:cNvGrpSpPr/>
                            <wpg:grpSpPr>
                              <a:xfrm rot="5385600">
                                <a:off x="0" y="0"/>
                                <a:ext cx="296640" cy="313560"/>
                              </a:xfrm>
                            </wpg:grpSpPr>
                            <wps:wsp>
                              <wps:cNvSpPr/>
                              <wps:spPr>
                                <a:xfrm>
                                  <a:off x="0" y="6480"/>
                                  <a:ext cx="2520" cy="304200"/>
                                </a:xfrm>
                                <a:prstGeom prst="line">
                                  <a:avLst/>
                                </a:prstGeom>
                                <a:ln>
                                  <a:solidFill>
                                    <a:srgbClr val="ffffff"/>
                                  </a:solidFill>
                                </a:ln>
                              </wps:spPr>
                              <wps:style>
                                <a:lnRef idx="0"/>
                                <a:fillRef idx="0"/>
                                <a:effectRef idx="0"/>
                                <a:fontRef idx="minor"/>
                              </wps:style>
                              <wps:bodyPr/>
                            </wps:wsp>
                            <wps:wsp>
                              <wps:cNvSpPr/>
                              <wps:spPr>
                                <a:xfrm flipV="1">
                                  <a:off x="1440" y="313200"/>
                                  <a:ext cx="295200" cy="720"/>
                                </a:xfrm>
                                <a:prstGeom prst="line">
                                  <a:avLst/>
                                </a:prstGeom>
                                <a:ln>
                                  <a:solidFill>
                                    <a:srgbClr val="ffffff"/>
                                  </a:solidFill>
                                </a:ln>
                              </wps:spPr>
                              <wps:style>
                                <a:lnRef idx="0"/>
                                <a:fillRef idx="0"/>
                                <a:effectRef idx="0"/>
                                <a:fontRef idx="minor"/>
                              </wps:style>
                              <wps:bodyPr/>
                            </wps:wsp>
                            <wps:wsp>
                              <wps:cNvSpPr/>
                              <wps:spPr>
                                <a:xfrm flipV="1">
                                  <a:off x="296640" y="5040"/>
                                  <a:ext cx="0" cy="306720"/>
                                </a:xfrm>
                                <a:prstGeom prst="line">
                                  <a:avLst/>
                                </a:prstGeom>
                                <a:ln>
                                  <a:solidFill>
                                    <a:srgbClr val="ffffff"/>
                                  </a:solidFill>
                                </a:ln>
                              </wps:spPr>
                              <wps:style>
                                <a:lnRef idx="0"/>
                                <a:fillRef idx="0"/>
                                <a:effectRef idx="0"/>
                                <a:fontRef idx="minor"/>
                              </wps:style>
                              <wps:bodyPr/>
                            </wps:wsp>
                            <wps:wsp>
                              <wps:cNvSpPr/>
                              <wps:spPr>
                                <a:xfrm flipH="1">
                                  <a:off x="0" y="5040"/>
                                  <a:ext cx="294120" cy="2520"/>
                                </a:xfrm>
                                <a:prstGeom prst="line">
                                  <a:avLst/>
                                </a:prstGeom>
                                <a:ln>
                                  <a:solidFill>
                                    <a:srgbClr val="ffffff"/>
                                  </a:solidFill>
                                </a:ln>
                              </wps:spPr>
                              <wps:style>
                                <a:lnRef idx="0"/>
                                <a:fillRef idx="0"/>
                                <a:effectRef idx="0"/>
                                <a:fontRef idx="minor"/>
                              </wps:style>
                              <wps:bodyPr/>
                            </wps:wsp>
                            <wps:wsp>
                              <wps:cNvSpPr/>
                              <wps:spPr>
                                <a:xfrm>
                                  <a:off x="0" y="6480"/>
                                  <a:ext cx="1440" cy="1440"/>
                                </a:xfrm>
                                <a:prstGeom prst="line">
                                  <a:avLst/>
                                </a:prstGeom>
                                <a:ln>
                                  <a:solidFill>
                                    <a:srgbClr val="ffffff"/>
                                  </a:solidFill>
                                </a:ln>
                              </wps:spPr>
                              <wps:style>
                                <a:lnRef idx="0"/>
                                <a:fillRef idx="0"/>
                                <a:effectRef idx="0"/>
                                <a:fontRef idx="minor"/>
                              </wps:style>
                              <wps:bodyPr/>
                            </wps:wsp>
                            <wps:wsp>
                              <wps:cNvSpPr/>
                              <wps:spPr>
                                <a:xfrm rot="21585600">
                                  <a:off x="42120" y="64800"/>
                                  <a:ext cx="195120" cy="186840"/>
                                </a:xfrm>
                                <a:custGeom>
                                  <a:avLst/>
                                  <a:gdLst/>
                                  <a:ahLst/>
                                  <a:rect l="l" t="t"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style>
                                <a:lnRef idx="0"/>
                                <a:fillRef idx="0"/>
                                <a:effectRef idx="0"/>
                                <a:fontRef idx="minor"/>
                              </wps:style>
                              <wps:bodyPr/>
                            </wps:wsp>
                            <wps:wsp>
                              <wps:cNvSpPr/>
                              <wps:spPr>
                                <a:xfrm rot="21585600">
                                  <a:off x="104040" y="28800"/>
                                  <a:ext cx="107280" cy="259200"/>
                                </a:xfrm>
                                <a:custGeom>
                                  <a:avLst/>
                                  <a:gdLst/>
                                  <a:ahLst/>
                                  <a:rect l="l" t="t"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style>
                                <a:lnRef idx="0"/>
                                <a:fillRef idx="0"/>
                                <a:effectRef idx="0"/>
                                <a:fontRef idx="minor"/>
                              </wps:style>
                              <wps:bodyPr/>
                            </wps:wsp>
                            <wps:wsp>
                              <wps:cNvSpPr/>
                              <wps:spPr>
                                <a:xfrm rot="21585600">
                                  <a:off x="155520" y="41400"/>
                                  <a:ext cx="78840" cy="63000"/>
                                </a:xfrm>
                                <a:custGeom>
                                  <a:avLst/>
                                  <a:gdLst/>
                                  <a:ahLst/>
                                  <a:rect l="l" t="t"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style>
                                <a:lnRef idx="0"/>
                                <a:fillRef idx="0"/>
                                <a:effectRef idx="0"/>
                                <a:fontRef idx="minor"/>
                              </wps:style>
                              <wps:bodyPr/>
                            </wps:wsp>
                            <wps:wsp>
                              <wps:cNvSpPr/>
                              <wps:spPr>
                                <a:xfrm rot="21585600">
                                  <a:off x="87480" y="27720"/>
                                  <a:ext cx="184680" cy="146520"/>
                                </a:xfrm>
                                <a:custGeom>
                                  <a:avLst/>
                                  <a:gdLst/>
                                  <a:ahLst/>
                                  <a:rect l="l" t="t"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style>
                                <a:lnRef idx="0"/>
                                <a:fillRef idx="0"/>
                                <a:effectRef idx="0"/>
                                <a:fontRef idx="minor"/>
                              </wps:style>
                              <wps:bodyPr/>
                            </wps:wsp>
                            <wps:wsp>
                              <wps:cNvSpPr/>
                              <wps:spPr>
                                <a:xfrm rot="21585600">
                                  <a:off x="52200" y="41760"/>
                                  <a:ext cx="220320" cy="153000"/>
                                </a:xfrm>
                                <a:custGeom>
                                  <a:avLst/>
                                  <a:gdLst/>
                                  <a:ahLst/>
                                  <a:rect l="l" t="t"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style>
                                <a:lnRef idx="0"/>
                                <a:fillRef idx="0"/>
                                <a:effectRef idx="0"/>
                                <a:fontRef idx="minor"/>
                              </wps:style>
                              <wps:bodyPr/>
                            </wps:wsp>
                            <wps:wsp>
                              <wps:cNvSpPr/>
                              <wps:spPr>
                                <a:xfrm rot="21585600">
                                  <a:off x="7920" y="23400"/>
                                  <a:ext cx="268560" cy="269280"/>
                                </a:xfrm>
                                <a:custGeom>
                                  <a:avLst/>
                                  <a:gdLst/>
                                  <a:ahLst/>
                                  <a:rect l="l" t="t"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style>
                                <a:lnRef idx="0"/>
                                <a:fillRef idx="0"/>
                                <a:effectRef idx="0"/>
                                <a:fontRef idx="minor"/>
                              </wps:style>
                              <wps:bodyPr/>
                            </wps:wsp>
                            <wps:wsp>
                              <wps:cNvSpPr/>
                              <wps:spPr>
                                <a:xfrm rot="21585600">
                                  <a:off x="7920" y="25920"/>
                                  <a:ext cx="212760" cy="265320"/>
                                </a:xfrm>
                                <a:custGeom>
                                  <a:avLst/>
                                  <a:gdLst/>
                                  <a:ahLst/>
                                  <a:rect l="l" t="t"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style>
                                <a:lnRef idx="0"/>
                                <a:fillRef idx="0"/>
                                <a:effectRef idx="0"/>
                                <a:fontRef idx="minor"/>
                              </wps:style>
                              <wps:bodyPr/>
                            </wps:wsp>
                            <wps:wsp>
                              <wps:cNvSpPr/>
                              <wps:spPr>
                                <a:xfrm rot="21585600">
                                  <a:off x="6120" y="23400"/>
                                  <a:ext cx="268560" cy="243360"/>
                                </a:xfrm>
                                <a:custGeom>
                                  <a:avLst/>
                                  <a:gdLst/>
                                  <a:ahLst/>
                                  <a:rect l="l" t="t"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style>
                                <a:lnRef idx="0"/>
                                <a:fillRef idx="0"/>
                                <a:effectRef idx="0"/>
                                <a:fontRef idx="minor"/>
                              </wps:style>
                              <wps:bodyPr/>
                            </wps:wsp>
                            <wps:wsp>
                              <wps:cNvSpPr/>
                              <wps:spPr>
                                <a:xfrm rot="21585600">
                                  <a:off x="7920" y="42480"/>
                                  <a:ext cx="268560" cy="250200"/>
                                </a:xfrm>
                                <a:custGeom>
                                  <a:avLst/>
                                  <a:gdLst/>
                                  <a:ahLst/>
                                  <a:rect l="l" t="t"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style>
                                <a:lnRef idx="0"/>
                                <a:fillRef idx="0"/>
                                <a:effectRef idx="0"/>
                                <a:fontRef idx="minor"/>
                              </wps:style>
                              <wps:bodyPr/>
                            </wps:wsp>
                            <wps:wsp>
                              <wps:cNvSpPr/>
                              <wps:spPr>
                                <a:xfrm rot="21585600">
                                  <a:off x="38160" y="60840"/>
                                  <a:ext cx="231120" cy="172080"/>
                                </a:xfrm>
                                <a:custGeom>
                                  <a:avLst/>
                                  <a:gdLst/>
                                  <a:ahLst/>
                                  <a:rect l="l" t="t"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style>
                                <a:lnRef idx="0"/>
                                <a:fillRef idx="0"/>
                                <a:effectRef idx="0"/>
                                <a:fontRef idx="minor"/>
                              </wps:style>
                              <wps:bodyPr/>
                            </wps:wsp>
                            <wps:wsp>
                              <wps:cNvSpPr/>
                              <wps:spPr>
                                <a:xfrm rot="21585600">
                                  <a:off x="12600" y="123120"/>
                                  <a:ext cx="218520" cy="153000"/>
                                </a:xfrm>
                                <a:custGeom>
                                  <a:avLst/>
                                  <a:gdLst/>
                                  <a:ahLst/>
                                  <a:rect l="l" t="t"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style>
                                <a:lnRef idx="0"/>
                                <a:fillRef idx="0"/>
                                <a:effectRef idx="0"/>
                                <a:fontRef idx="minor"/>
                              </wps:style>
                              <wps:bodyPr/>
                            </wps:wsp>
                            <wps:wsp>
                              <wps:cNvSpPr/>
                              <wps:spPr>
                                <a:xfrm rot="21585600">
                                  <a:off x="36000" y="-360"/>
                                  <a:ext cx="241200" cy="295920"/>
                                </a:xfrm>
                                <a:custGeom>
                                  <a:avLst/>
                                  <a:gdLst/>
                                  <a:ahLst/>
                                  <a:rect l="l" t="t"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style>
                                <a:lnRef idx="0"/>
                                <a:fillRef idx="0"/>
                                <a:effectRef idx="0"/>
                                <a:fontRef idx="minor"/>
                              </wps:style>
                              <wps:bodyPr/>
                            </wps:wsp>
                            <wps:wsp>
                              <wps:cNvSpPr/>
                              <wps:spPr>
                                <a:xfrm rot="21585600">
                                  <a:off x="168840" y="114120"/>
                                  <a:ext cx="82440" cy="90000"/>
                                </a:xfrm>
                                <a:custGeom>
                                  <a:avLst/>
                                  <a:gdLst/>
                                  <a:ahLst/>
                                  <a:rect l="l" t="t"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style>
                                <a:lnRef idx="0"/>
                                <a:fillRef idx="0"/>
                                <a:effectRef idx="0"/>
                                <a:fontRef idx="minor"/>
                              </wps:style>
                              <wps:bodyPr/>
                            </wps:wsp>
                            <wps:wsp>
                              <wps:cNvSpPr/>
                              <wps:spPr>
                                <a:xfrm rot="21585600">
                                  <a:off x="170640" y="115200"/>
                                  <a:ext cx="78840" cy="87120"/>
                                </a:xfrm>
                                <a:custGeom>
                                  <a:avLst/>
                                  <a:gdLst/>
                                  <a:ahLst/>
                                  <a:rect l="l" t="t"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style>
                                <a:lnRef idx="0"/>
                                <a:fillRef idx="0"/>
                                <a:effectRef idx="0"/>
                                <a:fontRef idx="minor"/>
                              </wps:style>
                              <wps:bodyPr/>
                            </wps:wsp>
                            <wps:wsp>
                              <wps:cNvSpPr/>
                              <wps:spPr>
                                <a:xfrm rot="21585600">
                                  <a:off x="38880" y="115200"/>
                                  <a:ext cx="39960" cy="88920"/>
                                </a:xfrm>
                                <a:custGeom>
                                  <a:avLst/>
                                  <a:gdLst/>
                                  <a:ahLst/>
                                  <a:rect l="l" t="t"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style>
                                <a:lnRef idx="0"/>
                                <a:fillRef idx="0"/>
                                <a:effectRef idx="0"/>
                                <a:fontRef idx="minor"/>
                              </wps:style>
                              <wps:bodyPr/>
                            </wps:wsp>
                            <wps:wsp>
                              <wps:cNvSpPr/>
                              <wps:spPr>
                                <a:xfrm rot="21585600">
                                  <a:off x="42480" y="116640"/>
                                  <a:ext cx="34920" cy="84600"/>
                                </a:xfrm>
                                <a:custGeom>
                                  <a:avLst/>
                                  <a:gdLst/>
                                  <a:ahLst/>
                                  <a:rect l="l" t="t"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style>
                                <a:lnRef idx="0"/>
                                <a:fillRef idx="0"/>
                                <a:effectRef idx="0"/>
                                <a:fontRef idx="minor"/>
                              </wps:style>
                              <wps:bodyPr/>
                            </wps:wsp>
                            <wps:wsp>
                              <wps:cNvSpPr/>
                              <wps:spPr>
                                <a:xfrm rot="21585600">
                                  <a:off x="88200" y="114480"/>
                                  <a:ext cx="73800" cy="88920"/>
                                </a:xfrm>
                                <a:custGeom>
                                  <a:avLst/>
                                  <a:gdLst/>
                                  <a:ahLst/>
                                  <a:rect l="l" t="t"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style>
                                <a:lnRef idx="0"/>
                                <a:fillRef idx="0"/>
                                <a:effectRef idx="0"/>
                                <a:fontRef idx="minor"/>
                              </wps:style>
                              <wps:bodyPr/>
                            </wps:wsp>
                            <wps:wsp>
                              <wps:cNvSpPr/>
                              <wps:spPr>
                                <a:xfrm rot="21585600">
                                  <a:off x="90720" y="115920"/>
                                  <a:ext cx="69120" cy="84600"/>
                                </a:xfrm>
                                <a:custGeom>
                                  <a:avLst/>
                                  <a:gdLst/>
                                  <a:ahLst/>
                                  <a:rect l="l" t="t"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style>
                                <a:lnRef idx="0"/>
                                <a:fillRef idx="0"/>
                                <a:effectRef idx="0"/>
                                <a:fontRef idx="minor"/>
                              </wps:style>
                              <wps:bodyPr/>
                            </wps:wsp>
                          </wpg:wgp>
                        </a:graphicData>
                      </a:graphic>
                    </wp:anchor>
                  </w:drawing>
                </mc:Choice>
                <mc:Fallback>
                  <w:pict>
                    <v:group id="shape_0" alt="Group 2" style="position:absolute;margin-left:-2.15pt;margin-top:-29.25pt;width:23.3pt;height:24.6pt" coordorigin="-43,-585" coordsize="466,492">
                      <v:line id="shape_0" from="-43,-576" to="-40,-98" ID="Gerader Verbinder 2" stroked="t" style="position:absolute">
                        <v:stroke color="white" joinstyle="round" endcap="flat"/>
                        <v:fill o:detectmouseclick="t" on="false"/>
                      </v:line>
                      <v:line id="shape_0" from="-41,-93" to="423,-93" ID="Gerader Verbinder 3" stroked="t" style="position:absolute;flip:y">
                        <v:stroke color="white" joinstyle="round" endcap="flat"/>
                        <v:fill o:detectmouseclick="t" on="false"/>
                      </v:line>
                      <v:line id="shape_0" from="424,-578" to="424,-96" ID="Gerader Verbinder 4" stroked="t" style="position:absolute;flip:y">
                        <v:stroke color="white" joinstyle="round" endcap="flat"/>
                        <v:fill o:detectmouseclick="t" on="false"/>
                      </v:line>
                      <v:line id="shape_0" from="-43,-578" to="419,-575" ID="Gerader Verbinder 5" stroked="t" style="position:absolute;flip:x">
                        <v:stroke color="white" joinstyle="round" endcap="flat"/>
                        <v:fill o:detectmouseclick="t" on="false"/>
                      </v:line>
                      <v:line id="shape_0" from="-43,-576" to="-42,-575" ID="Gerader Verbinder 6" stroked="t" style="position:absolute">
                        <v:stroke color="white" joinstyle="round" endcap="flat"/>
                        <v:fill o:detectmouseclick="t" on="false"/>
                      </v:line>
                    </v:group>
                  </w:pict>
                </mc:Fallback>
              </mc:AlternateContent>
              <w:drawing>
                <wp:anchor behindDoc="0" distT="0" distB="0" distL="114300" distR="114300" simplePos="0" locked="0" layoutInCell="1" allowOverlap="1" relativeHeight="3">
                  <wp:simplePos x="0" y="0"/>
                  <wp:positionH relativeFrom="column">
                    <wp:posOffset>268605</wp:posOffset>
                  </wp:positionH>
                  <wp:positionV relativeFrom="paragraph">
                    <wp:posOffset>-318770</wp:posOffset>
                  </wp:positionV>
                  <wp:extent cx="294640" cy="267335"/>
                  <wp:effectExtent l="0" t="0" r="0" b="0"/>
                  <wp:wrapNone/>
                  <wp:docPr id="2" name="Bild 2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26" descr=""/>
                          <pic:cNvPicPr>
                            <a:picLocks noChangeAspect="1" noChangeArrowheads="1"/>
                          </pic:cNvPicPr>
                        </pic:nvPicPr>
                        <pic:blipFill>
                          <a:blip r:embed="rId2"/>
                          <a:stretch>
                            <a:fillRect/>
                          </a:stretch>
                        </pic:blipFill>
                        <pic:spPr bwMode="auto">
                          <a:xfrm>
                            <a:off x="0" y="0"/>
                            <a:ext cx="294640" cy="267335"/>
                          </a:xfrm>
                          <a:prstGeom prst="rect">
                            <a:avLst/>
                          </a:prstGeom>
                        </pic:spPr>
                      </pic:pic>
                    </a:graphicData>
                  </a:graphic>
                </wp:anchor>
              </w:drawing>
              <w:drawing>
                <wp:anchor behindDoc="0" distT="0" distB="0" distL="114300" distR="114300" simplePos="0" locked="0" layoutInCell="1" allowOverlap="1" relativeHeight="4">
                  <wp:simplePos x="0" y="0"/>
                  <wp:positionH relativeFrom="column">
                    <wp:posOffset>610235</wp:posOffset>
                  </wp:positionH>
                  <wp:positionV relativeFrom="paragraph">
                    <wp:posOffset>-318770</wp:posOffset>
                  </wp:positionV>
                  <wp:extent cx="293370" cy="267335"/>
                  <wp:effectExtent l="0" t="0" r="0" b="0"/>
                  <wp:wrapNone/>
                  <wp:docPr id="3" name="Bild 2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ild 27" descr=""/>
                          <pic:cNvPicPr>
                            <a:picLocks noChangeAspect="1" noChangeArrowheads="1"/>
                          </pic:cNvPicPr>
                        </pic:nvPicPr>
                        <pic:blipFill>
                          <a:blip r:embed="rId3"/>
                          <a:stretch>
                            <a:fillRect/>
                          </a:stretch>
                        </pic:blipFill>
                        <pic:spPr bwMode="auto">
                          <a:xfrm>
                            <a:off x="0" y="0"/>
                            <a:ext cx="293370" cy="267335"/>
                          </a:xfrm>
                          <a:prstGeom prst="rect">
                            <a:avLst/>
                          </a:prstGeom>
                        </pic:spPr>
                      </pic:pic>
                    </a:graphicData>
                  </a:graphic>
                </wp:anchor>
              </w:drawing>
            </w:r>
            <w:r>
              <w:rPr>
                <w:b/>
                <w:szCs w:val="22"/>
                <w:lang w:val="en-CA"/>
              </w:rPr>
              <w:t>Joint Video Experts Team (JVET)</w:t>
            </w:r>
          </w:p>
          <w:p>
            <w:pPr>
              <w:pStyle w:val="Normal"/>
              <w:tabs>
                <w:tab w:val="left" w:pos="360" w:leader="none"/>
                <w:tab w:val="left" w:pos="720" w:leader="none"/>
                <w:tab w:val="left" w:pos="1080" w:leader="none"/>
                <w:tab w:val="left" w:pos="1440" w:leader="none"/>
                <w:tab w:val="left" w:pos="1800" w:leader="none"/>
                <w:tab w:val="left" w:pos="2160" w:leader="none"/>
                <w:tab w:val="left" w:pos="2520" w:leader="none"/>
                <w:tab w:val="left" w:pos="2880" w:leader="none"/>
                <w:tab w:val="left" w:pos="3240" w:leader="none"/>
                <w:tab w:val="left" w:pos="3600" w:leader="none"/>
                <w:tab w:val="left" w:pos="3960" w:leader="none"/>
                <w:tab w:val="left" w:pos="4320" w:leader="none"/>
                <w:tab w:val="left" w:pos="7200" w:leader="none"/>
              </w:tabs>
              <w:spacing w:before="0" w:after="0"/>
              <w:rPr>
                <w:b/>
                <w:b/>
                <w:szCs w:val="22"/>
                <w:lang w:val="en-CA"/>
              </w:rPr>
            </w:pPr>
            <w:r>
              <w:rPr>
                <w:b/>
                <w:szCs w:val="22"/>
                <w:lang w:val="en-CA"/>
              </w:rPr>
              <w:t>of ITU-T SG 16 WP 3 and ISO/IEC JTC 1/SC 29</w:t>
            </w:r>
          </w:p>
          <w:p>
            <w:pPr>
              <w:pStyle w:val="Normal"/>
              <w:tabs>
                <w:tab w:val="left" w:pos="360" w:leader="none"/>
                <w:tab w:val="left" w:pos="720" w:leader="none"/>
                <w:tab w:val="left" w:pos="1080" w:leader="none"/>
                <w:tab w:val="left" w:pos="1440" w:leader="none"/>
                <w:tab w:val="left" w:pos="1800" w:leader="none"/>
                <w:tab w:val="left" w:pos="2160" w:leader="none"/>
                <w:tab w:val="left" w:pos="2520" w:leader="none"/>
                <w:tab w:val="left" w:pos="2880" w:leader="none"/>
                <w:tab w:val="left" w:pos="3240" w:leader="none"/>
                <w:tab w:val="left" w:pos="3600" w:leader="none"/>
                <w:tab w:val="left" w:pos="3960" w:leader="none"/>
                <w:tab w:val="left" w:pos="4320" w:leader="none"/>
                <w:tab w:val="left" w:pos="7200" w:leader="none"/>
              </w:tabs>
              <w:spacing w:before="0" w:after="0"/>
              <w:rPr>
                <w:b/>
                <w:b/>
                <w:szCs w:val="22"/>
                <w:lang w:val="en-CA"/>
              </w:rPr>
            </w:pPr>
            <w:r>
              <w:rPr/>
              <w:t>26th Meeting</w:t>
            </w:r>
            <w:r>
              <w:rPr>
                <w:lang w:val="en-CA"/>
              </w:rPr>
              <w:t>, by teleconference, 20–29 April 2022</w:t>
            </w:r>
          </w:p>
        </w:tc>
        <w:tc>
          <w:tcPr>
            <w:tcW w:w="3060" w:type="dxa"/>
            <w:tcBorders/>
            <w:shd w:color="auto" w:fill="auto" w:val="clear"/>
          </w:tcPr>
          <w:p>
            <w:pPr>
              <w:pStyle w:val="Normal"/>
              <w:tabs>
                <w:tab w:val="left" w:pos="360" w:leader="none"/>
                <w:tab w:val="left" w:pos="720" w:leader="none"/>
                <w:tab w:val="left" w:pos="1080" w:leader="none"/>
                <w:tab w:val="left" w:pos="1440" w:leader="none"/>
                <w:tab w:val="left" w:pos="1800" w:leader="none"/>
                <w:tab w:val="left" w:pos="2160" w:leader="none"/>
                <w:tab w:val="left" w:pos="2520" w:leader="none"/>
                <w:tab w:val="left" w:pos="2880" w:leader="none"/>
                <w:tab w:val="left" w:pos="3240" w:leader="none"/>
                <w:tab w:val="left" w:pos="3600" w:leader="none"/>
                <w:tab w:val="left" w:pos="3960" w:leader="none"/>
                <w:tab w:val="left" w:pos="4320" w:leader="none"/>
                <w:tab w:val="left" w:pos="7200" w:leader="none"/>
              </w:tabs>
              <w:spacing w:before="136" w:after="0"/>
              <w:rPr/>
            </w:pPr>
            <w:r>
              <w:rPr>
                <w:lang w:val="en-CA"/>
              </w:rPr>
              <w:t>Document: JVET</w:t>
            </w:r>
            <w:r>
              <w:rPr>
                <w:lang w:val="en-CA"/>
              </w:rPr>
              <w:t>-Z0046-v1</w:t>
            </w:r>
          </w:p>
        </w:tc>
      </w:tr>
    </w:tbl>
    <w:p>
      <w:pPr>
        <w:pStyle w:val="Normal"/>
        <w:spacing w:before="0" w:after="0"/>
        <w:rPr>
          <w:lang w:val="en-CA"/>
        </w:rPr>
      </w:pPr>
      <w:r>
        <w:rPr>
          <w:lang w:val="en-CA"/>
        </w:rPr>
      </w:r>
    </w:p>
    <w:tbl>
      <w:tblPr>
        <w:tblW w:w="9361" w:type="dxa"/>
        <w:jc w:val="left"/>
        <w:tblInd w:w="0" w:type="dxa"/>
        <w:tblBorders/>
        <w:tblCellMar>
          <w:top w:w="0" w:type="dxa"/>
          <w:left w:w="108" w:type="dxa"/>
          <w:bottom w:w="0" w:type="dxa"/>
          <w:right w:w="108" w:type="dxa"/>
        </w:tblCellMar>
        <w:tblLook w:val="0000" w:noVBand="0" w:noHBand="0" w:lastColumn="0" w:firstColumn="0" w:lastRow="0" w:firstRow="0"/>
      </w:tblPr>
      <w:tblGrid>
        <w:gridCol w:w="1459"/>
        <w:gridCol w:w="3942"/>
        <w:gridCol w:w="900"/>
        <w:gridCol w:w="3059"/>
      </w:tblGrid>
      <w:tr>
        <w:trPr/>
        <w:tc>
          <w:tcPr>
            <w:tcW w:w="1459" w:type="dxa"/>
            <w:tcBorders/>
            <w:shd w:color="auto" w:fill="auto" w:val="clear"/>
          </w:tcPr>
          <w:p>
            <w:pPr>
              <w:pStyle w:val="Normal"/>
              <w:spacing w:before="60" w:after="60"/>
              <w:rPr>
                <w:i/>
                <w:i/>
                <w:szCs w:val="22"/>
                <w:lang w:val="en-CA"/>
              </w:rPr>
            </w:pPr>
            <w:r>
              <w:rPr>
                <w:i/>
                <w:szCs w:val="22"/>
                <w:lang w:val="en-CA"/>
              </w:rPr>
              <w:t>Title:</w:t>
            </w:r>
          </w:p>
        </w:tc>
        <w:tc>
          <w:tcPr>
            <w:tcW w:w="7901" w:type="dxa"/>
            <w:gridSpan w:val="3"/>
            <w:tcBorders/>
            <w:shd w:color="auto" w:fill="auto" w:val="clear"/>
          </w:tcPr>
          <w:p>
            <w:pPr>
              <w:pStyle w:val="Normal"/>
              <w:spacing w:before="60" w:after="60"/>
              <w:rPr>
                <w:b/>
                <w:b/>
                <w:szCs w:val="22"/>
                <w:lang w:val="en-CA"/>
              </w:rPr>
            </w:pPr>
            <w:r>
              <w:rPr>
                <w:b/>
                <w:szCs w:val="22"/>
                <w:lang w:val="en-CA"/>
              </w:rPr>
              <w:t>VTM Software Implementation for GREEN-MPEG SEI Messaging</w:t>
            </w:r>
          </w:p>
        </w:tc>
      </w:tr>
      <w:tr>
        <w:trPr/>
        <w:tc>
          <w:tcPr>
            <w:tcW w:w="1459" w:type="dxa"/>
            <w:tcBorders/>
            <w:shd w:color="auto" w:fill="auto" w:val="clear"/>
          </w:tcPr>
          <w:p>
            <w:pPr>
              <w:pStyle w:val="Normal"/>
              <w:spacing w:before="60" w:after="60"/>
              <w:rPr>
                <w:i/>
                <w:i/>
                <w:szCs w:val="22"/>
                <w:lang w:val="en-CA"/>
              </w:rPr>
            </w:pPr>
            <w:r>
              <w:rPr>
                <w:i/>
                <w:szCs w:val="22"/>
                <w:lang w:val="en-CA"/>
              </w:rPr>
              <w:t>Status:</w:t>
            </w:r>
          </w:p>
        </w:tc>
        <w:tc>
          <w:tcPr>
            <w:tcW w:w="7901" w:type="dxa"/>
            <w:gridSpan w:val="3"/>
            <w:tcBorders/>
            <w:shd w:color="auto" w:fill="auto" w:val="clear"/>
          </w:tcPr>
          <w:p>
            <w:pPr>
              <w:pStyle w:val="Normal"/>
              <w:spacing w:before="60" w:after="60"/>
              <w:rPr>
                <w:szCs w:val="22"/>
                <w:lang w:val="en-CA"/>
              </w:rPr>
            </w:pPr>
            <w:r>
              <w:rPr>
                <w:szCs w:val="22"/>
                <w:lang w:val="en-CA"/>
              </w:rPr>
              <w:t>Input document to JVET</w:t>
            </w:r>
          </w:p>
        </w:tc>
      </w:tr>
      <w:tr>
        <w:trPr/>
        <w:tc>
          <w:tcPr>
            <w:tcW w:w="1459" w:type="dxa"/>
            <w:tcBorders/>
            <w:shd w:color="auto" w:fill="auto" w:val="clear"/>
          </w:tcPr>
          <w:p>
            <w:pPr>
              <w:pStyle w:val="Normal"/>
              <w:spacing w:before="60" w:after="60"/>
              <w:rPr>
                <w:i/>
                <w:i/>
                <w:szCs w:val="22"/>
                <w:lang w:val="en-CA"/>
              </w:rPr>
            </w:pPr>
            <w:r>
              <w:rPr>
                <w:i/>
                <w:szCs w:val="22"/>
                <w:lang w:val="en-CA"/>
              </w:rPr>
              <w:t>Purpose:</w:t>
            </w:r>
          </w:p>
        </w:tc>
        <w:tc>
          <w:tcPr>
            <w:tcW w:w="7901" w:type="dxa"/>
            <w:gridSpan w:val="3"/>
            <w:tcBorders/>
            <w:shd w:color="auto" w:fill="auto" w:val="clear"/>
          </w:tcPr>
          <w:p>
            <w:pPr>
              <w:pStyle w:val="Normal"/>
              <w:spacing w:before="60" w:after="60"/>
              <w:rPr>
                <w:szCs w:val="22"/>
                <w:lang w:val="en-CA"/>
              </w:rPr>
            </w:pPr>
            <w:r>
              <w:rPr>
                <w:szCs w:val="22"/>
                <w:lang w:val="en-CA"/>
              </w:rPr>
              <w:t>Proposal</w:t>
            </w:r>
          </w:p>
        </w:tc>
      </w:tr>
      <w:tr>
        <w:trPr/>
        <w:tc>
          <w:tcPr>
            <w:tcW w:w="1459" w:type="dxa"/>
            <w:tcBorders/>
            <w:shd w:color="auto" w:fill="auto" w:val="clear"/>
          </w:tcPr>
          <w:p>
            <w:pPr>
              <w:pStyle w:val="Normal"/>
              <w:spacing w:before="60" w:after="60"/>
              <w:rPr>
                <w:i/>
                <w:i/>
                <w:szCs w:val="22"/>
                <w:lang w:val="en-CA"/>
              </w:rPr>
            </w:pPr>
            <w:r>
              <w:rPr>
                <w:i/>
                <w:szCs w:val="22"/>
                <w:lang w:val="en-CA"/>
              </w:rPr>
              <w:t>Author(s) or</w:t>
              <w:br/>
              <w:t>Contact(s):</w:t>
            </w:r>
          </w:p>
        </w:tc>
        <w:tc>
          <w:tcPr>
            <w:tcW w:w="3942" w:type="dxa"/>
            <w:tcBorders/>
            <w:shd w:color="auto" w:fill="auto" w:val="clear"/>
          </w:tcPr>
          <w:p>
            <w:pPr>
              <w:pStyle w:val="Normal"/>
              <w:spacing w:before="60" w:after="60"/>
              <w:rPr>
                <w:szCs w:val="22"/>
                <w:lang w:val="de-DE"/>
              </w:rPr>
            </w:pPr>
            <w:r>
              <w:rPr>
                <w:szCs w:val="22"/>
                <w:lang w:val="de-DE"/>
              </w:rPr>
              <w:t>Christian Herglotz</w:t>
            </w:r>
          </w:p>
          <w:p>
            <w:pPr>
              <w:pStyle w:val="Normal"/>
              <w:spacing w:before="60" w:after="60"/>
              <w:rPr>
                <w:szCs w:val="22"/>
                <w:lang w:val="de-DE"/>
              </w:rPr>
            </w:pPr>
            <w:r>
              <w:rPr>
                <w:szCs w:val="22"/>
                <w:lang w:val="de-DE"/>
              </w:rPr>
              <w:t>Matthias Kränzler</w:t>
            </w:r>
          </w:p>
          <w:p>
            <w:pPr>
              <w:pStyle w:val="Normal"/>
              <w:spacing w:before="60" w:after="60"/>
              <w:rPr>
                <w:szCs w:val="22"/>
                <w:lang w:val="de-DE"/>
              </w:rPr>
            </w:pPr>
            <w:r>
              <w:rPr>
                <w:szCs w:val="22"/>
                <w:lang w:val="de-DE"/>
              </w:rPr>
              <w:t>André Kaup</w:t>
            </w:r>
          </w:p>
          <w:p>
            <w:pPr>
              <w:pStyle w:val="Normal33"/>
              <w:spacing w:before="60" w:after="60"/>
              <w:rPr>
                <w:szCs w:val="22"/>
                <w:lang w:val="de-DE"/>
              </w:rPr>
            </w:pPr>
            <w:r>
              <w:rPr>
                <w:szCs w:val="22"/>
                <w:lang w:val="de-DE"/>
              </w:rPr>
            </w:r>
          </w:p>
        </w:tc>
        <w:tc>
          <w:tcPr>
            <w:tcW w:w="900" w:type="dxa"/>
            <w:tcBorders/>
            <w:shd w:color="auto" w:fill="auto" w:val="clear"/>
          </w:tcPr>
          <w:p>
            <w:pPr>
              <w:pStyle w:val="Normal33"/>
              <w:spacing w:before="60" w:after="60"/>
              <w:jc w:val="left"/>
              <w:rPr/>
            </w:pPr>
            <w:r>
              <w:rPr/>
              <w:t xml:space="preserve">Email: </w:t>
              <w:br/>
              <w:br/>
              <w:br/>
            </w:r>
          </w:p>
          <w:p>
            <w:pPr>
              <w:pStyle w:val="Normal"/>
              <w:spacing w:before="60" w:after="60"/>
              <w:rPr>
                <w:szCs w:val="22"/>
                <w:lang w:val="en-CA"/>
              </w:rPr>
            </w:pPr>
            <w:r>
              <w:rPr>
                <w:szCs w:val="22"/>
                <w:lang w:val="en-CA"/>
              </w:rPr>
            </w:r>
          </w:p>
        </w:tc>
        <w:tc>
          <w:tcPr>
            <w:tcW w:w="3059" w:type="dxa"/>
            <w:tcBorders/>
            <w:shd w:color="auto" w:fill="auto" w:val="clear"/>
          </w:tcPr>
          <w:p>
            <w:pPr>
              <w:pStyle w:val="Normal33"/>
              <w:spacing w:before="60" w:after="60"/>
              <w:jc w:val="left"/>
              <w:rPr/>
            </w:pPr>
            <w:hyperlink r:id="rId4">
              <w:r>
                <w:rPr>
                  <w:rStyle w:val="Internetverknpfung"/>
                  <w:szCs w:val="22"/>
                  <w:lang w:val="en-CA"/>
                </w:rPr>
                <w:t>christian.herglotz@fau.de</w:t>
              </w:r>
            </w:hyperlink>
          </w:p>
          <w:p>
            <w:pPr>
              <w:pStyle w:val="Normal33"/>
              <w:rPr/>
            </w:pPr>
            <w:hyperlink r:id="rId5">
              <w:r>
                <w:rPr>
                  <w:rStyle w:val="Internetverknpfung"/>
                  <w:szCs w:val="22"/>
                  <w:lang w:val="en-CA"/>
                </w:rPr>
                <w:t>Matthias.kraenzler@fau.de</w:t>
              </w:r>
            </w:hyperlink>
          </w:p>
          <w:p>
            <w:pPr>
              <w:pStyle w:val="Normal33"/>
              <w:rPr/>
            </w:pPr>
            <w:hyperlink r:id="rId6">
              <w:r>
                <w:rPr>
                  <w:rStyle w:val="Internetverknpfung"/>
                  <w:szCs w:val="22"/>
                  <w:lang w:val="en-CA"/>
                </w:rPr>
                <w:t>Andre.kaup@fau.de</w:t>
              </w:r>
            </w:hyperlink>
          </w:p>
          <w:p>
            <w:pPr>
              <w:pStyle w:val="Normal33"/>
              <w:spacing w:before="60" w:after="60"/>
              <w:rPr>
                <w:szCs w:val="22"/>
                <w:lang w:val="en-CA"/>
              </w:rPr>
            </w:pPr>
            <w:r>
              <w:rPr>
                <w:szCs w:val="22"/>
                <w:lang w:val="en-CA"/>
              </w:rPr>
            </w:r>
          </w:p>
        </w:tc>
      </w:tr>
      <w:tr>
        <w:trPr/>
        <w:tc>
          <w:tcPr>
            <w:tcW w:w="1459" w:type="dxa"/>
            <w:tcBorders/>
            <w:shd w:color="auto" w:fill="auto" w:val="clear"/>
          </w:tcPr>
          <w:p>
            <w:pPr>
              <w:pStyle w:val="Normal"/>
              <w:spacing w:before="60" w:after="60"/>
              <w:rPr>
                <w:i/>
                <w:i/>
                <w:szCs w:val="22"/>
                <w:lang w:val="en-CA"/>
              </w:rPr>
            </w:pPr>
            <w:r>
              <w:rPr>
                <w:i/>
                <w:szCs w:val="22"/>
                <w:lang w:val="en-CA"/>
              </w:rPr>
              <w:t>Source:</w:t>
            </w:r>
          </w:p>
        </w:tc>
        <w:tc>
          <w:tcPr>
            <w:tcW w:w="7901" w:type="dxa"/>
            <w:gridSpan w:val="3"/>
            <w:tcBorders/>
            <w:shd w:color="auto" w:fill="auto" w:val="clear"/>
          </w:tcPr>
          <w:p>
            <w:pPr>
              <w:pStyle w:val="Normal33"/>
              <w:spacing w:before="60" w:after="60"/>
              <w:jc w:val="left"/>
              <w:rPr/>
            </w:pPr>
            <w:r>
              <w:rPr>
                <w:szCs w:val="22"/>
                <w:lang w:val="en-CA"/>
              </w:rPr>
              <w:t>Multimedia Communications and Signal Processing, Friedrich-Alexander Universit</w:t>
            </w:r>
            <w:r>
              <w:rPr>
                <w:szCs w:val="22"/>
                <w:lang w:val="en-CA"/>
              </w:rPr>
              <w:t>ät</w:t>
            </w:r>
            <w:r>
              <w:rPr>
                <w:szCs w:val="22"/>
                <w:lang w:val="en-CA"/>
              </w:rPr>
              <w:t xml:space="preserve"> Erlangen-Nürnberg (FAU)</w:t>
            </w:r>
          </w:p>
          <w:p>
            <w:pPr>
              <w:pStyle w:val="Normal33"/>
              <w:spacing w:before="60" w:after="60"/>
              <w:rPr>
                <w:szCs w:val="22"/>
                <w:lang w:val="en-CA"/>
              </w:rPr>
            </w:pPr>
            <w:r>
              <w:rPr>
                <w:szCs w:val="22"/>
                <w:lang w:val="en-CA"/>
              </w:rPr>
            </w:r>
          </w:p>
        </w:tc>
      </w:tr>
    </w:tbl>
    <w:p>
      <w:pPr>
        <w:pStyle w:val="Normal"/>
        <w:tabs>
          <w:tab w:val="left" w:pos="360" w:leader="none"/>
          <w:tab w:val="left" w:pos="720" w:leader="none"/>
          <w:tab w:val="left" w:pos="1080" w:leader="none"/>
          <w:tab w:val="left" w:pos="1440" w:leader="none"/>
          <w:tab w:val="left" w:pos="1800" w:leader="none"/>
          <w:tab w:val="left" w:pos="2160" w:leader="none"/>
          <w:tab w:val="left" w:pos="2520" w:leader="none"/>
          <w:tab w:val="left" w:pos="2880" w:leader="none"/>
          <w:tab w:val="left" w:pos="3240" w:leader="none"/>
          <w:tab w:val="left" w:pos="3600" w:leader="none"/>
          <w:tab w:val="left" w:pos="3960" w:leader="none"/>
          <w:tab w:val="left" w:pos="4320" w:leader="none"/>
          <w:tab w:val="right" w:pos="9360" w:leader="none"/>
        </w:tabs>
        <w:spacing w:before="120" w:after="240"/>
        <w:jc w:val="center"/>
        <w:rPr>
          <w:szCs w:val="22"/>
          <w:lang w:val="en-CA"/>
        </w:rPr>
      </w:pPr>
      <w:r>
        <w:rPr>
          <w:szCs w:val="22"/>
          <w:u w:val="single"/>
          <w:lang w:val="en-CA"/>
        </w:rPr>
        <w:t>_____________________________</w:t>
      </w:r>
    </w:p>
    <w:p>
      <w:pPr>
        <w:pStyle w:val="Berschrift1"/>
        <w:numPr>
          <w:ilvl w:val="0"/>
          <w:numId w:val="0"/>
        </w:numPr>
        <w:ind w:left="432" w:hanging="432"/>
        <w:rPr>
          <w:lang w:val="en-CA"/>
        </w:rPr>
      </w:pPr>
      <w:r>
        <w:rPr>
          <w:lang w:val="en-CA"/>
        </w:rPr>
        <w:t>Abstract</w:t>
      </w:r>
    </w:p>
    <w:p>
      <w:pPr>
        <w:pStyle w:val="Normal"/>
        <w:rPr>
          <w:szCs w:val="22"/>
          <w:lang w:val="en-CA"/>
        </w:rPr>
      </w:pPr>
      <w:r>
        <w:rPr>
          <w:lang w:val="en-CA"/>
        </w:rPr>
        <w:t xml:space="preserve">This document proposes a reference implementation for signaling the Green MPEG complexity metrics for decoder-power reduction and quality metrics for quality recovery after low-power encoding, which are both defined for VVC SEI messages. The implementation complies with the issued DIS </w:t>
      </w:r>
      <w:r>
        <w:rPr>
          <w:rFonts w:eastAsia="Calibri" w:eastAsiaTheme="minorHAnsi"/>
          <w:szCs w:val="22"/>
        </w:rPr>
        <w:t>ISO/IEC 23001-11 3rd edition Energy-Efficient Media Consumption (Green Metadata)</w:t>
      </w:r>
      <w:r>
        <w:rPr>
          <w:lang w:val="en-CA"/>
        </w:rPr>
        <w:t xml:space="preserve">. The implementation is available for the VTM-16.0 encoder and decoder implementation. We propose to include the code for a future version of VTM. </w:t>
      </w:r>
    </w:p>
    <w:p>
      <w:pPr>
        <w:pStyle w:val="Berschrift1"/>
        <w:numPr>
          <w:ilvl w:val="0"/>
          <w:numId w:val="2"/>
        </w:numPr>
        <w:ind w:left="360" w:hanging="360"/>
        <w:rPr>
          <w:lang w:val="en-CA"/>
        </w:rPr>
      </w:pPr>
      <w:r>
        <w:rPr>
          <w:lang w:val="en-CA"/>
        </w:rPr>
        <w:t>Introduction</w:t>
      </w:r>
    </w:p>
    <w:p>
      <w:pPr>
        <w:pStyle w:val="Normal"/>
        <w:rPr>
          <w:rFonts w:eastAsia="Calibri" w:eastAsiaTheme="minorHAnsi"/>
          <w:szCs w:val="22"/>
        </w:rPr>
      </w:pPr>
      <w:r>
        <w:rPr>
          <w:szCs w:val="22"/>
          <w:lang w:val="en-CA"/>
        </w:rPr>
        <w:t xml:space="preserve">In the January 2022 meeting of ISO/IEC JTC 1/SC 29/WG, the DIS of </w:t>
      </w:r>
      <w:r>
        <w:rPr>
          <w:rFonts w:eastAsia="Calibri" w:eastAsiaTheme="minorHAnsi"/>
          <w:szCs w:val="22"/>
        </w:rPr>
        <w:t xml:space="preserve">ISO/IEC 23001-11 3rd edition Energy-Efficient Media Consumption (Green Metadata) [2] was issued. In this document, SEI metadata for VVC for energy-efficient media consumption is specified. In particular, Chapters 5.2 and 8 of ISO/IEC 23001-11 3rd edition define syntax used in VVC SEI messages targeting complexity metrics for decoder-power reduction and metrics for quality recovery after low-power encoding, respectively. In this document, we present a software patch for the VTM encoder and decoder that implements the functionality of this syntax based on the implementation presented in [1]. In this respect, Section 2 presents the decoder implementation, Section 3 the encoder implementation, and Section 4 concludes this document. </w:t>
      </w:r>
    </w:p>
    <w:p>
      <w:pPr>
        <w:pStyle w:val="Berschrift1"/>
        <w:numPr>
          <w:ilvl w:val="0"/>
          <w:numId w:val="2"/>
        </w:numPr>
        <w:ind w:left="360" w:hanging="360"/>
        <w:rPr>
          <w:lang w:val="en-CA"/>
        </w:rPr>
      </w:pPr>
      <w:r>
        <w:rPr>
          <w:lang w:val="en-CA"/>
        </w:rPr>
        <w:t>Green-Metadata Decoder Implementation</w:t>
      </w:r>
    </w:p>
    <w:p>
      <w:pPr>
        <w:pStyle w:val="Normal"/>
        <w:rPr/>
      </w:pPr>
      <w:r>
        <w:rPr>
          <w:lang w:val="en-CA"/>
        </w:rPr>
        <w:t xml:space="preserve">The Green-Metadata parsing code is implemented on top of VTM-16.0 and available at </w:t>
      </w:r>
      <w:hyperlink r:id="rId7">
        <w:r>
          <w:rPr>
            <w:rStyle w:val="Internetverknpfung"/>
          </w:rPr>
          <w:t>https://gitlab.lms.tf.fau.de/LMS/vtm-analyzer</w:t>
        </w:r>
      </w:hyperlink>
      <w:r>
        <w:rPr>
          <w:lang w:val="en-CA"/>
        </w:rPr>
        <w:t xml:space="preserve">. The additional code is indicated by the preprocessor </w:t>
      </w:r>
      <w:r>
        <w:rPr>
          <w:rFonts w:cs="Consolas" w:ascii="Consolas" w:hAnsi="Consolas"/>
          <w:color w:val="000000" w:themeColor="text1"/>
          <w:sz w:val="19"/>
          <w:szCs w:val="19"/>
        </w:rPr>
        <w:t>JVET_W0071_SEI [1].</w:t>
      </w:r>
      <w:r>
        <w:rPr>
          <w:color w:val="000000" w:themeColor="text1"/>
          <w:sz w:val="19"/>
          <w:szCs w:val="19"/>
        </w:rPr>
        <w:t xml:space="preserve"> </w:t>
      </w:r>
      <w:r>
        <w:rPr>
          <w:color w:val="000000" w:themeColor="text1"/>
          <w:szCs w:val="22"/>
        </w:rPr>
        <w:t xml:space="preserve">The main functionality is included in the function </w:t>
      </w:r>
      <w:r>
        <w:rPr>
          <w:color w:val="000000" w:themeColor="text1"/>
          <w:sz w:val="19"/>
          <w:szCs w:val="19"/>
        </w:rPr>
        <w:t>“</w:t>
      </w:r>
      <w:r>
        <w:rPr>
          <w:rFonts w:cs="Consolas" w:ascii="Consolas" w:hAnsi="Consolas"/>
          <w:color w:val="000000"/>
          <w:sz w:val="19"/>
          <w:szCs w:val="19"/>
        </w:rPr>
        <w:t>xParseSEIGreenMetadataInfo()“</w:t>
      </w:r>
      <w:r>
        <w:rPr>
          <w:color w:val="000000"/>
          <w:szCs w:val="22"/>
        </w:rPr>
        <w:t xml:space="preserve"> in the file </w:t>
      </w:r>
      <w:r>
        <w:rPr>
          <w:rFonts w:cs="Consolas" w:ascii="Consolas" w:hAnsi="Consolas"/>
          <w:color w:val="000000"/>
          <w:sz w:val="19"/>
          <w:szCs w:val="19"/>
        </w:rPr>
        <w:t>SEIread.cpp</w:t>
      </w:r>
      <w:r>
        <w:rPr>
          <w:color w:val="000000"/>
          <w:szCs w:val="22"/>
        </w:rPr>
        <w:t>, which parses the SEI message and saves the data in the class</w:t>
      </w:r>
      <w:r>
        <w:rPr>
          <w:rFonts w:cs="Consolas" w:ascii="Consolas" w:hAnsi="Consolas"/>
          <w:color w:val="000000"/>
          <w:sz w:val="19"/>
          <w:szCs w:val="19"/>
        </w:rPr>
        <w:t xml:space="preserve"> </w:t>
      </w:r>
      <w:r>
        <w:rPr>
          <w:rFonts w:cs="Consolas" w:ascii="Consolas" w:hAnsi="Consolas"/>
          <w:color w:val="000000" w:themeColor="text1"/>
          <w:sz w:val="19"/>
          <w:szCs w:val="19"/>
        </w:rPr>
        <w:t>SEIGreenMetadataInfo</w:t>
      </w:r>
      <w:r>
        <w:rPr>
          <w:color w:val="000000" w:themeColor="text1"/>
          <w:szCs w:val="22"/>
        </w:rPr>
        <w:t xml:space="preserve">, which is derived from the SEI class. Parsing functionality is available for both decoder complexity metrics and quality recovery after low-power encoding (Chapters 5.2 and 8 of </w:t>
      </w:r>
      <w:r>
        <w:rPr>
          <w:rFonts w:eastAsia="Calibri" w:eastAsiaTheme="minorHAnsi"/>
          <w:szCs w:val="22"/>
        </w:rPr>
        <w:t>ISO/IEC 23001-11 3rd edition, respectively). The corresponding syntax is described in [2].</w:t>
      </w:r>
    </w:p>
    <w:p>
      <w:pPr>
        <w:pStyle w:val="Normal"/>
        <w:rPr/>
      </w:pPr>
      <w:r>
        <w:rPr>
          <w:rFonts w:eastAsia="Calibri" w:eastAsiaTheme="minorHAnsi"/>
          <w:szCs w:val="22"/>
        </w:rPr>
        <w:t xml:space="preserve">In addition, a dedicated parser for Green-MPEG metadata is available. It takes any VVC coded bit stream as in input and prints available Green-Metadata to the screen. The application is called “GreenMPEGAnalyzerApp” and part of the repository. </w:t>
      </w:r>
    </w:p>
    <w:p>
      <w:pPr>
        <w:pStyle w:val="Berschrift1"/>
        <w:numPr>
          <w:ilvl w:val="0"/>
          <w:numId w:val="2"/>
        </w:numPr>
        <w:ind w:left="360" w:hanging="360"/>
        <w:rPr>
          <w:lang w:val="en-CA"/>
        </w:rPr>
      </w:pPr>
      <w:r>
        <w:rPr>
          <w:lang w:val="en-CA"/>
        </w:rPr>
        <w:t>Green-Metadata Encoder Implementation</w:t>
      </w:r>
    </w:p>
    <w:p>
      <w:pPr>
        <w:pStyle w:val="Normal"/>
        <w:rPr/>
      </w:pPr>
      <w:r>
        <w:rPr>
          <w:lang w:val="en-CA"/>
        </w:rPr>
        <w:t xml:space="preserve">For the generation of GREEN-Metadata in VVC SEI messages, functionality for generating complexity metrics, quality metrics, and for writing the corresponding syntax in the bit stream is implemented on top of VTM-16.0 and available at </w:t>
      </w:r>
      <w:hyperlink r:id="rId8">
        <w:r>
          <w:rPr>
            <w:rStyle w:val="Internetverknpfung"/>
          </w:rPr>
          <w:t>https://gitlab.lms.tf.fau.de/LMS/vtm-analyzer</w:t>
        </w:r>
      </w:hyperlink>
      <w:r>
        <w:rPr>
          <w:lang w:val="en-CA"/>
        </w:rPr>
        <w:t xml:space="preserve">. </w:t>
      </w:r>
    </w:p>
    <w:p>
      <w:pPr>
        <w:pStyle w:val="Normal"/>
        <w:rPr>
          <w:lang w:val="en-CA"/>
        </w:rPr>
      </w:pPr>
      <w:r>
        <w:rPr>
          <w:lang w:val="en-CA"/>
        </w:rPr>
        <w:t xml:space="preserve">Concerning complexity metrics (CMs) for decoder-power reduction, the determination of the CMs is implemented using the bit stream feature analyzer (BSFA) presented in [3]. Originally, BSFA was restricted to the decoder. For SEI signalling, the functionality was extended to also count features during encoding. To determine CMs, the feature numbers of the subset of features corresponding to the CMs defined in [2] are exploited to determine the values of the CMs. The code for writing the syntax to the bit stream is wrapped by the preprocessor </w:t>
      </w:r>
      <w:r>
        <w:rPr>
          <w:rFonts w:cs="Consolas" w:ascii="Consolas" w:hAnsi="Consolas"/>
          <w:color w:val="000000" w:themeColor="text1"/>
          <w:sz w:val="19"/>
          <w:szCs w:val="19"/>
        </w:rPr>
        <w:t>JVET_W0071_SEI.</w:t>
      </w:r>
      <w:r>
        <w:rPr>
          <w:lang w:val="en-CA"/>
        </w:rPr>
        <w:t xml:space="preserve">The BSFA implementation for the encoder is indicated by the preprocessor </w:t>
      </w:r>
      <w:r>
        <w:rPr>
          <w:rFonts w:cs="Consolas" w:ascii="Consolas" w:hAnsi="Consolas"/>
          <w:color w:val="000000" w:themeColor="text1"/>
          <w:sz w:val="19"/>
          <w:szCs w:val="19"/>
        </w:rPr>
        <w:t>JVET_W0071_BSFA.</w:t>
      </w:r>
      <w:r>
        <w:rPr>
          <w:rFonts w:cs="Consolas" w:ascii="Consolas" w:hAnsi="Consolas"/>
          <w:color w:val="6F008A"/>
          <w:sz w:val="19"/>
          <w:szCs w:val="19"/>
        </w:rPr>
        <w:t xml:space="preserve"> </w:t>
      </w:r>
      <w:r>
        <w:rPr>
          <w:lang w:val="en-CA"/>
        </w:rPr>
        <w:t xml:space="preserve">The current implementation is restricted to write picture-wise CM signaling (period_type = 0x0; granularity_type = 0x0). </w:t>
      </w:r>
    </w:p>
    <w:p>
      <w:pPr>
        <w:pStyle w:val="Normal"/>
        <w:rPr>
          <w:lang w:val="en-CA"/>
        </w:rPr>
      </w:pPr>
      <w:r>
        <w:rPr>
          <w:lang w:val="en-CA"/>
        </w:rPr>
        <w:t xml:space="preserve">Concerning quality metrics (QMs) for quality recovery after low-power encoding, the code for determining picture-wise PSNR, WPSNR, and SSIM values is already included in the VTM software. We exploit the precomputed PSNR value and implemented the code for signaling the PSNR as SEI metadata using the preprocessor </w:t>
      </w:r>
      <w:r>
        <w:rPr>
          <w:rFonts w:cs="Consolas" w:ascii="Consolas" w:hAnsi="Consolas"/>
          <w:color w:val="000000" w:themeColor="text1"/>
          <w:sz w:val="19"/>
          <w:szCs w:val="19"/>
        </w:rPr>
        <w:t>JVET_W0071_SEI.</w:t>
      </w:r>
      <w:r>
        <w:rPr>
          <w:color w:val="000000" w:themeColor="text1"/>
          <w:lang w:val="en-CA"/>
        </w:rPr>
        <w:t xml:space="preserve"> </w:t>
      </w:r>
      <w:r>
        <w:rPr>
          <w:lang w:val="en-CA"/>
        </w:rPr>
        <w:t xml:space="preserve">This implementation allows to write picture-wise PSNRs, which means that a segment is considered to be a single frame. </w:t>
      </w:r>
    </w:p>
    <w:p>
      <w:pPr>
        <w:pStyle w:val="Normal"/>
        <w:rPr/>
      </w:pPr>
      <w:r>
        <w:rPr>
          <w:lang w:val="en-CA"/>
        </w:rPr>
        <w:t xml:space="preserve">A full example of an encoder configuration is provided in the file </w:t>
      </w:r>
      <w:bookmarkStart w:id="0" w:name="_GoBack"/>
      <w:bookmarkEnd w:id="0"/>
      <w:r>
        <w:rPr>
          <w:lang w:val="en-CA"/>
        </w:rPr>
        <w:t xml:space="preserve">cfg/sei_vui/greenMetadataSEI.cfg. Note that functionality in this implementation is only available for the cases described above. </w:t>
      </w:r>
    </w:p>
    <w:p>
      <w:pPr>
        <w:pStyle w:val="Berschrift1"/>
        <w:numPr>
          <w:ilvl w:val="0"/>
          <w:numId w:val="2"/>
        </w:numPr>
        <w:ind w:left="360" w:hanging="360"/>
        <w:rPr>
          <w:lang w:val="en-CA"/>
        </w:rPr>
      </w:pPr>
      <w:r>
        <w:rPr>
          <w:lang w:val="en-CA"/>
        </w:rPr>
        <w:t>Conclusion</w:t>
      </w:r>
    </w:p>
    <w:p>
      <w:pPr>
        <w:pStyle w:val="Normal"/>
        <w:rPr>
          <w:lang w:val="en-CA"/>
        </w:rPr>
      </w:pPr>
      <w:r>
        <w:rPr>
          <w:lang w:val="en-CA"/>
        </w:rPr>
        <w:t xml:space="preserve">This document presented a reference implementation of the Green MPEG complexity metrics for decoder-power reduction and the quality recovery for low-power encoding defined for VVC SEI messages. The decoder implementation is fully compliant with the DIS of Green MPEG [2]. The encoder implementation allows writing SEI messages on picture granularity. We propose to adopt the implementation for a future version of the VTM software. </w:t>
      </w:r>
    </w:p>
    <w:p>
      <w:pPr>
        <w:pStyle w:val="Berschrift1"/>
        <w:numPr>
          <w:ilvl w:val="0"/>
          <w:numId w:val="2"/>
        </w:numPr>
        <w:ind w:left="360" w:hanging="360"/>
        <w:rPr>
          <w:lang w:val="en-CA"/>
        </w:rPr>
      </w:pPr>
      <w:r>
        <w:rPr>
          <w:lang w:val="en-CA"/>
        </w:rPr>
        <w:t>References</w:t>
      </w:r>
    </w:p>
    <w:p>
      <w:pPr>
        <w:pStyle w:val="Normal"/>
        <w:rPr>
          <w:lang w:val="en-CA"/>
        </w:rPr>
      </w:pPr>
      <w:r>
        <w:rPr>
          <w:szCs w:val="22"/>
          <w:lang w:val="en-CA"/>
        </w:rPr>
        <w:t xml:space="preserve">[1] </w:t>
      </w:r>
      <w:r>
        <w:rPr>
          <w:lang w:val="en-CA"/>
        </w:rPr>
        <w:tab/>
        <w:t>C. Herglotz, M. Kränzler, A. Kaup (FAU), E. Francois, M. Radosavljevic, E. Reinhard (InterDigital), X. Ducloux (Harmonic), D. Menard (INSA), Y. He, M. Coban, D. Rusanovskyy, M. Karczewicz (Qualcomm), “AHG9: Green Metadata SEI message for VVC”, JVET-W0071, July 2021.</w:t>
      </w:r>
    </w:p>
    <w:p>
      <w:pPr>
        <w:pStyle w:val="Normal"/>
        <w:rPr>
          <w:lang w:val="en-CA"/>
        </w:rPr>
      </w:pPr>
      <w:r>
        <w:rPr>
          <w:lang w:val="en-CA"/>
        </w:rPr>
        <w:t xml:space="preserve">[2] WG 04 MPEG Systems, “Text of ISO/IEC DIS 23001-11 3rd edition Energy-Efficient Media Consumption (Green Metadata)”, output document MDS21216_WG03_N00495, January 2022. </w:t>
      </w:r>
    </w:p>
    <w:p>
      <w:pPr>
        <w:pStyle w:val="Normal"/>
        <w:rPr/>
      </w:pPr>
      <w:r>
        <w:rPr>
          <w:lang w:val="en-CA"/>
        </w:rPr>
        <w:t xml:space="preserve">[3] </w:t>
      </w:r>
      <w:r>
        <w:rPr>
          <w:rStyle w:val="Author"/>
        </w:rPr>
        <w:t>M. Kränzler</w:t>
      </w:r>
      <w:r>
        <w:rPr/>
        <w:t xml:space="preserve">, </w:t>
      </w:r>
      <w:r>
        <w:rPr>
          <w:rStyle w:val="Author"/>
        </w:rPr>
        <w:t>C. Herglotz</w:t>
      </w:r>
      <w:r>
        <w:rPr/>
        <w:t xml:space="preserve">, </w:t>
      </w:r>
      <w:r>
        <w:rPr>
          <w:rStyle w:val="Author"/>
        </w:rPr>
        <w:t>A. Kaup</w:t>
      </w:r>
      <w:r>
        <w:rPr/>
        <w:t xml:space="preserve">: </w:t>
      </w:r>
      <w:r>
        <w:rPr>
          <w:rStyle w:val="Standardizationtitle"/>
        </w:rPr>
        <w:t>"Bit Stream Feature Analyzer (BSFA) for Coding Tool Statistics based on VTM-10.0"</w:t>
      </w:r>
      <w:r>
        <w:rPr/>
        <w:t xml:space="preserve">, document JVET-T0067, Teleconference, October 2020. </w:t>
      </w:r>
    </w:p>
    <w:p>
      <w:pPr>
        <w:pStyle w:val="Normal"/>
        <w:rPr/>
      </w:pPr>
      <w:r>
        <w:rPr/>
      </w:r>
    </w:p>
    <w:p>
      <w:pPr>
        <w:pStyle w:val="Berschrift1"/>
        <w:numPr>
          <w:ilvl w:val="0"/>
          <w:numId w:val="2"/>
        </w:numPr>
        <w:ind w:left="360" w:hanging="360"/>
        <w:rPr>
          <w:lang w:val="en-CA"/>
        </w:rPr>
      </w:pPr>
      <w:r>
        <w:rPr>
          <w:lang w:val="en-CA"/>
        </w:rPr>
        <w:t>Patent rights declaration(s)</w:t>
      </w:r>
    </w:p>
    <w:p>
      <w:pPr>
        <w:pStyle w:val="Normal"/>
        <w:rPr/>
      </w:pPr>
      <w:r>
        <w:rPr>
          <w:b/>
          <w:szCs w:val="22"/>
          <w:lang w:val="en-CA"/>
        </w:rPr>
        <w:t>The Friedrich-Alexander Universit</w:t>
      </w:r>
      <w:r>
        <w:rPr>
          <w:b/>
          <w:szCs w:val="22"/>
          <w:lang w:val="en-CA"/>
        </w:rPr>
        <w:t>ät</w:t>
      </w:r>
      <w:r>
        <w:rPr>
          <w:b/>
          <w:szCs w:val="22"/>
          <w:lang w:val="en-CA"/>
        </w:rPr>
        <w:t xml:space="preserve"> Erlangen-Nürnberg do not have any current or pending patent rights relating to the technology described in this contribution.</w:t>
      </w:r>
    </w:p>
    <w:sectPr>
      <w:footerReference w:type="default" r:id="rId9"/>
      <w:type w:val="nextPage"/>
      <w:pgSz w:w="12240" w:h="15840"/>
      <w:pgMar w:left="1440" w:right="1440" w:header="0" w:top="1152" w:footer="432" w:bottom="1152" w:gutter="0"/>
      <w:pgNumType w:fmt="decimal"/>
      <w:formProt w:val="false"/>
      <w:textDirection w:val="lrTb"/>
      <w:docGrid w:type="default" w:linePitch="24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Times New Roman Bold">
    <w:charset w:val="01"/>
    <w:family w:val="roman"/>
    <w:pitch w:val="variable"/>
  </w:font>
  <w:font w:name="Tahoma">
    <w:charset w:val="01"/>
    <w:family w:val="roman"/>
    <w:pitch w:val="variable"/>
  </w:font>
  <w:font w:name="Liberation Mono">
    <w:altName w:val="Courier New"/>
    <w:charset w:val="01"/>
    <w:family w:val="roman"/>
    <w:pitch w:val="variable"/>
  </w:font>
  <w:font w:name="Liberation Sans">
    <w:altName w:val="Arial"/>
    <w:charset w:val="01"/>
    <w:family w:val="roman"/>
    <w:pitch w:val="variable"/>
  </w:font>
  <w:font w:name="Cambria">
    <w:charset w:val="01"/>
    <w:family w:val="roman"/>
    <w:pitch w:val="variable"/>
  </w:font>
  <w:font w:name="Consolas">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uzeile"/>
      <w:tabs>
        <w:tab w:val="center" w:pos="4320" w:leader="none"/>
        <w:tab w:val="right" w:pos="8640" w:leader="none"/>
        <w:tab w:val="right" w:pos="9360" w:leader="none"/>
      </w:tabs>
      <w:spacing w:before="136" w:after="0"/>
      <w:rPr/>
    </w:pPr>
    <w:r>
      <w:rPr/>
      <w:tab/>
      <w:t xml:space="preserve">Page: </w:t>
    </w:r>
    <w:r>
      <w:rPr/>
      <w:fldChar w:fldCharType="begin"/>
    </w:r>
    <w:r>
      <w:instrText> PAGE </w:instrText>
    </w:r>
    <w:r>
      <w:fldChar w:fldCharType="separate"/>
    </w:r>
    <w:r>
      <w:t>2</w:t>
    </w:r>
    <w:r>
      <w:fldChar w:fldCharType="end"/>
    </w:r>
    <w:r>
      <w:rPr>
        <w:rStyle w:val="Pagenumber"/>
      </w:rPr>
      <w:tab/>
      <w:t>Date Saved: 2022-04-6</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Berschrift1"/>
      <w:numFmt w:val="decimal"/>
      <w:lvlText w:val="%1"/>
      <w:lvlJc w:val="left"/>
      <w:pPr>
        <w:ind w:left="432" w:hanging="432"/>
      </w:pPr>
    </w:lvl>
    <w:lvl w:ilvl="1">
      <w:start w:val="1"/>
      <w:pStyle w:val="Berschrift2"/>
      <w:numFmt w:val="decimal"/>
      <w:lvlText w:val="%1.%2"/>
      <w:lvlJc w:val="left"/>
      <w:pPr>
        <w:ind w:left="576" w:hanging="576"/>
      </w:pPr>
    </w:lvl>
    <w:lvl w:ilvl="2">
      <w:start w:val="1"/>
      <w:pStyle w:val="Berschrift3"/>
      <w:numFmt w:val="decimal"/>
      <w:lvlText w:val="%1.%2.%3"/>
      <w:lvlJc w:val="left"/>
      <w:pPr>
        <w:ind w:left="720" w:hanging="720"/>
      </w:pPr>
    </w:lvl>
    <w:lvl w:ilvl="3">
      <w:start w:val="1"/>
      <w:pStyle w:val="Berschrift4"/>
      <w:numFmt w:val="decimal"/>
      <w:lvlText w:val="%1.%2.%3.%4"/>
      <w:lvlJc w:val="left"/>
      <w:pPr>
        <w:ind w:left="864" w:hanging="864"/>
      </w:pPr>
    </w:lvl>
    <w:lvl w:ilvl="4">
      <w:start w:val="1"/>
      <w:pStyle w:val="Berschrift5"/>
      <w:numFmt w:val="decimal"/>
      <w:lvlText w:val="%1.%2.%3.%4.%5"/>
      <w:lvlJc w:val="left"/>
      <w:pPr>
        <w:ind w:left="1008" w:hanging="1008"/>
      </w:pPr>
    </w:lvl>
    <w:lvl w:ilvl="5">
      <w:start w:val="1"/>
      <w:pStyle w:val="Berschrift6"/>
      <w:numFmt w:val="decimal"/>
      <w:lvlText w:val="%1.%2.%3.%4.%5.%6"/>
      <w:lvlJc w:val="left"/>
      <w:pPr>
        <w:ind w:left="1152" w:hanging="1152"/>
      </w:pPr>
    </w:lvl>
    <w:lvl w:ilvl="6">
      <w:start w:val="1"/>
      <w:pStyle w:val="Berschrift7"/>
      <w:numFmt w:val="decimal"/>
      <w:lvlText w:val="%1.%2.%3.%4.%5.%6.%7"/>
      <w:lvlJc w:val="left"/>
      <w:pPr>
        <w:ind w:left="1296" w:hanging="1296"/>
      </w:pPr>
    </w:lvl>
    <w:lvl w:ilvl="7">
      <w:start w:val="1"/>
      <w:pStyle w:val="Berschrift8"/>
      <w:numFmt w:val="decimal"/>
      <w:lvlText w:val="%1.%2.%3.%4.%5.%6.%7.%8"/>
      <w:lvlJc w:val="left"/>
      <w:pPr>
        <w:ind w:left="1440" w:hanging="1440"/>
      </w:pPr>
    </w:lvl>
    <w:lvl w:ilvl="8">
      <w:start w:val="1"/>
      <w:numFmt w:val="none"/>
      <w:suff w:val="nothing"/>
      <w:lvlText w:val=""/>
      <w:lvlJc w:val="left"/>
      <w:pPr>
        <w:ind w:left="0" w:hanging="0"/>
      </w:pPr>
    </w:lvl>
  </w:abstractNum>
  <w:abstractNum w:abstractNumId="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compat>
    <w:doNotExpandShiftReturn/>
  </w:compat>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 w:bidi="mr-IN"/>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US" w:eastAsia="en-US" w:bidi="ar-SA"/>
      </w:rPr>
    </w:rPrDefault>
    <w:pPrDefault>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c00dde"/>
    <w:pPr>
      <w:widowControl/>
      <w:tabs>
        <w:tab w:val="left" w:pos="360" w:leader="none"/>
        <w:tab w:val="left" w:pos="720" w:leader="none"/>
        <w:tab w:val="left" w:pos="1080" w:leader="none"/>
        <w:tab w:val="left" w:pos="1440" w:leader="none"/>
        <w:tab w:val="left" w:pos="1800" w:leader="none"/>
        <w:tab w:val="left" w:pos="2160" w:leader="none"/>
        <w:tab w:val="left" w:pos="2520" w:leader="none"/>
        <w:tab w:val="left" w:pos="2880" w:leader="none"/>
        <w:tab w:val="left" w:pos="3240" w:leader="none"/>
        <w:tab w:val="left" w:pos="3600" w:leader="none"/>
        <w:tab w:val="left" w:pos="3960" w:leader="none"/>
        <w:tab w:val="left" w:pos="4320" w:leader="none"/>
      </w:tabs>
      <w:bidi w:val="0"/>
      <w:spacing w:before="136" w:after="0"/>
      <w:jc w:val="both"/>
      <w:textAlignment w:val="baseline"/>
    </w:pPr>
    <w:rPr>
      <w:rFonts w:ascii="Times New Roman" w:hAnsi="Times New Roman" w:eastAsia="Times New Roman" w:cs="Times New Roman"/>
      <w:color w:val="auto"/>
      <w:sz w:val="22"/>
      <w:szCs w:val="20"/>
      <w:lang w:val="en-US" w:eastAsia="en-US" w:bidi="ar-SA"/>
    </w:rPr>
  </w:style>
  <w:style w:type="paragraph" w:styleId="Berschrift1">
    <w:name w:val="Heading 1"/>
    <w:basedOn w:val="Normal"/>
    <w:next w:val="Normal"/>
    <w:qFormat/>
    <w:rsid w:val="00e11923"/>
    <w:pPr>
      <w:keepNext w:val="true"/>
      <w:numPr>
        <w:ilvl w:val="0"/>
        <w:numId w:val="1"/>
      </w:numPr>
      <w:spacing w:before="240" w:after="60"/>
      <w:ind w:left="360" w:hanging="360"/>
      <w:outlineLvl w:val="0"/>
    </w:pPr>
    <w:rPr>
      <w:rFonts w:cs="Arial"/>
      <w:b/>
      <w:bCs/>
      <w:sz w:val="32"/>
      <w:szCs w:val="32"/>
    </w:rPr>
  </w:style>
  <w:style w:type="paragraph" w:styleId="Berschrift2">
    <w:name w:val="Heading 2"/>
    <w:basedOn w:val="Normal"/>
    <w:next w:val="Normal"/>
    <w:qFormat/>
    <w:rsid w:val="00e11923"/>
    <w:pPr>
      <w:keepNext w:val="true"/>
      <w:numPr>
        <w:ilvl w:val="1"/>
        <w:numId w:val="1"/>
      </w:numPr>
      <w:spacing w:before="240" w:after="60"/>
      <w:ind w:left="720" w:hanging="720"/>
      <w:outlineLvl w:val="1"/>
    </w:pPr>
    <w:rPr>
      <w:b/>
      <w:bCs/>
      <w:i/>
      <w:iCs/>
      <w:sz w:val="28"/>
      <w:szCs w:val="28"/>
    </w:rPr>
  </w:style>
  <w:style w:type="paragraph" w:styleId="Berschrift3">
    <w:name w:val="Heading 3"/>
    <w:basedOn w:val="Normal"/>
    <w:next w:val="Normal"/>
    <w:qFormat/>
    <w:rsid w:val="002b191d"/>
    <w:pPr>
      <w:keepNext w:val="true"/>
      <w:numPr>
        <w:ilvl w:val="2"/>
        <w:numId w:val="1"/>
      </w:numPr>
      <w:spacing w:before="240" w:after="60"/>
      <w:outlineLvl w:val="2"/>
    </w:pPr>
    <w:rPr>
      <w:b/>
      <w:bCs/>
      <w:sz w:val="26"/>
      <w:szCs w:val="26"/>
    </w:rPr>
  </w:style>
  <w:style w:type="paragraph" w:styleId="Berschrift4">
    <w:name w:val="Heading 4"/>
    <w:basedOn w:val="Normal"/>
    <w:next w:val="Normal"/>
    <w:qFormat/>
    <w:rsid w:val="004234f0"/>
    <w:pPr>
      <w:keepNext w:val="true"/>
      <w:numPr>
        <w:ilvl w:val="3"/>
        <w:numId w:val="1"/>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Normal"/>
    <w:next w:val="Normal"/>
    <w:qFormat/>
    <w:rsid w:val="004234f0"/>
    <w:pPr>
      <w:keepNext w:val="true"/>
      <w:numPr>
        <w:ilvl w:val="4"/>
        <w:numId w:val="1"/>
      </w:numPr>
      <w:spacing w:before="240" w:after="60"/>
      <w:ind w:left="1080" w:hanging="1080"/>
      <w:outlineLvl w:val="4"/>
    </w:pPr>
    <w:rPr>
      <w:b/>
      <w:bCs/>
      <w:i/>
      <w:iCs/>
      <w:sz w:val="24"/>
      <w:szCs w:val="26"/>
    </w:rPr>
  </w:style>
  <w:style w:type="paragraph" w:styleId="Berschrift6">
    <w:name w:val="Heading 6"/>
    <w:basedOn w:val="Normal"/>
    <w:next w:val="Normal"/>
    <w:qFormat/>
    <w:rsid w:val="000e00f3"/>
    <w:pPr>
      <w:keepNext w:val="true"/>
      <w:numPr>
        <w:ilvl w:val="5"/>
        <w:numId w:val="1"/>
      </w:numPr>
      <w:spacing w:before="240" w:after="60"/>
      <w:ind w:left="1080" w:hanging="1080"/>
      <w:outlineLvl w:val="5"/>
    </w:pPr>
    <w:rPr>
      <w:b/>
      <w:bCs/>
      <w:szCs w:val="22"/>
    </w:rPr>
  </w:style>
  <w:style w:type="paragraph" w:styleId="Berschrift7">
    <w:name w:val="Heading 7"/>
    <w:basedOn w:val="Normal"/>
    <w:next w:val="Normal"/>
    <w:qFormat/>
    <w:rsid w:val="004234f0"/>
    <w:pPr>
      <w:keepNext w:val="true"/>
      <w:numPr>
        <w:ilvl w:val="6"/>
        <w:numId w:val="1"/>
      </w:numPr>
      <w:spacing w:before="240" w:after="60"/>
      <w:ind w:left="1440" w:hanging="1440"/>
      <w:outlineLvl w:val="6"/>
    </w:pPr>
    <w:rPr>
      <w:szCs w:val="24"/>
    </w:rPr>
  </w:style>
  <w:style w:type="paragraph" w:styleId="Berschrift8">
    <w:name w:val="Heading 8"/>
    <w:basedOn w:val="Normal"/>
    <w:next w:val="Normal"/>
    <w:qFormat/>
    <w:rsid w:val="004234f0"/>
    <w:pPr>
      <w:keepNext w:val="true"/>
      <w:numPr>
        <w:ilvl w:val="7"/>
        <w:numId w:val="1"/>
      </w:numPr>
      <w:spacing w:before="240" w:after="60"/>
      <w:ind w:left="1800" w:hanging="1800"/>
      <w:outlineLvl w:val="7"/>
    </w:pPr>
    <w:rPr>
      <w:i/>
      <w:iCs/>
      <w:szCs w:val="24"/>
    </w:rPr>
  </w:style>
  <w:style w:type="paragraph" w:styleId="Berschrift9">
    <w:name w:val="Heading 9"/>
    <w:basedOn w:val="Normal"/>
    <w:next w:val="Normal"/>
    <w:qFormat/>
    <w:rsid w:val="000e00f3"/>
    <w:pPr>
      <w:keepNext w:val="true"/>
      <w:spacing w:before="240" w:after="60"/>
      <w:ind w:left="1440" w:hanging="1440"/>
      <w:outlineLvl w:val="8"/>
    </w:pPr>
    <w:rPr>
      <w:b/>
      <w:szCs w:val="22"/>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Pr/>
  </w:style>
  <w:style w:type="character" w:styleId="Internetverknpfung">
    <w:name w:val="Internetverknüpfung"/>
    <w:basedOn w:val="DefaultParagraphFont"/>
    <w:uiPriority w:val="99"/>
    <w:unhideWhenUsed/>
    <w:rsid w:val="00b7678f"/>
    <w:rPr>
      <w:color w:val="0000FF"/>
      <w:u w:val="single"/>
    </w:rPr>
  </w:style>
  <w:style w:type="character" w:styleId="Berschrift2Zchn" w:customStyle="1">
    <w:name w:val="Überschrift 2 Zchn"/>
    <w:qFormat/>
    <w:rsid w:val="00e11923"/>
    <w:rPr>
      <w:b/>
      <w:bCs/>
      <w:i/>
      <w:iCs/>
      <w:sz w:val="28"/>
      <w:szCs w:val="28"/>
      <w:lang w:eastAsia="en-US"/>
    </w:rPr>
  </w:style>
  <w:style w:type="character" w:styleId="Berschrift3Zchn" w:customStyle="1">
    <w:name w:val="Überschrift 3 Zchn"/>
    <w:qFormat/>
    <w:rsid w:val="002b191d"/>
    <w:rPr>
      <w:b/>
      <w:bCs/>
      <w:sz w:val="26"/>
      <w:szCs w:val="26"/>
      <w:lang w:eastAsia="en-US"/>
    </w:rPr>
  </w:style>
  <w:style w:type="character" w:styleId="Berschrift4Zchn" w:customStyle="1">
    <w:name w:val="Überschrift 4 Zchn"/>
    <w:qFormat/>
    <w:rsid w:val="004234f0"/>
    <w:rPr>
      <w:rFonts w:ascii="Times New Roman Bold" w:hAnsi="Times New Roman Bold"/>
      <w:b/>
      <w:bCs/>
      <w:sz w:val="24"/>
      <w:szCs w:val="28"/>
    </w:rPr>
  </w:style>
  <w:style w:type="character" w:styleId="Berschrift5Zchn" w:customStyle="1">
    <w:name w:val="Überschrift 5 Zchn"/>
    <w:qFormat/>
    <w:rsid w:val="004234f0"/>
    <w:rPr>
      <w:b/>
      <w:bCs/>
      <w:i/>
      <w:iCs/>
      <w:sz w:val="24"/>
      <w:szCs w:val="26"/>
    </w:rPr>
  </w:style>
  <w:style w:type="character" w:styleId="Berschrift6Zchn" w:customStyle="1">
    <w:name w:val="Überschrift 6 Zchn"/>
    <w:qFormat/>
    <w:rsid w:val="000e00f3"/>
    <w:rPr>
      <w:b/>
      <w:bCs/>
      <w:sz w:val="22"/>
      <w:szCs w:val="22"/>
      <w:lang w:eastAsia="en-US"/>
    </w:rPr>
  </w:style>
  <w:style w:type="character" w:styleId="Berschrift7Zchn" w:customStyle="1">
    <w:name w:val="Überschrift 7 Zchn"/>
    <w:qFormat/>
    <w:rsid w:val="004234f0"/>
    <w:rPr>
      <w:sz w:val="22"/>
      <w:szCs w:val="24"/>
    </w:rPr>
  </w:style>
  <w:style w:type="character" w:styleId="Berschrift8Zchn" w:customStyle="1">
    <w:name w:val="Überschrift 8 Zchn"/>
    <w:qFormat/>
    <w:rsid w:val="004234f0"/>
    <w:rPr>
      <w:i/>
      <w:iCs/>
      <w:sz w:val="22"/>
      <w:szCs w:val="24"/>
    </w:rPr>
  </w:style>
  <w:style w:type="character" w:styleId="Berschrift9Zchn" w:customStyle="1">
    <w:name w:val="Überschrift 9 Zchn"/>
    <w:qFormat/>
    <w:rsid w:val="000e00f3"/>
    <w:rPr>
      <w:b/>
      <w:sz w:val="22"/>
      <w:szCs w:val="22"/>
      <w:lang w:eastAsia="en-US"/>
    </w:rPr>
  </w:style>
  <w:style w:type="character" w:styleId="FollowedHyperlink">
    <w:name w:val="FollowedHyperlink"/>
    <w:qFormat/>
    <w:rsid w:val="003373ec"/>
    <w:rPr>
      <w:color w:val="800080"/>
      <w:u w:val="single"/>
    </w:rPr>
  </w:style>
  <w:style w:type="character" w:styleId="DokumentstrukturZchn" w:customStyle="1">
    <w:name w:val="Dokumentstruktur Zchn"/>
    <w:link w:val="Dokumentstruktur"/>
    <w:qFormat/>
    <w:rsid w:val="00e11923"/>
    <w:rPr>
      <w:rFonts w:ascii="Tahoma" w:hAnsi="Tahoma" w:cs="Tahoma"/>
      <w:sz w:val="16"/>
      <w:szCs w:val="16"/>
      <w:lang w:eastAsia="en-US"/>
    </w:rPr>
  </w:style>
  <w:style w:type="character" w:styleId="Referencetext" w:customStyle="1">
    <w:name w:val="reference-text"/>
    <w:qFormat/>
    <w:rsid w:val="000b1f24"/>
    <w:rPr/>
  </w:style>
  <w:style w:type="character" w:styleId="Author" w:customStyle="1">
    <w:name w:val="author"/>
    <w:basedOn w:val="DefaultParagraphFont"/>
    <w:qFormat/>
    <w:rsid w:val="0096101f"/>
    <w:rPr/>
  </w:style>
  <w:style w:type="character" w:styleId="Standardizationtitle" w:customStyle="1">
    <w:name w:val="standardization-title"/>
    <w:basedOn w:val="DefaultParagraphFont"/>
    <w:qFormat/>
    <w:rsid w:val="0096101f"/>
    <w:rPr/>
  </w:style>
  <w:style w:type="character" w:styleId="ListLabel1" w:customStyle="1">
    <w:name w:val="ListLabel 1"/>
    <w:qFormat/>
    <w:rPr>
      <w:rFonts w:cs="Courier New"/>
    </w:rPr>
  </w:style>
  <w:style w:type="character" w:styleId="ListLabel2" w:customStyle="1">
    <w:name w:val="ListLabel 2"/>
    <w:qFormat/>
    <w:rPr>
      <w:rFonts w:cs="Courier New"/>
    </w:rPr>
  </w:style>
  <w:style w:type="character" w:styleId="ListLabel3" w:customStyle="1">
    <w:name w:val="ListLabel 3"/>
    <w:qFormat/>
    <w:rPr>
      <w:rFonts w:cs="Courier New"/>
    </w:rPr>
  </w:style>
  <w:style w:type="character" w:styleId="ListLabel4" w:customStyle="1">
    <w:name w:val="ListLabel 4"/>
    <w:qFormat/>
    <w:rPr>
      <w:rFonts w:cs="Courier New"/>
    </w:rPr>
  </w:style>
  <w:style w:type="character" w:styleId="ListLabel5" w:customStyle="1">
    <w:name w:val="ListLabel 5"/>
    <w:qFormat/>
    <w:rPr>
      <w:rFonts w:cs="Courier New"/>
    </w:rPr>
  </w:style>
  <w:style w:type="character" w:styleId="ListLabel6" w:customStyle="1">
    <w:name w:val="ListLabel 6"/>
    <w:qFormat/>
    <w:rPr>
      <w:rFonts w:cs="Courier New"/>
    </w:rPr>
  </w:style>
  <w:style w:type="character" w:styleId="ListLabel7" w:customStyle="1">
    <w:name w:val="ListLabel 7"/>
    <w:qFormat/>
    <w:rPr>
      <w:rFonts w:cs="Courier New"/>
    </w:rPr>
  </w:style>
  <w:style w:type="character" w:styleId="ListLabel8" w:customStyle="1">
    <w:name w:val="ListLabel 8"/>
    <w:qFormat/>
    <w:rPr>
      <w:rFonts w:cs="Courier New"/>
    </w:rPr>
  </w:style>
  <w:style w:type="character" w:styleId="ListLabel9" w:customStyle="1">
    <w:name w:val="ListLabel 9"/>
    <w:qFormat/>
    <w:rPr>
      <w:rFonts w:cs="Courier New"/>
    </w:rPr>
  </w:style>
  <w:style w:type="character" w:styleId="ListLabel10" w:customStyle="1">
    <w:name w:val="ListLabel 10"/>
    <w:qFormat/>
    <w:rPr>
      <w:rFonts w:cs="Courier New"/>
    </w:rPr>
  </w:style>
  <w:style w:type="character" w:styleId="ListLabel11" w:customStyle="1">
    <w:name w:val="ListLabel 11"/>
    <w:qFormat/>
    <w:rPr>
      <w:rFonts w:cs="Courier New"/>
    </w:rPr>
  </w:style>
  <w:style w:type="character" w:styleId="ListLabel12" w:customStyle="1">
    <w:name w:val="ListLabel 12"/>
    <w:qFormat/>
    <w:rPr>
      <w:rFonts w:cs="Courier New"/>
    </w:rPr>
  </w:style>
  <w:style w:type="character" w:styleId="Quelltext" w:customStyle="1">
    <w:name w:val="Quelltext"/>
    <w:qFormat/>
    <w:rPr>
      <w:rFonts w:ascii="Liberation Mono" w:hAnsi="Liberation Mono" w:eastAsia="Liberation Mono" w:cs="Liberation Mono"/>
    </w:rPr>
  </w:style>
  <w:style w:type="paragraph" w:styleId="Berschrift" w:customStyle="1">
    <w:name w:val="Überschrift"/>
    <w:basedOn w:val="Normal"/>
    <w:next w:val="Textkrper"/>
    <w:qFormat/>
    <w:pPr>
      <w:keepNext w:val="true"/>
      <w:spacing w:before="240" w:after="120"/>
    </w:pPr>
    <w:rPr>
      <w:rFonts w:ascii="Liberation Sans" w:hAnsi="Liberation Sans" w:eastAsia="Tahoma" w:cs="Lohit Devanagari"/>
      <w:sz w:val="28"/>
      <w:szCs w:val="28"/>
    </w:rPr>
  </w:style>
  <w:style w:type="paragraph" w:styleId="Textkrper">
    <w:name w:val="Body Text"/>
    <w:basedOn w:val="Normal"/>
    <w:pPr>
      <w:spacing w:lineRule="auto" w:line="288" w:before="0" w:after="140"/>
    </w:pPr>
    <w:rPr/>
  </w:style>
  <w:style w:type="paragraph" w:styleId="Liste">
    <w:name w:val="List"/>
    <w:basedOn w:val="Textkrper"/>
    <w:pPr/>
    <w:rPr>
      <w:rFonts w:cs="Lohit Devanagari"/>
    </w:rPr>
  </w:style>
  <w:style w:type="paragraph" w:styleId="Beschriftung">
    <w:name w:val="Caption"/>
    <w:basedOn w:val="Normal"/>
    <w:qFormat/>
    <w:pPr>
      <w:suppressLineNumbers/>
      <w:spacing w:before="120" w:after="120"/>
    </w:pPr>
    <w:rPr>
      <w:rFonts w:cs="Lohit Devanagari"/>
      <w:i/>
      <w:iCs/>
      <w:sz w:val="24"/>
      <w:szCs w:val="24"/>
    </w:rPr>
  </w:style>
  <w:style w:type="paragraph" w:styleId="Verzeichnis" w:customStyle="1">
    <w:name w:val="Verzeichnis"/>
    <w:basedOn w:val="Normal"/>
    <w:qFormat/>
    <w:pPr>
      <w:suppressLineNumbers/>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Kopfzeile">
    <w:name w:val="Header"/>
    <w:basedOn w:val="Normal"/>
    <w:pPr>
      <w:tabs>
        <w:tab w:val="center" w:pos="4320" w:leader="none"/>
        <w:tab w:val="right" w:pos="8640" w:leader="none"/>
      </w:tabs>
    </w:pPr>
    <w:rPr/>
  </w:style>
  <w:style w:type="paragraph" w:styleId="Fuzeile">
    <w:name w:val="Footer"/>
    <w:basedOn w:val="Normal"/>
    <w:pPr>
      <w:tabs>
        <w:tab w:val="center" w:pos="4320" w:leader="none"/>
        <w:tab w:val="right" w:pos="8640" w:leader="none"/>
      </w:tabs>
    </w:pPr>
    <w:rPr/>
  </w:style>
  <w:style w:type="paragraph" w:styleId="BalloonText">
    <w:name w:val="Balloon Text"/>
    <w:basedOn w:val="Normal"/>
    <w:semiHidden/>
    <w:qFormat/>
    <w:rsid w:val="009336f7"/>
    <w:pPr/>
    <w:rPr>
      <w:rFonts w:ascii="Tahoma" w:hAnsi="Tahoma" w:cs="Tahoma"/>
      <w:sz w:val="16"/>
      <w:szCs w:val="16"/>
    </w:rPr>
  </w:style>
  <w:style w:type="paragraph" w:styleId="DocumentMap">
    <w:name w:val="Document Map"/>
    <w:basedOn w:val="Normal"/>
    <w:link w:val="DokumentstrukturZchn"/>
    <w:qFormat/>
    <w:rsid w:val="00e11923"/>
    <w:pPr/>
    <w:rPr>
      <w:rFonts w:ascii="Tahoma" w:hAnsi="Tahoma" w:cs="Tahoma"/>
      <w:sz w:val="16"/>
      <w:szCs w:val="16"/>
    </w:rPr>
  </w:style>
  <w:style w:type="paragraph" w:styleId="Revision">
    <w:name w:val="Revision"/>
    <w:uiPriority w:val="99"/>
    <w:semiHidden/>
    <w:qFormat/>
    <w:rsid w:val="004957d9"/>
    <w:pPr>
      <w:widowControl/>
      <w:bidi w:val="0"/>
      <w:jc w:val="left"/>
    </w:pPr>
    <w:rPr>
      <w:rFonts w:ascii="Times New Roman" w:hAnsi="Times New Roman" w:eastAsia="Times New Roman" w:cs="Times New Roman"/>
      <w:color w:val="auto"/>
      <w:sz w:val="22"/>
      <w:szCs w:val="20"/>
      <w:lang w:val="en-US" w:eastAsia="en-US" w:bidi="ar-SA"/>
    </w:rPr>
  </w:style>
  <w:style w:type="paragraph" w:styleId="Normal33" w:customStyle="1">
    <w:name w:val="Normal-3-3"/>
    <w:basedOn w:val="Normal"/>
    <w:qFormat/>
    <w:rsid w:val="003c4687"/>
    <w:pPr>
      <w:spacing w:before="60" w:after="60"/>
      <w:jc w:val="left"/>
    </w:pPr>
    <w:rPr/>
  </w:style>
  <w:style w:type="paragraph" w:styleId="Tablebody" w:customStyle="1">
    <w:name w:val="Table body"/>
    <w:basedOn w:val="Normal"/>
    <w:qFormat/>
    <w:rsid w:val="000b1f24"/>
    <w:pPr>
      <w:overflowPunct w:val="true"/>
      <w:spacing w:lineRule="atLeast" w:line="210" w:before="60" w:after="60"/>
      <w:jc w:val="left"/>
      <w:textAlignment w:val="auto"/>
    </w:pPr>
    <w:rPr>
      <w:rFonts w:ascii="Cambria" w:hAnsi="Cambria"/>
      <w:sz w:val="20"/>
      <w:szCs w:val="22"/>
      <w:lang w:val="en-GB"/>
    </w:rPr>
  </w:style>
  <w:style w:type="paragraph" w:styleId="ListParagraph">
    <w:name w:val="List Paragraph"/>
    <w:basedOn w:val="Normal"/>
    <w:uiPriority w:val="34"/>
    <w:qFormat/>
    <w:rsid w:val="00e44ace"/>
    <w:pPr>
      <w:spacing w:before="136" w:after="0"/>
      <w:ind w:left="720" w:hanging="0"/>
      <w:contextualSpacing/>
    </w:pPr>
    <w:rPr/>
  </w:style>
  <w:style w:type="paragraph" w:styleId="Tabelleninhalt">
    <w:name w:val="Tabelleninhalt"/>
    <w:basedOn w:val="Normal"/>
    <w:qFormat/>
    <w:pPr/>
    <w:rPr/>
  </w:style>
  <w:style w:type="paragraph" w:styleId="Tabellenberschrift">
    <w:name w:val="Tabellenüberschrift"/>
    <w:basedOn w:val="Tabelleninhalt"/>
    <w:qFormat/>
    <w:pPr/>
    <w:rPr/>
  </w:style>
  <w:style w:type="numbering" w:styleId="NoList" w:default="1">
    <w:name w:val="No List"/>
    <w:uiPriority w:val="99"/>
    <w:semiHidden/>
    <w:unhideWhenUsed/>
    <w:qFormat/>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hyperlink" Target="mailto:christian.herglotz@fau.de" TargetMode="External"/><Relationship Id="rId5" Type="http://schemas.openxmlformats.org/officeDocument/2006/relationships/hyperlink" Target="mailto:Matthias.kraenzler@fau.de" TargetMode="External"/><Relationship Id="rId6" Type="http://schemas.openxmlformats.org/officeDocument/2006/relationships/hyperlink" Target="mailto:Andre.kaup@fau.de" TargetMode="External"/><Relationship Id="rId7" Type="http://schemas.openxmlformats.org/officeDocument/2006/relationships/hyperlink" Target="https://gitlab.lms.tf.fau.de/LMS/vtm-analyzer/" TargetMode="External"/><Relationship Id="rId8" Type="http://schemas.openxmlformats.org/officeDocument/2006/relationships/hyperlink" Target="https://gitlab.lms.tf.fau.de/LMS/vtm-analyzer/" TargetMode="External"/><Relationship Id="rId9" Type="http://schemas.openxmlformats.org/officeDocument/2006/relationships/footer" Target="footer1.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Application>LibreOffice/5.3.6.1$Linux_X86_64 LibreOffice_project/30$Build-1</Application>
  <Pages>2</Pages>
  <Words>821</Words>
  <Characters>5057</Characters>
  <CharactersWithSpaces>5845</CharactersWithSpaces>
  <Paragraphs>42</Paragraphs>
  <Company>JCT-VC</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2022-02-08T08:21:00Z</dcterms:created>
  <dc:creator>Gary J. Sullivan &amp; Jens-Rainer Ohm</dc:creator>
  <dc:description/>
  <cp:keywords>JCT-VC MPEG VCEG</cp:keywords>
  <dc:language>de-DE</dc:language>
  <cp:lastModifiedBy/>
  <cp:lastPrinted>1900-01-01T08:00:00Z</cp:lastPrinted>
  <dcterms:modified xsi:type="dcterms:W3CDTF">2022-04-08T20:19:31Z</dcterms:modified>
  <cp:revision>45</cp:revision>
  <dc:subject/>
  <dc:title>Joint Collaborative Team on Video Coding (JCT-VC) Contribution</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JCT-VC</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