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773741" w:rsidR="00E61DAC" w:rsidRPr="005B217D" w:rsidRDefault="005F119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0337A8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3F75">
              <w:t>X0088</w:t>
            </w:r>
            <w:r w:rsidR="006A0E5C" w:rsidRPr="006A0E5C">
              <w:rPr>
                <w:lang w:val="en-CA"/>
              </w:rPr>
              <w:t>-v</w:t>
            </w:r>
            <w:r w:rsidR="000D522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B56985" w:rsidR="00E61DAC" w:rsidRPr="005B217D" w:rsidRDefault="000268AD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</w:rPr>
              <w:t>Non-</w:t>
            </w:r>
            <w:r w:rsidR="008322E3">
              <w:rPr>
                <w:b/>
                <w:szCs w:val="22"/>
                <w:lang w:val="en-CA"/>
              </w:rPr>
              <w:t xml:space="preserve">EE2: </w:t>
            </w:r>
            <w:r>
              <w:rPr>
                <w:b/>
                <w:szCs w:val="22"/>
                <w:lang w:val="en-CA"/>
              </w:rPr>
              <w:t>History</w:t>
            </w:r>
            <w:r w:rsidR="00FD48F5">
              <w:rPr>
                <w:b/>
                <w:szCs w:val="22"/>
                <w:lang w:val="en-CA"/>
              </w:rPr>
              <w:t>-parameter</w:t>
            </w:r>
            <w:r>
              <w:rPr>
                <w:b/>
                <w:szCs w:val="22"/>
                <w:lang w:val="en-CA"/>
              </w:rPr>
              <w:t>-based Affine Model Inheritance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61E8771" w14:textId="5A0494E0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606A9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A615E7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2F906688" w:rsidR="00816D15" w:rsidRPr="000268AD" w:rsidRDefault="00816D15" w:rsidP="00816D1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0268AD">
        <w:t xml:space="preserve">a </w:t>
      </w:r>
      <w:r w:rsidR="00216D77">
        <w:t xml:space="preserve">method of </w:t>
      </w:r>
      <w:r w:rsidR="000268AD">
        <w:t>history-</w:t>
      </w:r>
      <w:r w:rsidR="00FD48F5">
        <w:t>parameter-</w:t>
      </w:r>
      <w:r w:rsidR="000268AD">
        <w:t>based affine model inheritance (HAMI)</w:t>
      </w:r>
      <w:r w:rsidR="000268AD">
        <w:rPr>
          <w:lang w:eastAsia="zh-CN"/>
        </w:rPr>
        <w:t xml:space="preserve">. With HAMI, affine parameters of previously affine-coded block have been stored in a </w:t>
      </w:r>
      <w:r w:rsidR="00FD48F5">
        <w:rPr>
          <w:lang w:val="en-CA"/>
        </w:rPr>
        <w:t xml:space="preserve">History-Parameter Table </w:t>
      </w:r>
      <w:r w:rsidR="000268AD">
        <w:rPr>
          <w:lang w:eastAsia="zh-CN"/>
        </w:rPr>
        <w:t>(</w:t>
      </w:r>
      <w:r w:rsidR="00FD48F5">
        <w:rPr>
          <w:lang w:eastAsia="zh-CN"/>
        </w:rPr>
        <w:t>HPT</w:t>
      </w:r>
      <w:r w:rsidR="000268AD">
        <w:rPr>
          <w:lang w:eastAsia="zh-CN"/>
        </w:rPr>
        <w:t>). New affine merge</w:t>
      </w:r>
      <w:r w:rsidR="00285E61">
        <w:rPr>
          <w:lang w:eastAsia="zh-CN"/>
        </w:rPr>
        <w:t xml:space="preserve"> and AMVP</w:t>
      </w:r>
      <w:r w:rsidR="000268AD">
        <w:rPr>
          <w:lang w:eastAsia="zh-CN"/>
        </w:rPr>
        <w:t xml:space="preserve"> candidates</w:t>
      </w:r>
      <w:r w:rsidR="00285E61">
        <w:rPr>
          <w:lang w:eastAsia="zh-CN"/>
        </w:rPr>
        <w:t xml:space="preserve"> as well as</w:t>
      </w:r>
      <w:r w:rsidR="000268AD">
        <w:rPr>
          <w:lang w:eastAsia="zh-CN"/>
        </w:rPr>
        <w:t xml:space="preserve"> new regular merge candidates </w:t>
      </w:r>
      <w:r w:rsidR="00FD48F5">
        <w:rPr>
          <w:lang w:eastAsia="zh-CN"/>
        </w:rPr>
        <w:t>can be</w:t>
      </w:r>
      <w:r w:rsidR="000268AD">
        <w:rPr>
          <w:lang w:eastAsia="zh-CN"/>
        </w:rPr>
        <w:t xml:space="preserve"> constructed with affine parameters fetched from </w:t>
      </w:r>
      <w:r w:rsidR="00FD48F5">
        <w:rPr>
          <w:lang w:eastAsia="zh-CN"/>
        </w:rPr>
        <w:t xml:space="preserve">HPT </w:t>
      </w:r>
      <w:r w:rsidR="000268AD">
        <w:rPr>
          <w:lang w:eastAsia="zh-CN"/>
        </w:rPr>
        <w:t>and base MVs fetched from neighbouring blocks, and put into the sub-block</w:t>
      </w:r>
      <w:r w:rsidR="00DE768F">
        <w:rPr>
          <w:lang w:eastAsia="zh-CN"/>
        </w:rPr>
        <w:t>-</w:t>
      </w:r>
      <w:r w:rsidR="000268AD">
        <w:rPr>
          <w:lang w:eastAsia="zh-CN"/>
        </w:rPr>
        <w:t>based merge candidate list, the affine AMVP candidate list and the regular merge candidate list, respectively.</w:t>
      </w:r>
      <w:r w:rsidR="00FD48F5" w:rsidRPr="00FD48F5">
        <w:rPr>
          <w:rFonts w:hint="eastAsia"/>
          <w:lang w:val="en-CA" w:eastAsia="zh-CN"/>
        </w:rPr>
        <w:t xml:space="preserve"> </w:t>
      </w:r>
      <w:r w:rsidR="00FD48F5">
        <w:rPr>
          <w:rFonts w:hint="eastAsia"/>
          <w:lang w:val="en-CA" w:eastAsia="zh-CN"/>
        </w:rPr>
        <w:t>O</w:t>
      </w:r>
      <w:r w:rsidR="00FD48F5">
        <w:rPr>
          <w:lang w:val="en-CA" w:eastAsia="zh-CN"/>
        </w:rPr>
        <w:t>n top of ECM-2.0, simulation results of the proposed method are reported as below:</w:t>
      </w:r>
    </w:p>
    <w:p w14:paraId="43EC4C64" w14:textId="37C4007E" w:rsidR="00816D15" w:rsidRDefault="00816D15" w:rsidP="00816D15">
      <w:pPr>
        <w:rPr>
          <w:lang w:val="fr-FR"/>
        </w:rPr>
      </w:pP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0808FA" w:rsidRPr="00A213B0">
        <w:rPr>
          <w:lang w:val="fr-FR"/>
        </w:rPr>
        <w:t>-0.</w:t>
      </w:r>
      <w:r w:rsidR="00A213B0" w:rsidRPr="00A213B0">
        <w:rPr>
          <w:lang w:val="fr-FR"/>
        </w:rPr>
        <w:t>15</w:t>
      </w:r>
      <w:r w:rsidRPr="00A213B0">
        <w:rPr>
          <w:lang w:val="fr-FR"/>
        </w:rPr>
        <w:t xml:space="preserve">%, </w:t>
      </w:r>
      <w:r w:rsidR="000808FA" w:rsidRPr="00A213B0">
        <w:rPr>
          <w:lang w:val="fr-FR"/>
        </w:rPr>
        <w:t>1</w:t>
      </w:r>
      <w:r w:rsidR="00A213B0" w:rsidRPr="00A213B0">
        <w:rPr>
          <w:lang w:val="fr-FR"/>
        </w:rPr>
        <w:t>01</w:t>
      </w:r>
      <w:r w:rsidRPr="00A213B0">
        <w:rPr>
          <w:lang w:val="fr-FR"/>
        </w:rPr>
        <w:t xml:space="preserve">%, </w:t>
      </w:r>
      <w:r w:rsidR="000808FA" w:rsidRPr="00A213B0">
        <w:rPr>
          <w:lang w:val="fr-FR"/>
        </w:rPr>
        <w:t>1</w:t>
      </w:r>
      <w:r w:rsidR="00A213B0" w:rsidRPr="00A213B0">
        <w:rPr>
          <w:lang w:val="fr-FR"/>
        </w:rPr>
        <w:t>00</w:t>
      </w:r>
      <w:r w:rsidRPr="00A213B0">
        <w:rPr>
          <w:lang w:val="fr-FR"/>
        </w:rPr>
        <w:t xml:space="preserve">%; LB: </w:t>
      </w:r>
      <w:r w:rsidR="000808FA" w:rsidRPr="00A213B0">
        <w:rPr>
          <w:lang w:val="fr-FR"/>
        </w:rPr>
        <w:t>-0.</w:t>
      </w:r>
      <w:r w:rsidR="00A213B0" w:rsidRPr="00A213B0">
        <w:rPr>
          <w:lang w:val="fr-FR"/>
        </w:rPr>
        <w:t>12</w:t>
      </w:r>
      <w:r w:rsidRPr="00A213B0">
        <w:rPr>
          <w:lang w:val="fr-FR"/>
        </w:rPr>
        <w:t xml:space="preserve">%, </w:t>
      </w:r>
      <w:r w:rsidR="000808FA" w:rsidRPr="00A213B0">
        <w:rPr>
          <w:lang w:val="fr-FR"/>
        </w:rPr>
        <w:t>1</w:t>
      </w:r>
      <w:r w:rsidR="00A213B0" w:rsidRPr="00A213B0">
        <w:rPr>
          <w:lang w:val="fr-FR"/>
        </w:rPr>
        <w:t>01</w:t>
      </w:r>
      <w:r w:rsidRPr="00A213B0">
        <w:rPr>
          <w:lang w:val="fr-FR"/>
        </w:rPr>
        <w:t xml:space="preserve">%, </w:t>
      </w:r>
      <w:r w:rsidR="000808FA" w:rsidRPr="00A213B0">
        <w:rPr>
          <w:lang w:val="fr-FR"/>
        </w:rPr>
        <w:t>1</w:t>
      </w:r>
      <w:r w:rsidR="00A213B0" w:rsidRPr="00A213B0">
        <w:rPr>
          <w:lang w:val="fr-FR"/>
        </w:rPr>
        <w:t>00</w:t>
      </w:r>
      <w:r w:rsidRPr="00A213B0">
        <w:rPr>
          <w:lang w:val="fr-FR"/>
        </w:rPr>
        <w:t>%.</w:t>
      </w:r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4E4A9A34" w:rsidR="00EB1F74" w:rsidRPr="00F16BE4" w:rsidRDefault="00FD48F5" w:rsidP="00EB1F74">
      <w:r>
        <w:t xml:space="preserve">In VVC, the affine model can be inherited from a neighbouring block. In </w:t>
      </w:r>
      <w:r w:rsidRPr="00FC1BBE">
        <w:rPr>
          <w:lang w:val="en-CA"/>
        </w:rPr>
        <w:t>JVET-M02</w:t>
      </w:r>
      <w:r>
        <w:rPr>
          <w:lang w:val="en-CA"/>
        </w:rPr>
        <w:t xml:space="preserve">66 [1] and </w:t>
      </w:r>
      <w:r w:rsidRPr="00FC1BBE">
        <w:rPr>
          <w:lang w:val="en-CA"/>
        </w:rPr>
        <w:t>JVET-</w:t>
      </w:r>
      <w:r>
        <w:rPr>
          <w:lang w:val="en-CA"/>
        </w:rPr>
        <w:t>N</w:t>
      </w:r>
      <w:r w:rsidRPr="00FC1BBE">
        <w:rPr>
          <w:lang w:val="en-CA"/>
        </w:rPr>
        <w:t>02</w:t>
      </w:r>
      <w:r>
        <w:rPr>
          <w:lang w:val="en-CA"/>
        </w:rPr>
        <w:t xml:space="preserve">63 [2], </w:t>
      </w:r>
      <w:r w:rsidR="00692922">
        <w:t>history</w:t>
      </w:r>
      <w:r>
        <w:t xml:space="preserve">-parameter-based affine model inheritance (HAMI) </w:t>
      </w:r>
      <w:r>
        <w:rPr>
          <w:lang w:val="en-CA"/>
        </w:rPr>
        <w:t xml:space="preserve">was proposed to </w:t>
      </w:r>
      <w:r w:rsidR="00F16BE4">
        <w:t>allow</w:t>
      </w:r>
      <w:r>
        <w:rPr>
          <w:lang w:val="en-CA"/>
        </w:rPr>
        <w:t xml:space="preserve"> the affine model </w:t>
      </w:r>
      <w:r w:rsidR="00DE768F">
        <w:t xml:space="preserve">to be inherited </w:t>
      </w:r>
      <w:r>
        <w:rPr>
          <w:lang w:val="en-CA"/>
        </w:rPr>
        <w:t xml:space="preserve">from a previously </w:t>
      </w:r>
      <w:r w:rsidR="00F16BE4">
        <w:rPr>
          <w:lang w:val="en-CA"/>
        </w:rPr>
        <w:t>affine-</w:t>
      </w:r>
      <w:r>
        <w:rPr>
          <w:lang w:val="en-CA"/>
        </w:rPr>
        <w:t>coded</w:t>
      </w:r>
      <w:r w:rsidR="00F16BE4">
        <w:rPr>
          <w:lang w:val="en-CA"/>
        </w:rPr>
        <w:t xml:space="preserve"> block which </w:t>
      </w:r>
      <w:r w:rsidR="00DE768F">
        <w:rPr>
          <w:lang w:val="en-CA"/>
        </w:rPr>
        <w:t>may</w:t>
      </w:r>
      <w:r w:rsidR="00F16BE4">
        <w:rPr>
          <w:lang w:val="en-CA"/>
        </w:rPr>
        <w:t xml:space="preserve"> not </w:t>
      </w:r>
      <w:r w:rsidR="00DE768F">
        <w:rPr>
          <w:lang w:val="en-CA"/>
        </w:rPr>
        <w:t xml:space="preserve">be </w:t>
      </w:r>
      <w:r w:rsidR="00F16BE4">
        <w:rPr>
          <w:lang w:val="en-CA"/>
        </w:rPr>
        <w:t>neighboring to the current block</w:t>
      </w:r>
      <w:r>
        <w:rPr>
          <w:lang w:val="en-CA"/>
        </w:rPr>
        <w:t>.</w:t>
      </w:r>
      <w:r w:rsidR="00F16BE4">
        <w:rPr>
          <w:lang w:val="en-CA"/>
        </w:rPr>
        <w:t xml:space="preserve"> </w:t>
      </w:r>
      <w:r w:rsidR="00F16BE4">
        <w:t xml:space="preserve">A further study of HAMI on ECM-2.0 [3] </w:t>
      </w:r>
      <w:r w:rsidR="00C1709E">
        <w:t xml:space="preserve">with new aspects </w:t>
      </w:r>
      <w:r w:rsidR="00756362">
        <w:t>introduced</w:t>
      </w:r>
      <w:r w:rsidR="00C1709E">
        <w:t xml:space="preserve"> </w:t>
      </w:r>
      <w:r w:rsidR="00203F5B">
        <w:rPr>
          <w:lang w:eastAsia="zh-CN"/>
        </w:rPr>
        <w:t>is reported in this contribution.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EE5448C" w14:textId="049FB569" w:rsidR="00203F5B" w:rsidRDefault="00203F5B" w:rsidP="00203F5B">
      <w:pPr>
        <w:rPr>
          <w:lang w:val="en-CA"/>
        </w:rPr>
      </w:pPr>
      <w:bookmarkStart w:id="0" w:name="_Hlk83551670"/>
      <w:r>
        <w:rPr>
          <w:lang w:val="en-CA"/>
        </w:rPr>
        <w:t xml:space="preserve">A </w:t>
      </w:r>
      <w:r w:rsidR="00C77C5F">
        <w:rPr>
          <w:lang w:val="en-CA"/>
        </w:rPr>
        <w:t>h</w:t>
      </w:r>
      <w:r>
        <w:rPr>
          <w:lang w:val="en-CA"/>
        </w:rPr>
        <w:t>istory-</w:t>
      </w:r>
      <w:r w:rsidR="00C77C5F">
        <w:rPr>
          <w:lang w:val="en-CA"/>
        </w:rPr>
        <w:t>p</w:t>
      </w:r>
      <w:r>
        <w:rPr>
          <w:lang w:val="en-CA"/>
        </w:rPr>
        <w:t xml:space="preserve">arameter </w:t>
      </w:r>
      <w:r w:rsidR="00C77C5F">
        <w:rPr>
          <w:lang w:val="en-CA"/>
        </w:rPr>
        <w:t>t</w:t>
      </w:r>
      <w:r>
        <w:rPr>
          <w:lang w:val="en-CA"/>
        </w:rPr>
        <w:t xml:space="preserve">able (HPT) is established. An entry </w:t>
      </w:r>
      <w:r>
        <w:rPr>
          <w:lang w:eastAsia="zh-CN"/>
        </w:rPr>
        <w:t xml:space="preserve">of HPT </w:t>
      </w:r>
      <w:r>
        <w:rPr>
          <w:lang w:val="en-CA"/>
        </w:rPr>
        <w:t xml:space="preserve">stores a set of affine parameters: </w:t>
      </w:r>
      <w:r w:rsidRPr="00632242">
        <w:rPr>
          <w:i/>
          <w:lang w:val="en-CA"/>
        </w:rPr>
        <w:t>a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b</w:t>
      </w:r>
      <w:r>
        <w:rPr>
          <w:lang w:val="en-CA"/>
        </w:rPr>
        <w:t xml:space="preserve">, </w:t>
      </w:r>
      <w:proofErr w:type="gramStart"/>
      <w:r w:rsidRPr="00632242">
        <w:rPr>
          <w:i/>
          <w:lang w:val="en-CA"/>
        </w:rPr>
        <w:t>c</w:t>
      </w:r>
      <w:proofErr w:type="gramEnd"/>
      <w:r>
        <w:rPr>
          <w:lang w:val="en-CA"/>
        </w:rPr>
        <w:t xml:space="preserve"> and </w:t>
      </w:r>
      <w:r w:rsidRPr="00632242">
        <w:rPr>
          <w:i/>
          <w:lang w:val="en-CA"/>
        </w:rPr>
        <w:t>d</w:t>
      </w:r>
      <w:r>
        <w:rPr>
          <w:lang w:val="en-CA"/>
        </w:rPr>
        <w:t xml:space="preserve">, each of which is represented by a 16-bit signed integer. </w:t>
      </w:r>
      <w:r w:rsidR="000C07C2">
        <w:rPr>
          <w:lang w:val="en-CA"/>
        </w:rPr>
        <w:t xml:space="preserve">Entries in HPT is </w:t>
      </w:r>
      <w:r w:rsidR="00692922">
        <w:rPr>
          <w:lang w:val="en-CA"/>
        </w:rPr>
        <w:t>categorized</w:t>
      </w:r>
      <w:r w:rsidR="000C07C2">
        <w:rPr>
          <w:lang w:val="en-CA"/>
        </w:rPr>
        <w:t xml:space="preserve"> by reference list and reference index. </w:t>
      </w:r>
      <w:r w:rsidR="00601B87">
        <w:rPr>
          <w:lang w:val="en-CA"/>
        </w:rPr>
        <w:t>F</w:t>
      </w:r>
      <w:r w:rsidR="000C07C2">
        <w:rPr>
          <w:lang w:val="en-CA"/>
        </w:rPr>
        <w:t xml:space="preserve">ive reference indices are supported for each reference list in HPT. In a formular way, the </w:t>
      </w:r>
      <w:r w:rsidR="00692922">
        <w:rPr>
          <w:lang w:val="en-CA"/>
        </w:rPr>
        <w:t>category</w:t>
      </w:r>
      <w:r w:rsidR="000C07C2">
        <w:rPr>
          <w:lang w:val="en-CA"/>
        </w:rPr>
        <w:t xml:space="preserve"> of HPT (denoted as </w:t>
      </w:r>
      <w:proofErr w:type="spellStart"/>
      <w:r w:rsidR="000C07C2">
        <w:rPr>
          <w:lang w:val="en-CA"/>
        </w:rPr>
        <w:t>HPTCat</w:t>
      </w:r>
      <w:proofErr w:type="spellEnd"/>
      <w:r w:rsidR="000C07C2">
        <w:rPr>
          <w:lang w:val="en-CA"/>
        </w:rPr>
        <w:t xml:space="preserve">) is calculated as </w:t>
      </w:r>
    </w:p>
    <w:p w14:paraId="5C83816E" w14:textId="6EFE2BE6" w:rsidR="00203F5B" w:rsidRDefault="00203F5B" w:rsidP="00203F5B">
      <w:pPr>
        <w:jc w:val="center"/>
        <w:rPr>
          <w:lang w:val="en-CA"/>
        </w:rPr>
      </w:pPr>
      <w:proofErr w:type="spellStart"/>
      <w:r>
        <w:rPr>
          <w:lang w:val="en-CA"/>
        </w:rPr>
        <w:t>HPT</w:t>
      </w:r>
      <w:r w:rsidR="000C07C2">
        <w:rPr>
          <w:lang w:val="en-CA"/>
        </w:rPr>
        <w:t>Cat</w:t>
      </w:r>
      <w:proofErr w:type="spellEnd"/>
      <w:r w:rsidR="000C07C2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RefList</w:t>
      </w:r>
      <w:proofErr w:type="spellEnd"/>
      <w:r>
        <w:rPr>
          <w:lang w:val="en-CA"/>
        </w:rPr>
        <w:t xml:space="preserve">, </w:t>
      </w:r>
      <w:proofErr w:type="spellStart"/>
      <w:proofErr w:type="gramStart"/>
      <w:r>
        <w:rPr>
          <w:lang w:val="en-CA"/>
        </w:rPr>
        <w:t>RefIdx</w:t>
      </w:r>
      <w:proofErr w:type="spellEnd"/>
      <w:r>
        <w:rPr>
          <w:lang w:val="en-CA"/>
        </w:rPr>
        <w:t>)=</w:t>
      </w:r>
      <w:proofErr w:type="gramEnd"/>
      <w:r>
        <w:rPr>
          <w:lang w:val="en-CA"/>
        </w:rPr>
        <w:t xml:space="preserve"> 5×RefList + min(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>, 4),</w:t>
      </w:r>
    </w:p>
    <w:p w14:paraId="48E5E906" w14:textId="309D73C2" w:rsidR="00203F5B" w:rsidRDefault="00203F5B" w:rsidP="00203F5B">
      <w:pPr>
        <w:rPr>
          <w:lang w:val="en-CA"/>
        </w:rPr>
      </w:pPr>
      <w:r>
        <w:rPr>
          <w:lang w:val="en-CA"/>
        </w:rPr>
        <w:t xml:space="preserve">wherein </w:t>
      </w:r>
      <w:proofErr w:type="spellStart"/>
      <w:r>
        <w:rPr>
          <w:lang w:val="en-CA"/>
        </w:rPr>
        <w:t>RefList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 xml:space="preserve"> represents a reference picture list (0 or 1) and </w:t>
      </w:r>
      <w:r w:rsidR="00DE768F">
        <w:t xml:space="preserve">a </w:t>
      </w:r>
      <w:r>
        <w:rPr>
          <w:lang w:val="en-CA"/>
        </w:rPr>
        <w:t>reference index, respectively.</w:t>
      </w:r>
      <w:r w:rsidR="000C07C2">
        <w:rPr>
          <w:lang w:val="en-CA"/>
        </w:rPr>
        <w:t xml:space="preserve"> For each category, at most two entries can be stored</w:t>
      </w:r>
      <w:r w:rsidR="00601B87">
        <w:rPr>
          <w:lang w:val="en-CA"/>
        </w:rPr>
        <w:t>, resulting in</w:t>
      </w:r>
      <w:r w:rsidR="000C07C2">
        <w:t xml:space="preserve"> twenty entries totally in HPT. </w:t>
      </w:r>
      <w:r>
        <w:rPr>
          <w:lang w:val="en-CA"/>
        </w:rPr>
        <w:t xml:space="preserve">At the beginning of each CTU row, </w:t>
      </w:r>
      <w:r w:rsidR="000C07C2">
        <w:rPr>
          <w:lang w:val="en-CA"/>
        </w:rPr>
        <w:t>the number of entries for each category</w:t>
      </w:r>
      <w:r>
        <w:rPr>
          <w:lang w:val="en-CA"/>
        </w:rPr>
        <w:t xml:space="preserve"> </w:t>
      </w:r>
      <w:r w:rsidR="000C07C2">
        <w:rPr>
          <w:lang w:val="en-CA"/>
        </w:rPr>
        <w:t>is</w:t>
      </w:r>
      <w:r>
        <w:rPr>
          <w:lang w:val="en-CA"/>
        </w:rPr>
        <w:t xml:space="preserve"> initialized as zero. After decoding </w:t>
      </w:r>
      <w:r>
        <w:rPr>
          <w:lang w:val="en-CA"/>
        </w:rPr>
        <w:lastRenderedPageBreak/>
        <w:t xml:space="preserve">an affine-coded CU with reference list </w:t>
      </w:r>
      <w:proofErr w:type="spellStart"/>
      <w:r>
        <w:rPr>
          <w:lang w:val="en-CA"/>
        </w:rPr>
        <w:t>RefList</w:t>
      </w:r>
      <w:r w:rsidRPr="00CE07CD">
        <w:rPr>
          <w:vertAlign w:val="subscript"/>
          <w:lang w:val="en-CA"/>
        </w:rPr>
        <w:t>cur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RefIdx</w:t>
      </w:r>
      <w:r w:rsidRPr="00CE07CD">
        <w:rPr>
          <w:vertAlign w:val="subscript"/>
          <w:lang w:val="en-CA"/>
        </w:rPr>
        <w:t>cur</w:t>
      </w:r>
      <w:proofErr w:type="spellEnd"/>
      <w:r>
        <w:rPr>
          <w:lang w:val="en-CA"/>
        </w:rPr>
        <w:t xml:space="preserve">, the affine parameters are utilized to </w:t>
      </w:r>
      <w:r w:rsidR="000C07C2">
        <w:rPr>
          <w:lang w:val="en-CA"/>
        </w:rPr>
        <w:t>update entries in the category</w:t>
      </w:r>
      <w:r>
        <w:rPr>
          <w:lang w:val="en-CA"/>
        </w:rPr>
        <w:t xml:space="preserve"> </w:t>
      </w:r>
      <w:proofErr w:type="spellStart"/>
      <w:proofErr w:type="gramStart"/>
      <w:r>
        <w:rPr>
          <w:lang w:val="en-CA"/>
        </w:rPr>
        <w:t>HPT</w:t>
      </w:r>
      <w:r w:rsidR="000C07C2">
        <w:rPr>
          <w:lang w:val="en-CA"/>
        </w:rPr>
        <w:t>Cat</w:t>
      </w:r>
      <w:proofErr w:type="spellEnd"/>
      <w:r>
        <w:rPr>
          <w:lang w:val="en-CA"/>
        </w:rPr>
        <w:t>(</w:t>
      </w:r>
      <w:proofErr w:type="spellStart"/>
      <w:proofErr w:type="gramEnd"/>
      <w:r>
        <w:rPr>
          <w:lang w:val="en-CA"/>
        </w:rPr>
        <w:t>RefList</w:t>
      </w:r>
      <w:r w:rsidRPr="00CE07CD">
        <w:rPr>
          <w:vertAlign w:val="subscript"/>
          <w:lang w:val="en-CA"/>
        </w:rPr>
        <w:t>cur</w:t>
      </w:r>
      <w:proofErr w:type="spellEnd"/>
      <w:r>
        <w:rPr>
          <w:color w:val="000000"/>
          <w:sz w:val="24"/>
          <w:szCs w:val="24"/>
        </w:rPr>
        <w:t>,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RefIdx</w:t>
      </w:r>
      <w:r w:rsidRPr="00CE07CD">
        <w:rPr>
          <w:vertAlign w:val="subscript"/>
          <w:lang w:val="en-CA"/>
        </w:rPr>
        <w:t>cur</w:t>
      </w:r>
      <w:proofErr w:type="spellEnd"/>
      <w:r>
        <w:rPr>
          <w:lang w:val="en-CA"/>
        </w:rPr>
        <w:t>)</w:t>
      </w:r>
      <w:r w:rsidR="00601B87">
        <w:rPr>
          <w:lang w:val="en-CA"/>
        </w:rPr>
        <w:t xml:space="preserve"> in a way similar to HMVP table updating</w:t>
      </w:r>
      <w:r w:rsidR="00216D77">
        <w:rPr>
          <w:lang w:val="en-CA"/>
        </w:rPr>
        <w:t>.</w:t>
      </w:r>
    </w:p>
    <w:p w14:paraId="246971EE" w14:textId="7E1E9143" w:rsidR="004919D9" w:rsidRDefault="00203F5B" w:rsidP="004919D9">
      <w:pPr>
        <w:rPr>
          <w:lang w:val="en-CA"/>
        </w:rPr>
      </w:pPr>
      <w:r>
        <w:rPr>
          <w:lang w:val="en-CA"/>
        </w:rPr>
        <w:t xml:space="preserve">A </w:t>
      </w:r>
      <w:r w:rsidR="00C77C5F">
        <w:rPr>
          <w:lang w:val="en-CA"/>
        </w:rPr>
        <w:t>h</w:t>
      </w:r>
      <w:r>
        <w:rPr>
          <w:lang w:val="en-CA"/>
        </w:rPr>
        <w:t>istory-</w:t>
      </w:r>
      <w:r w:rsidR="00601B87">
        <w:rPr>
          <w:lang w:val="en-CA"/>
        </w:rPr>
        <w:t>affine-</w:t>
      </w:r>
      <w:r w:rsidR="00C77C5F">
        <w:rPr>
          <w:lang w:val="en-CA"/>
        </w:rPr>
        <w:t>p</w:t>
      </w:r>
      <w:r>
        <w:rPr>
          <w:lang w:val="en-CA"/>
        </w:rPr>
        <w:t xml:space="preserve">arameter-based </w:t>
      </w:r>
      <w:r w:rsidR="00C77C5F">
        <w:rPr>
          <w:lang w:val="en-CA"/>
        </w:rPr>
        <w:t>c</w:t>
      </w:r>
      <w:r>
        <w:rPr>
          <w:lang w:val="en-CA"/>
        </w:rPr>
        <w:t>andidate (H</w:t>
      </w:r>
      <w:r w:rsidR="00601B87">
        <w:rPr>
          <w:lang w:val="en-CA"/>
        </w:rPr>
        <w:t>AP</w:t>
      </w:r>
      <w:r>
        <w:rPr>
          <w:lang w:val="en-CA"/>
        </w:rPr>
        <w:t xml:space="preserve">C) is derived from a neighbouring </w:t>
      </w:r>
      <w:r w:rsidRPr="00DF4C20">
        <w:t>4×4 block</w:t>
      </w:r>
      <w:r w:rsidR="00216D77">
        <w:t xml:space="preserve"> denoted as A0, A1, B0, B1 </w:t>
      </w:r>
      <w:r w:rsidR="00C77C5F">
        <w:t>or</w:t>
      </w:r>
      <w:r w:rsidR="00216D77">
        <w:t xml:space="preserve"> B2 in Fig. 1</w:t>
      </w:r>
      <w:r w:rsidR="00216D77" w:rsidRPr="00216D77">
        <w:rPr>
          <w:lang w:val="en-CA"/>
        </w:rPr>
        <w:t xml:space="preserve"> </w:t>
      </w:r>
      <w:r w:rsidR="00216D77">
        <w:rPr>
          <w:lang w:val="en-CA"/>
        </w:rPr>
        <w:t xml:space="preserve">and </w:t>
      </w:r>
      <w:r w:rsidR="004919D9">
        <w:rPr>
          <w:lang w:val="en-CA"/>
        </w:rPr>
        <w:t xml:space="preserve">a set of affine parameters stored in </w:t>
      </w:r>
      <w:r w:rsidR="00216D77">
        <w:rPr>
          <w:lang w:val="en-CA"/>
        </w:rPr>
        <w:t>a corresponding entry in HPT</w:t>
      </w:r>
      <w:r>
        <w:t>.</w:t>
      </w:r>
      <w:r w:rsidR="004919D9">
        <w:t xml:space="preserve"> </w:t>
      </w:r>
      <w:r w:rsidR="00601B87">
        <w:rPr>
          <w:lang w:val="en-CA"/>
        </w:rPr>
        <w:t>T</w:t>
      </w:r>
      <w:r w:rsidR="004919D9">
        <w:rPr>
          <w:lang w:val="en-CA"/>
        </w:rPr>
        <w:t xml:space="preserve">he MV of a neighbouring </w:t>
      </w:r>
      <w:r w:rsidR="004919D9">
        <w:t xml:space="preserve">4×4 </w:t>
      </w:r>
      <w:r w:rsidR="004919D9">
        <w:rPr>
          <w:lang w:val="en-CA"/>
        </w:rPr>
        <w:t xml:space="preserve">block served as the base MV. In a formulating way, the MV of the current block at position </w:t>
      </w:r>
      <w:r w:rsidR="004919D9" w:rsidRPr="00DF4C20">
        <w:t>(</w:t>
      </w:r>
      <w:r w:rsidR="004919D9" w:rsidRPr="00DF4C20">
        <w:rPr>
          <w:i/>
        </w:rPr>
        <w:t>x</w:t>
      </w:r>
      <w:r w:rsidR="004919D9" w:rsidRPr="00DF4C20">
        <w:t xml:space="preserve">, </w:t>
      </w:r>
      <w:r w:rsidR="004919D9" w:rsidRPr="00DF4C20">
        <w:rPr>
          <w:i/>
        </w:rPr>
        <w:t>y</w:t>
      </w:r>
      <w:r w:rsidR="004919D9" w:rsidRPr="00DF4C20">
        <w:t>)</w:t>
      </w:r>
      <w:r w:rsidR="004919D9">
        <w:t xml:space="preserve"> is calculated as</w:t>
      </w:r>
      <w:r w:rsidR="004919D9">
        <w:rPr>
          <w:lang w:val="en-CA"/>
        </w:rPr>
        <w:t xml:space="preserve">:  </w:t>
      </w:r>
    </w:p>
    <w:p w14:paraId="7C446C5B" w14:textId="7CB32901" w:rsidR="004919D9" w:rsidRDefault="00A213B0" w:rsidP="004919D9">
      <w:pPr>
        <w:jc w:val="center"/>
      </w:pPr>
      <w:r w:rsidRPr="00DF4C20">
        <w:rPr>
          <w:position w:val="-32"/>
        </w:rPr>
        <w:object w:dxaOrig="4400" w:dyaOrig="760" w14:anchorId="47370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5pt;height:36pt" o:ole="">
            <v:imagedata r:id="rId12" o:title=""/>
          </v:shape>
          <o:OLEObject Type="Embed" ProgID="Equation.DSMT4" ShapeID="_x0000_i1025" DrawAspect="Content" ObjectID="_1694978522" r:id="rId13"/>
        </w:object>
      </w:r>
      <w:r w:rsidR="004919D9">
        <w:t>,</w:t>
      </w:r>
    </w:p>
    <w:p w14:paraId="31831FCD" w14:textId="0BF705A8" w:rsidR="004919D9" w:rsidRDefault="004919D9" w:rsidP="004919D9">
      <w:pPr>
        <w:rPr>
          <w:lang w:eastAsia="zh-CN"/>
        </w:rPr>
      </w:pPr>
      <w:r>
        <w:t xml:space="preserve">where </w:t>
      </w:r>
      <w:r w:rsidRPr="00DF4C20">
        <w:t>(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h</w:t>
      </w:r>
      <w:r w:rsidRPr="00DF4C20">
        <w:rPr>
          <w:i/>
          <w:vertAlign w:val="subscript"/>
        </w:rPr>
        <w:t>base</w:t>
      </w:r>
      <w:proofErr w:type="spellEnd"/>
      <w:r w:rsidRPr="00DF4C20">
        <w:t xml:space="preserve">, </w:t>
      </w:r>
      <w:proofErr w:type="spellStart"/>
      <w:r w:rsidRPr="00DF4C20">
        <w:rPr>
          <w:i/>
        </w:rPr>
        <w:t>mv</w:t>
      </w:r>
      <w:r w:rsidRPr="00DF4C20">
        <w:rPr>
          <w:i/>
          <w:vertAlign w:val="superscript"/>
        </w:rPr>
        <w:t>v</w:t>
      </w:r>
      <w:r w:rsidRPr="00DF4C20">
        <w:rPr>
          <w:i/>
          <w:vertAlign w:val="subscript"/>
        </w:rPr>
        <w:t>base</w:t>
      </w:r>
      <w:proofErr w:type="spellEnd"/>
      <w:r w:rsidRPr="00DF4C20">
        <w:t>)</w:t>
      </w:r>
      <w:r>
        <w:t xml:space="preserve"> represents the MV of </w:t>
      </w:r>
      <w:r w:rsidR="00C77C5F">
        <w:t>the</w:t>
      </w:r>
      <w:r>
        <w:t xml:space="preserve"> neighbouring 4×4 block, </w:t>
      </w:r>
      <w:r w:rsidRPr="00DF4C20">
        <w:t>(</w:t>
      </w:r>
      <w:proofErr w:type="spellStart"/>
      <w:r w:rsidRPr="00DF4C20">
        <w:rPr>
          <w:i/>
        </w:rPr>
        <w:t>x</w:t>
      </w:r>
      <w:r w:rsidRPr="00DF4C20">
        <w:rPr>
          <w:i/>
          <w:vertAlign w:val="subscript"/>
        </w:rPr>
        <w:t>base</w:t>
      </w:r>
      <w:proofErr w:type="spellEnd"/>
      <w:r w:rsidRPr="00DF4C20">
        <w:t xml:space="preserve">, </w:t>
      </w:r>
      <w:proofErr w:type="spellStart"/>
      <w:r w:rsidRPr="00DF4C20">
        <w:rPr>
          <w:i/>
        </w:rPr>
        <w:t>y</w:t>
      </w:r>
      <w:r w:rsidRPr="00DF4C20">
        <w:rPr>
          <w:i/>
          <w:vertAlign w:val="subscript"/>
        </w:rPr>
        <w:t>base</w:t>
      </w:r>
      <w:proofErr w:type="spellEnd"/>
      <w:r w:rsidRPr="00DF4C20">
        <w:t>)</w:t>
      </w:r>
      <w:r>
        <w:t xml:space="preserve"> represents the center position of the neighbouring 4×4 block. </w:t>
      </w:r>
      <w:r w:rsidRPr="00DF4C20">
        <w:t>(</w:t>
      </w:r>
      <w:r w:rsidRPr="00DF4C20">
        <w:rPr>
          <w:i/>
        </w:rPr>
        <w:t>x</w:t>
      </w:r>
      <w:r w:rsidRPr="00DF4C20">
        <w:t xml:space="preserve">, </w:t>
      </w:r>
      <w:r w:rsidRPr="00DF4C20">
        <w:rPr>
          <w:i/>
        </w:rPr>
        <w:t>y</w:t>
      </w:r>
      <w:r w:rsidRPr="00DF4C20">
        <w:t>)</w:t>
      </w:r>
      <w:r>
        <w:t xml:space="preserve"> can be the </w:t>
      </w:r>
      <w:proofErr w:type="gramStart"/>
      <w:r>
        <w:t>top-left,</w:t>
      </w:r>
      <w:proofErr w:type="gramEnd"/>
      <w:r>
        <w:t xml:space="preserve"> top-right and bottom-left corner of the current block to obtain the </w:t>
      </w:r>
      <w:r w:rsidR="00C77C5F">
        <w:t>corner-posi</w:t>
      </w:r>
      <w:r w:rsidR="000F02B3">
        <w:t>t</w:t>
      </w:r>
      <w:r w:rsidR="00C77C5F">
        <w:t>ion MVs (</w:t>
      </w:r>
      <w:r>
        <w:t>CPMVs</w:t>
      </w:r>
      <w:r w:rsidR="00C77C5F">
        <w:t>)</w:t>
      </w:r>
      <w:r w:rsidR="00C77C5F" w:rsidRPr="00C77C5F">
        <w:t xml:space="preserve"> </w:t>
      </w:r>
      <w:r w:rsidR="00C77C5F">
        <w:t xml:space="preserve">for the current block, or it </w:t>
      </w:r>
      <w:bookmarkStart w:id="1" w:name="_Hlk83552660"/>
      <w:r w:rsidR="00C77C5F">
        <w:t xml:space="preserve">can be the center of the current block to obtain a </w:t>
      </w:r>
      <w:r w:rsidR="00601B87">
        <w:t xml:space="preserve">regular </w:t>
      </w:r>
      <w:r w:rsidR="00C77C5F">
        <w:t>MV for the current block.</w:t>
      </w:r>
      <w:bookmarkEnd w:id="1"/>
    </w:p>
    <w:p w14:paraId="5F23BAC7" w14:textId="4E071E99" w:rsidR="00216D77" w:rsidRDefault="00203F5B" w:rsidP="00216D77">
      <w:pPr>
        <w:rPr>
          <w:lang w:eastAsia="zh-CN"/>
        </w:rPr>
      </w:pPr>
      <w:r>
        <w:t xml:space="preserve">Fig. 1 shows an example of how to derive an </w:t>
      </w:r>
      <w:r w:rsidR="00601B87">
        <w:t>HAPC</w:t>
      </w:r>
      <w:r>
        <w:t xml:space="preserve"> from block A</w:t>
      </w:r>
      <w:r w:rsidR="00216D77">
        <w:t>0</w:t>
      </w:r>
      <w:r>
        <w:t xml:space="preserve">. </w:t>
      </w:r>
      <w:r>
        <w:rPr>
          <w:lang w:val="en-CA"/>
        </w:rPr>
        <w:t>The affine parameters {</w:t>
      </w:r>
      <w:r w:rsidRPr="00632242">
        <w:rPr>
          <w:i/>
          <w:lang w:val="en-CA"/>
        </w:rPr>
        <w:t>a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b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c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, </w:t>
      </w:r>
      <w:r w:rsidRPr="00632242">
        <w:rPr>
          <w:i/>
          <w:lang w:val="en-CA"/>
        </w:rPr>
        <w:t>d</w:t>
      </w:r>
      <w:r w:rsidRPr="00632242">
        <w:rPr>
          <w:vertAlign w:val="subscript"/>
          <w:lang w:val="en-CA"/>
        </w:rPr>
        <w:t>0</w:t>
      </w:r>
      <w:r>
        <w:rPr>
          <w:lang w:val="en-CA"/>
        </w:rPr>
        <w:t xml:space="preserve">} are directly </w:t>
      </w:r>
      <w:r w:rsidR="00601B87">
        <w:rPr>
          <w:lang w:val="en-CA"/>
        </w:rPr>
        <w:t>fetched</w:t>
      </w:r>
      <w:r>
        <w:rPr>
          <w:lang w:val="en-CA"/>
        </w:rPr>
        <w:t xml:space="preserve"> from </w:t>
      </w:r>
      <w:r w:rsidR="00216D77">
        <w:rPr>
          <w:lang w:val="en-CA"/>
        </w:rPr>
        <w:t xml:space="preserve">one entry of category </w:t>
      </w:r>
      <w:proofErr w:type="spellStart"/>
      <w:proofErr w:type="gramStart"/>
      <w:r w:rsidR="00216D77">
        <w:rPr>
          <w:lang w:val="en-CA"/>
        </w:rPr>
        <w:t>H</w:t>
      </w:r>
      <w:r>
        <w:rPr>
          <w:lang w:val="en-CA"/>
        </w:rPr>
        <w:t>PTIdx</w:t>
      </w:r>
      <w:proofErr w:type="spellEnd"/>
      <w:r>
        <w:rPr>
          <w:lang w:val="en-CA"/>
        </w:rPr>
        <w:t>(</w:t>
      </w:r>
      <w:proofErr w:type="spellStart"/>
      <w:proofErr w:type="gramEnd"/>
      <w:r>
        <w:rPr>
          <w:lang w:val="en-CA"/>
        </w:rPr>
        <w:t>RefList</w:t>
      </w:r>
      <w:proofErr w:type="spellEnd"/>
      <w:r>
        <w:rPr>
          <w:color w:val="000000"/>
          <w:sz w:val="24"/>
          <w:szCs w:val="24"/>
          <w:vertAlign w:val="subscript"/>
        </w:rPr>
        <w:t>A0</w:t>
      </w:r>
      <w:r>
        <w:rPr>
          <w:color w:val="000000"/>
          <w:sz w:val="24"/>
          <w:szCs w:val="24"/>
        </w:rPr>
        <w:t>,</w:t>
      </w:r>
      <w:r>
        <w:rPr>
          <w:lang w:val="en-CA"/>
        </w:rPr>
        <w:t xml:space="preserve"> </w:t>
      </w:r>
      <w:r>
        <w:rPr>
          <w:color w:val="000000"/>
          <w:sz w:val="24"/>
          <w:szCs w:val="24"/>
        </w:rPr>
        <w:t>refIdx0</w:t>
      </w:r>
      <w:r>
        <w:rPr>
          <w:color w:val="000000"/>
          <w:sz w:val="24"/>
          <w:szCs w:val="24"/>
          <w:vertAlign w:val="subscript"/>
        </w:rPr>
        <w:t>A0</w:t>
      </w:r>
      <w:r>
        <w:rPr>
          <w:lang w:val="en-CA"/>
        </w:rPr>
        <w:t>)</w:t>
      </w:r>
      <w:r w:rsidR="00216D77">
        <w:rPr>
          <w:lang w:val="en-CA"/>
        </w:rPr>
        <w:t xml:space="preserve"> in HPT</w:t>
      </w:r>
      <w:r>
        <w:rPr>
          <w:lang w:val="en-CA"/>
        </w:rPr>
        <w:t xml:space="preserve">. </w:t>
      </w:r>
      <w:r w:rsidR="00216D77">
        <w:rPr>
          <w:lang w:val="en-CA"/>
        </w:rPr>
        <w:t>T</w:t>
      </w:r>
      <w:r>
        <w:rPr>
          <w:lang w:val="en-CA"/>
        </w:rPr>
        <w:t xml:space="preserve">he affine parameters from </w:t>
      </w:r>
      <w:r w:rsidR="00216D77">
        <w:rPr>
          <w:lang w:val="en-CA"/>
        </w:rPr>
        <w:t>HPT</w:t>
      </w:r>
      <w:r>
        <w:rPr>
          <w:lang w:val="en-CA"/>
        </w:rPr>
        <w:t xml:space="preserve">, </w:t>
      </w:r>
      <w:r w:rsidRPr="00DF4C20">
        <w:t xml:space="preserve">with the </w:t>
      </w:r>
      <w:r>
        <w:t>center position</w:t>
      </w:r>
      <w:r w:rsidRPr="00DF4C20">
        <w:t xml:space="preserve"> of </w:t>
      </w:r>
      <w:r>
        <w:t>A0 as the base position,</w:t>
      </w:r>
      <w:r w:rsidRPr="00DF4C20">
        <w:t xml:space="preserve"> and </w:t>
      </w:r>
      <w:r>
        <w:t xml:space="preserve">the MV of block A0 </w:t>
      </w:r>
      <w:r w:rsidRPr="00DF4C20">
        <w:t>as the base MV</w:t>
      </w:r>
      <w:r>
        <w:t xml:space="preserve">, are used together to derive </w:t>
      </w:r>
      <w:r>
        <w:rPr>
          <w:lang w:val="en-CA"/>
        </w:rPr>
        <w:t xml:space="preserve">the </w:t>
      </w:r>
      <w:r w:rsidR="00216D77">
        <w:rPr>
          <w:lang w:val="en-CA"/>
        </w:rPr>
        <w:t>CP</w:t>
      </w:r>
      <w:r w:rsidRPr="00DF4C20">
        <w:t>MV</w:t>
      </w:r>
      <w:r w:rsidR="00216D77">
        <w:t>s</w:t>
      </w:r>
      <w:r w:rsidRPr="00DF4C20">
        <w:t xml:space="preserve"> </w:t>
      </w:r>
      <w:r>
        <w:t>for a</w:t>
      </w:r>
      <w:r w:rsidR="00601B87">
        <w:t>n affine</w:t>
      </w:r>
      <w:r>
        <w:t xml:space="preserve"> merge </w:t>
      </w:r>
      <w:r w:rsidR="00601B87">
        <w:rPr>
          <w:lang w:val="en-CA"/>
        </w:rPr>
        <w:t>HAPC</w:t>
      </w:r>
      <w:r>
        <w:t xml:space="preserve">, or an </w:t>
      </w:r>
      <w:r w:rsidR="00601B87">
        <w:t xml:space="preserve">affine </w:t>
      </w:r>
      <w:r>
        <w:t xml:space="preserve">AMVP </w:t>
      </w:r>
      <w:r w:rsidR="00601B87">
        <w:rPr>
          <w:lang w:val="en-CA"/>
        </w:rPr>
        <w:t>HAPC</w:t>
      </w:r>
      <w:r>
        <w:t>.</w:t>
      </w:r>
      <w:r w:rsidR="00216D77">
        <w:t xml:space="preserve"> They </w:t>
      </w:r>
      <w:bookmarkStart w:id="2" w:name="_Hlk83552735"/>
      <w:r w:rsidR="00216D77">
        <w:t>can also be used to derive MVs located at the center of the current block, as regular merge candidates</w:t>
      </w:r>
      <w:bookmarkEnd w:id="2"/>
      <w:r w:rsidR="00216D77">
        <w:t>. A H</w:t>
      </w:r>
      <w:r w:rsidR="00601B87">
        <w:t>AP</w:t>
      </w:r>
      <w:r w:rsidR="00216D77">
        <w:t xml:space="preserve">C can be </w:t>
      </w:r>
      <w:r w:rsidR="00216D77">
        <w:rPr>
          <w:lang w:eastAsia="zh-CN"/>
        </w:rPr>
        <w:t>put into the sub-block</w:t>
      </w:r>
      <w:r w:rsidR="00601B87">
        <w:rPr>
          <w:lang w:eastAsia="zh-CN"/>
        </w:rPr>
        <w:t>-</w:t>
      </w:r>
      <w:r w:rsidR="00216D77">
        <w:rPr>
          <w:lang w:eastAsia="zh-CN"/>
        </w:rPr>
        <w:t xml:space="preserve">based merge candidate list, the affine AMVP candidate list </w:t>
      </w:r>
      <w:r w:rsidR="00601B87">
        <w:rPr>
          <w:lang w:eastAsia="zh-CN"/>
        </w:rPr>
        <w:t>or</w:t>
      </w:r>
      <w:r w:rsidR="00216D77">
        <w:rPr>
          <w:lang w:eastAsia="zh-CN"/>
        </w:rPr>
        <w:t xml:space="preserve"> the regular merge candidate list. As a response to new </w:t>
      </w:r>
      <w:r w:rsidR="00601B87">
        <w:t>HAPCs</w:t>
      </w:r>
      <w:r w:rsidR="00D85DDC">
        <w:t xml:space="preserve"> being </w:t>
      </w:r>
      <w:r w:rsidR="006C7A25">
        <w:t>introduced</w:t>
      </w:r>
      <w:r w:rsidR="00216D77">
        <w:rPr>
          <w:lang w:eastAsia="zh-CN"/>
        </w:rPr>
        <w:t>, the size of sub-block</w:t>
      </w:r>
      <w:r w:rsidR="00601B87">
        <w:rPr>
          <w:lang w:eastAsia="zh-CN"/>
        </w:rPr>
        <w:t>-</w:t>
      </w:r>
      <w:r w:rsidR="00216D77">
        <w:rPr>
          <w:lang w:eastAsia="zh-CN"/>
        </w:rPr>
        <w:t>based merge candidate list is increased from five to nine.</w:t>
      </w:r>
    </w:p>
    <w:p w14:paraId="48A5530B" w14:textId="69CB1FCC" w:rsidR="00203F5B" w:rsidRDefault="00D13F75" w:rsidP="00216D77">
      <w:pPr>
        <w:jc w:val="center"/>
      </w:pPr>
      <w:r>
        <w:object w:dxaOrig="7725" w:dyaOrig="5265" w14:anchorId="2048AB6D">
          <v:shape id="_x0000_i1026" type="#_x0000_t75" style="width:385.9pt;height:264.4pt" o:ole="">
            <v:imagedata r:id="rId14" o:title=""/>
          </v:shape>
          <o:OLEObject Type="Embed" ProgID="Visio.Drawing.15" ShapeID="_x0000_i1026" DrawAspect="Content" ObjectID="_1694978523" r:id="rId15"/>
        </w:object>
      </w:r>
    </w:p>
    <w:p w14:paraId="4FF53F47" w14:textId="7C0255AF" w:rsidR="00A01D5B" w:rsidRPr="00216D77" w:rsidRDefault="00203F5B" w:rsidP="00216D77">
      <w:pPr>
        <w:jc w:val="center"/>
        <w:rPr>
          <w:lang w:eastAsia="zh-CN"/>
        </w:rPr>
      </w:pPr>
      <w:r>
        <w:t xml:space="preserve">Fig. 1 An example of </w:t>
      </w:r>
      <w:r w:rsidR="00601B87">
        <w:t>generating an HAPC</w:t>
      </w:r>
      <w:r>
        <w:t>.</w:t>
      </w:r>
    </w:p>
    <w:bookmarkEnd w:id="0"/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09260FCF" w:rsidR="00093C21" w:rsidRDefault="00216D77" w:rsidP="00216D77">
      <w:pPr>
        <w:rPr>
          <w:lang w:eastAsia="zh-CN"/>
        </w:rPr>
      </w:pPr>
      <w:r>
        <w:rPr>
          <w:lang w:val="en-CA" w:eastAsia="zh-CN"/>
        </w:rPr>
        <w:t>The proposed method is</w:t>
      </w:r>
      <w:r w:rsidR="00EB1F74">
        <w:rPr>
          <w:lang w:val="en-CA"/>
        </w:rPr>
        <w:t xml:space="preserve"> </w:t>
      </w:r>
      <w:r w:rsidR="00EB1F74">
        <w:rPr>
          <w:lang w:eastAsia="zh-CN"/>
        </w:rPr>
        <w:t xml:space="preserve">tested on top of </w:t>
      </w:r>
      <w:r w:rsidR="00BA7B7E">
        <w:rPr>
          <w:lang w:eastAsia="zh-CN"/>
        </w:rPr>
        <w:t>ECM-</w:t>
      </w:r>
      <w:r w:rsidR="0042737C">
        <w:rPr>
          <w:lang w:eastAsia="zh-CN"/>
        </w:rPr>
        <w:t>2</w:t>
      </w:r>
      <w:r w:rsidR="00BA7B7E">
        <w:rPr>
          <w:lang w:eastAsia="zh-CN"/>
        </w:rPr>
        <w:t>.0</w:t>
      </w:r>
      <w:r w:rsidR="00EB1F74">
        <w:rPr>
          <w:lang w:eastAsia="zh-CN"/>
        </w:rPr>
        <w:t xml:space="preserve"> [</w:t>
      </w:r>
      <w:r>
        <w:rPr>
          <w:lang w:eastAsia="zh-CN"/>
        </w:rPr>
        <w:t>3</w:t>
      </w:r>
      <w:r w:rsidR="00EB1F74">
        <w:rPr>
          <w:lang w:eastAsia="zh-CN"/>
        </w:rPr>
        <w:t>], according to the common test conditions defined in [</w:t>
      </w:r>
      <w:r>
        <w:rPr>
          <w:lang w:eastAsia="zh-CN"/>
        </w:rPr>
        <w:t>4</w:t>
      </w:r>
      <w:r w:rsidR="00EB1F74">
        <w:rPr>
          <w:lang w:eastAsia="zh-CN"/>
        </w:rPr>
        <w:t>]</w:t>
      </w:r>
      <w:r>
        <w:rPr>
          <w:lang w:eastAsia="zh-CN"/>
        </w:rPr>
        <w:t>. The simulation results are summarized in table 1.</w:t>
      </w:r>
      <w:r w:rsidR="005A5FB1">
        <w:rPr>
          <w:lang w:eastAsia="zh-CN"/>
        </w:rPr>
        <w:t xml:space="preserve"> The highest coding gain comes from the </w:t>
      </w:r>
      <w:r w:rsidR="007219A4">
        <w:rPr>
          <w:lang w:eastAsia="zh-CN"/>
        </w:rPr>
        <w:t xml:space="preserve">4K </w:t>
      </w:r>
      <w:r w:rsidR="005A5FB1">
        <w:rPr>
          <w:lang w:eastAsia="zh-CN"/>
        </w:rPr>
        <w:t>test sequence “</w:t>
      </w:r>
      <w:r w:rsidR="007219A4">
        <w:rPr>
          <w:lang w:eastAsia="zh-CN"/>
        </w:rPr>
        <w:t>DaylightRoad2</w:t>
      </w:r>
      <w:r w:rsidR="005A5FB1">
        <w:rPr>
          <w:lang w:eastAsia="zh-CN"/>
        </w:rPr>
        <w:t xml:space="preserve">”, which is </w:t>
      </w:r>
      <w:r w:rsidR="007219A4">
        <w:rPr>
          <w:lang w:eastAsia="zh-CN"/>
        </w:rPr>
        <w:t>0.41%</w:t>
      </w:r>
      <w:r w:rsidR="005A5FB1">
        <w:rPr>
          <w:lang w:eastAsia="zh-CN"/>
        </w:rPr>
        <w:t>.</w:t>
      </w:r>
    </w:p>
    <w:p w14:paraId="44BFC10E" w14:textId="664039AA" w:rsidR="00EB1F74" w:rsidRDefault="00EB1F74" w:rsidP="00EB1F74">
      <w:pPr>
        <w:rPr>
          <w:lang w:val="en-CA"/>
        </w:rPr>
      </w:pPr>
    </w:p>
    <w:p w14:paraId="0FCF17A4" w14:textId="74753E40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3" w:name="_Hlk83665253"/>
      <w:r>
        <w:rPr>
          <w:lang w:val="en-CA" w:eastAsia="zh-CN"/>
        </w:rPr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91374D">
        <w:rPr>
          <w:lang w:val="en-CA" w:eastAsia="zh-CN"/>
        </w:rPr>
        <w:t>the proposed method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642"/>
        <w:gridCol w:w="631"/>
        <w:gridCol w:w="631"/>
        <w:gridCol w:w="541"/>
        <w:gridCol w:w="571"/>
        <w:gridCol w:w="573"/>
        <w:gridCol w:w="590"/>
        <w:gridCol w:w="590"/>
        <w:gridCol w:w="542"/>
        <w:gridCol w:w="591"/>
      </w:tblGrid>
      <w:tr w:rsidR="00216D77" w:rsidRPr="001F66BD" w14:paraId="3A061E6F" w14:textId="77777777" w:rsidTr="00A213B0">
        <w:trPr>
          <w:trHeight w:val="260"/>
          <w:jc w:val="center"/>
        </w:trPr>
        <w:tc>
          <w:tcPr>
            <w:tcW w:w="83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8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16D77" w:rsidRPr="001F66BD" w14:paraId="7FB7C566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13B0" w:rsidRPr="00270C97" w14:paraId="3E63BAA0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64C9023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0E66E4EE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1C6935FC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EFAEA0B" w14:textId="0B48CEE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0335486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213B0" w:rsidRPr="00270C97" w14:paraId="19D2A04E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2E27A03D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413B119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121DA425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25A7304" w14:textId="162EE95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20B9CC6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213B0" w:rsidRPr="00270C97" w14:paraId="590F2F23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12E253B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0FB19ED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2C2698E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680EEB4" w14:textId="5FC3F19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7B17FF6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7AC6DFE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70C6F16" w14:textId="3A88F005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330E88F1" w14:textId="326CCBC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FA85965" w14:textId="12D1801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0A2B7EB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213B0" w:rsidRPr="00270C97" w14:paraId="2A880F5A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62ACF7B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20A717D8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454A8B7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E0E9093" w14:textId="57D43CF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04331A6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41A9318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17709C24" w14:textId="12DF1730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5622C959" w14:textId="138956EB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F9344FC" w14:textId="16D83DFB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00CE7A0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213B0" w:rsidRPr="00270C97" w14:paraId="55C632D2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3787EED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74E3057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533E0FD" w14:textId="4454E7F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0853CAD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0C2C796C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7B23A8B" w14:textId="213AE90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0B7CE235" w14:textId="6C0A406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0FEBA88" w14:textId="605611A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60F07F3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213B0" w:rsidRPr="00270C97" w14:paraId="68EB8357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119896D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25DF3A3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7FC99C88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BE9BC8E" w14:textId="748708F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7B6FB36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054E819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4039608" w14:textId="2FCE07F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489FA618" w14:textId="0E14A2F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FB3C3DB" w14:textId="48BBB5F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6440AA55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213B0" w:rsidRPr="00270C97" w14:paraId="5F3554C5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0743A31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48D43CE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1131A02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EF4B93D" w14:textId="37D97BB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2D6AFD62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1FD3646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6E66F6ED" w14:textId="0BBFC858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592" w:type="dxa"/>
            <w:tcMar>
              <w:left w:w="0" w:type="dxa"/>
              <w:right w:w="0" w:type="dxa"/>
            </w:tcMar>
            <w:vAlign w:val="center"/>
          </w:tcPr>
          <w:p w14:paraId="7F1BD4F6" w14:textId="57759449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9C5CCBD" w14:textId="54C696D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6195027A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A213B0" w:rsidRPr="00270C97" w14:paraId="26F35318" w14:textId="77777777" w:rsidTr="00A213B0">
        <w:trPr>
          <w:trHeight w:val="260"/>
          <w:jc w:val="center"/>
        </w:trPr>
        <w:tc>
          <w:tcPr>
            <w:tcW w:w="83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348C97" w14:textId="7C876866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027172" w14:textId="71BCFC0D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6EE2B" w14:textId="7A1E673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BB399" w14:textId="7B6BC4B5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5D577" w14:textId="70665873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2C8CFCC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9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83D64" w14:textId="37C94A4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9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816C5" w14:textId="40349C81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E5DB4" w14:textId="3D64D89B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60D680AF" w:rsidR="00A213B0" w:rsidRPr="00A213B0" w:rsidRDefault="00A213B0" w:rsidP="00A21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102%</w:t>
            </w:r>
          </w:p>
        </w:tc>
      </w:tr>
    </w:tbl>
    <w:bookmarkEnd w:id="3"/>
    <w:p w14:paraId="24AFE521" w14:textId="77777777" w:rsidR="00E00D9D" w:rsidRDefault="00E00D9D" w:rsidP="00E00D9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AF5FA35" w14:textId="4D28C0F4" w:rsidR="00E00D9D" w:rsidRPr="008E539B" w:rsidRDefault="00E00D9D" w:rsidP="00E00D9D">
      <w:pPr>
        <w:rPr>
          <w:lang w:val="en-CA"/>
        </w:rPr>
      </w:pPr>
      <w:r>
        <w:rPr>
          <w:lang w:val="en-CA"/>
        </w:rPr>
        <w:t xml:space="preserve">This contribution presents </w:t>
      </w:r>
      <w:r>
        <w:t>a method of history-parameter-based affine model inheritance</w:t>
      </w:r>
      <w:r>
        <w:rPr>
          <w:lang w:val="en-CA"/>
        </w:rPr>
        <w:t xml:space="preserve">. The proposed method contributes promising coding gains with negligible complexity overhead. It is </w:t>
      </w:r>
      <w:r>
        <w:rPr>
          <w:szCs w:val="22"/>
          <w:lang w:val="en-CA" w:eastAsia="zh-TW"/>
        </w:rPr>
        <w:t xml:space="preserve">recommended to </w:t>
      </w:r>
      <w:r w:rsidR="00952210">
        <w:rPr>
          <w:szCs w:val="22"/>
          <w:lang w:val="en-CA" w:eastAsia="zh-TW"/>
        </w:rPr>
        <w:t>further study it in EE2</w:t>
      </w:r>
      <w:r>
        <w:rPr>
          <w:szCs w:val="22"/>
          <w:lang w:val="en-CA" w:eastAsia="zh-TW"/>
        </w:rPr>
        <w:t>.</w:t>
      </w:r>
    </w:p>
    <w:p w14:paraId="53B589DE" w14:textId="77777777" w:rsidR="00EB1F74" w:rsidRPr="00EB1F74" w:rsidRDefault="00EB1F74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F7C080" w14:textId="1E42DF9B" w:rsidR="00F16BE4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>K. Zhang, L. Zhang, H. Liu, J. Xu, Y. Wang</w:t>
      </w:r>
      <w:r>
        <w:rPr>
          <w:rFonts w:eastAsia="宋体"/>
          <w:lang w:val="en-CA"/>
        </w:rPr>
        <w:t>, “</w:t>
      </w:r>
      <w:r w:rsidRPr="00FD48F5">
        <w:rPr>
          <w:rFonts w:eastAsia="宋体"/>
          <w:lang w:val="en-CA"/>
        </w:rPr>
        <w:t>CE2-5.5: History-parameter-based affine model inheritance</w:t>
      </w:r>
      <w:r>
        <w:rPr>
          <w:rFonts w:eastAsia="宋体"/>
          <w:lang w:val="en-CA"/>
        </w:rPr>
        <w:t>,” JVET-N0263, Mar. 2019.</w:t>
      </w:r>
    </w:p>
    <w:p w14:paraId="50AF27FD" w14:textId="30E06638" w:rsidR="00F16BE4" w:rsidRDefault="00F16BE4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>K. Zhang, L. Zhang, H. Liu, J. Xu, Y. Wang, P. Zhao, D. Hong</w:t>
      </w:r>
      <w:r>
        <w:rPr>
          <w:rFonts w:eastAsia="宋体"/>
          <w:lang w:val="en-CA"/>
        </w:rPr>
        <w:t>, “</w:t>
      </w:r>
      <w:r w:rsidRPr="00652254">
        <w:rPr>
          <w:rFonts w:eastAsia="宋体"/>
          <w:lang w:val="en-CA"/>
        </w:rPr>
        <w:t>CE2-related: History-based affine merge candidates</w:t>
      </w:r>
      <w:r>
        <w:rPr>
          <w:rFonts w:eastAsia="宋体"/>
          <w:lang w:val="en-CA"/>
        </w:rPr>
        <w:t>,” JVET-M0266, Jan. 2019.</w:t>
      </w:r>
    </w:p>
    <w:p w14:paraId="55DB6F45" w14:textId="0688FF19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ECM-</w:t>
      </w:r>
      <w:r w:rsidR="00093C21">
        <w:rPr>
          <w:rFonts w:eastAsia="宋体"/>
          <w:lang w:val="en-CA"/>
        </w:rPr>
        <w:t>2</w:t>
      </w:r>
      <w:r>
        <w:rPr>
          <w:rFonts w:eastAsia="宋体"/>
          <w:lang w:val="en-CA"/>
        </w:rPr>
        <w:t xml:space="preserve">.0, </w:t>
      </w:r>
      <w:r w:rsidR="00093C21" w:rsidRPr="00093C21">
        <w:rPr>
          <w:rFonts w:eastAsia="宋体"/>
          <w:lang w:val="en-CA"/>
        </w:rPr>
        <w:t>https://vcgit.hhi.fraunhofer.de/ecm/ECM/-/tree/ECM-2.0</w:t>
      </w:r>
      <w:r>
        <w:rPr>
          <w:rFonts w:eastAsia="宋体"/>
          <w:lang w:val="en-CA"/>
        </w:rPr>
        <w:t>.</w:t>
      </w:r>
    </w:p>
    <w:p w14:paraId="221734E6" w14:textId="137CF0C4" w:rsidR="005F6379" w:rsidRPr="00093C21" w:rsidRDefault="00EB1F74" w:rsidP="005F637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093C21">
        <w:rPr>
          <w:rFonts w:eastAsia="宋体"/>
          <w:lang w:val="en-CA"/>
        </w:rPr>
        <w:t>W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093C21">
        <w:rPr>
          <w:rFonts w:eastAsia="宋体"/>
          <w:lang w:val="en-CA"/>
        </w:rPr>
        <w:t>Jul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FF390C" w14:textId="77777777" w:rsidR="000606A9" w:rsidRDefault="000606A9">
      <w:r>
        <w:separator/>
      </w:r>
    </w:p>
  </w:endnote>
  <w:endnote w:type="continuationSeparator" w:id="0">
    <w:p w14:paraId="3D27B4D9" w14:textId="77777777" w:rsidR="000606A9" w:rsidRDefault="00060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DC2B6A6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4648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86E2F" w14:textId="77777777" w:rsidR="000606A9" w:rsidRDefault="000606A9">
      <w:r>
        <w:separator/>
      </w:r>
    </w:p>
  </w:footnote>
  <w:footnote w:type="continuationSeparator" w:id="0">
    <w:p w14:paraId="3194BA80" w14:textId="77777777" w:rsidR="000606A9" w:rsidRDefault="00060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AD"/>
    <w:rsid w:val="000308A3"/>
    <w:rsid w:val="0004543A"/>
    <w:rsid w:val="000458BC"/>
    <w:rsid w:val="00045C41"/>
    <w:rsid w:val="00046C03"/>
    <w:rsid w:val="000606A9"/>
    <w:rsid w:val="00064A21"/>
    <w:rsid w:val="00065039"/>
    <w:rsid w:val="0007614F"/>
    <w:rsid w:val="00076C98"/>
    <w:rsid w:val="000808FA"/>
    <w:rsid w:val="00081398"/>
    <w:rsid w:val="00084393"/>
    <w:rsid w:val="000865E1"/>
    <w:rsid w:val="00086A84"/>
    <w:rsid w:val="00092AF4"/>
    <w:rsid w:val="00093C21"/>
    <w:rsid w:val="00094479"/>
    <w:rsid w:val="000962AC"/>
    <w:rsid w:val="000A0062"/>
    <w:rsid w:val="000B0C0F"/>
    <w:rsid w:val="000B1C6B"/>
    <w:rsid w:val="000B4142"/>
    <w:rsid w:val="000B4FF9"/>
    <w:rsid w:val="000B7938"/>
    <w:rsid w:val="000C07C2"/>
    <w:rsid w:val="000C09AC"/>
    <w:rsid w:val="000C2BAA"/>
    <w:rsid w:val="000C5467"/>
    <w:rsid w:val="000D5227"/>
    <w:rsid w:val="000E00F3"/>
    <w:rsid w:val="000F02B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51D"/>
    <w:rsid w:val="00171371"/>
    <w:rsid w:val="00175A24"/>
    <w:rsid w:val="00187E58"/>
    <w:rsid w:val="001924B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648"/>
    <w:rsid w:val="001E0248"/>
    <w:rsid w:val="001E02BE"/>
    <w:rsid w:val="001E3B37"/>
    <w:rsid w:val="001F2594"/>
    <w:rsid w:val="001F685D"/>
    <w:rsid w:val="00203F5B"/>
    <w:rsid w:val="002055A6"/>
    <w:rsid w:val="00206460"/>
    <w:rsid w:val="002069B4"/>
    <w:rsid w:val="00214B49"/>
    <w:rsid w:val="00215DFC"/>
    <w:rsid w:val="00216D77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53000"/>
    <w:rsid w:val="00262996"/>
    <w:rsid w:val="00263398"/>
    <w:rsid w:val="00263B99"/>
    <w:rsid w:val="002647D8"/>
    <w:rsid w:val="00266F06"/>
    <w:rsid w:val="00270C97"/>
    <w:rsid w:val="00275BCF"/>
    <w:rsid w:val="00280613"/>
    <w:rsid w:val="002830BD"/>
    <w:rsid w:val="00285E61"/>
    <w:rsid w:val="00291E36"/>
    <w:rsid w:val="00292257"/>
    <w:rsid w:val="00295EAB"/>
    <w:rsid w:val="002A54E0"/>
    <w:rsid w:val="002B1595"/>
    <w:rsid w:val="002B191D"/>
    <w:rsid w:val="002B2E83"/>
    <w:rsid w:val="002C6294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A2D8E"/>
    <w:rsid w:val="003A6107"/>
    <w:rsid w:val="003A7CE6"/>
    <w:rsid w:val="003C20E4"/>
    <w:rsid w:val="003C6C1A"/>
    <w:rsid w:val="003D6342"/>
    <w:rsid w:val="003E6F90"/>
    <w:rsid w:val="003E73ED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703B3"/>
    <w:rsid w:val="004919D9"/>
    <w:rsid w:val="0049445A"/>
    <w:rsid w:val="004A2A63"/>
    <w:rsid w:val="004A4CD7"/>
    <w:rsid w:val="004A624A"/>
    <w:rsid w:val="004B210C"/>
    <w:rsid w:val="004B6170"/>
    <w:rsid w:val="004C5461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7750"/>
    <w:rsid w:val="00524940"/>
    <w:rsid w:val="00531AE9"/>
    <w:rsid w:val="00536188"/>
    <w:rsid w:val="00550A66"/>
    <w:rsid w:val="00567EC7"/>
    <w:rsid w:val="00570013"/>
    <w:rsid w:val="005705F6"/>
    <w:rsid w:val="005753EC"/>
    <w:rsid w:val="005801A2"/>
    <w:rsid w:val="005904DD"/>
    <w:rsid w:val="005952A5"/>
    <w:rsid w:val="005A33A1"/>
    <w:rsid w:val="005A5FB1"/>
    <w:rsid w:val="005B217D"/>
    <w:rsid w:val="005C385F"/>
    <w:rsid w:val="005C7C26"/>
    <w:rsid w:val="005E1AC6"/>
    <w:rsid w:val="005E3F2B"/>
    <w:rsid w:val="005E7A7D"/>
    <w:rsid w:val="005F119C"/>
    <w:rsid w:val="005F6379"/>
    <w:rsid w:val="005F6F1B"/>
    <w:rsid w:val="00601B87"/>
    <w:rsid w:val="00615995"/>
    <w:rsid w:val="00616155"/>
    <w:rsid w:val="00624B33"/>
    <w:rsid w:val="0063041A"/>
    <w:rsid w:val="00630AA2"/>
    <w:rsid w:val="00631D8B"/>
    <w:rsid w:val="00646707"/>
    <w:rsid w:val="00657F7E"/>
    <w:rsid w:val="00660CBD"/>
    <w:rsid w:val="00662E58"/>
    <w:rsid w:val="006637F2"/>
    <w:rsid w:val="006642A5"/>
    <w:rsid w:val="00664DCF"/>
    <w:rsid w:val="0068508D"/>
    <w:rsid w:val="00692922"/>
    <w:rsid w:val="006951E5"/>
    <w:rsid w:val="006A0E5C"/>
    <w:rsid w:val="006A3D23"/>
    <w:rsid w:val="006A48E6"/>
    <w:rsid w:val="006B1054"/>
    <w:rsid w:val="006C5D39"/>
    <w:rsid w:val="006C7A25"/>
    <w:rsid w:val="006D2D01"/>
    <w:rsid w:val="006D6D9B"/>
    <w:rsid w:val="006E1574"/>
    <w:rsid w:val="006E2810"/>
    <w:rsid w:val="006E5417"/>
    <w:rsid w:val="006F0794"/>
    <w:rsid w:val="006F7528"/>
    <w:rsid w:val="007023DE"/>
    <w:rsid w:val="00712F60"/>
    <w:rsid w:val="00720E3B"/>
    <w:rsid w:val="007219A4"/>
    <w:rsid w:val="00737649"/>
    <w:rsid w:val="0074393F"/>
    <w:rsid w:val="00745F6B"/>
    <w:rsid w:val="0075175B"/>
    <w:rsid w:val="0075585E"/>
    <w:rsid w:val="00756362"/>
    <w:rsid w:val="00770571"/>
    <w:rsid w:val="007768FF"/>
    <w:rsid w:val="007824D3"/>
    <w:rsid w:val="00796EE3"/>
    <w:rsid w:val="007A7D29"/>
    <w:rsid w:val="007B4AB8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6D15"/>
    <w:rsid w:val="00817C78"/>
    <w:rsid w:val="008206C8"/>
    <w:rsid w:val="008322E3"/>
    <w:rsid w:val="0086387C"/>
    <w:rsid w:val="00874A6C"/>
    <w:rsid w:val="00876C65"/>
    <w:rsid w:val="00882F72"/>
    <w:rsid w:val="00893DC4"/>
    <w:rsid w:val="00893F36"/>
    <w:rsid w:val="008A4B4C"/>
    <w:rsid w:val="008C239F"/>
    <w:rsid w:val="008E480C"/>
    <w:rsid w:val="008F09D6"/>
    <w:rsid w:val="00906533"/>
    <w:rsid w:val="00907757"/>
    <w:rsid w:val="0091374D"/>
    <w:rsid w:val="009212B0"/>
    <w:rsid w:val="00921FA1"/>
    <w:rsid w:val="009234A5"/>
    <w:rsid w:val="00933453"/>
    <w:rsid w:val="009336F7"/>
    <w:rsid w:val="0093636C"/>
    <w:rsid w:val="009374A7"/>
    <w:rsid w:val="00937F03"/>
    <w:rsid w:val="0095221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A01439"/>
    <w:rsid w:val="00A01D5B"/>
    <w:rsid w:val="00A02E61"/>
    <w:rsid w:val="00A05CFF"/>
    <w:rsid w:val="00A13048"/>
    <w:rsid w:val="00A213B0"/>
    <w:rsid w:val="00A46843"/>
    <w:rsid w:val="00A56B97"/>
    <w:rsid w:val="00A6093D"/>
    <w:rsid w:val="00A72017"/>
    <w:rsid w:val="00A767DC"/>
    <w:rsid w:val="00A76A6D"/>
    <w:rsid w:val="00A83253"/>
    <w:rsid w:val="00AA6C6C"/>
    <w:rsid w:val="00AA6E84"/>
    <w:rsid w:val="00AB1A1C"/>
    <w:rsid w:val="00AD05A8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D4BDC"/>
    <w:rsid w:val="00BE4B18"/>
    <w:rsid w:val="00C00DDE"/>
    <w:rsid w:val="00C04F43"/>
    <w:rsid w:val="00C05271"/>
    <w:rsid w:val="00C0609D"/>
    <w:rsid w:val="00C115AB"/>
    <w:rsid w:val="00C160BC"/>
    <w:rsid w:val="00C1709E"/>
    <w:rsid w:val="00C26CCB"/>
    <w:rsid w:val="00C30249"/>
    <w:rsid w:val="00C3723B"/>
    <w:rsid w:val="00C42466"/>
    <w:rsid w:val="00C45379"/>
    <w:rsid w:val="00C56D30"/>
    <w:rsid w:val="00C606C9"/>
    <w:rsid w:val="00C77C5F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645"/>
    <w:rsid w:val="00CF558F"/>
    <w:rsid w:val="00D010C0"/>
    <w:rsid w:val="00D073E2"/>
    <w:rsid w:val="00D11806"/>
    <w:rsid w:val="00D12A54"/>
    <w:rsid w:val="00D13F75"/>
    <w:rsid w:val="00D1555A"/>
    <w:rsid w:val="00D33719"/>
    <w:rsid w:val="00D34AB4"/>
    <w:rsid w:val="00D446EC"/>
    <w:rsid w:val="00D51BF0"/>
    <w:rsid w:val="00D531DB"/>
    <w:rsid w:val="00D55942"/>
    <w:rsid w:val="00D6008D"/>
    <w:rsid w:val="00D807BF"/>
    <w:rsid w:val="00D82FCC"/>
    <w:rsid w:val="00D85DDC"/>
    <w:rsid w:val="00DA17FC"/>
    <w:rsid w:val="00DA7887"/>
    <w:rsid w:val="00DB200E"/>
    <w:rsid w:val="00DB2C26"/>
    <w:rsid w:val="00DB3842"/>
    <w:rsid w:val="00DB7165"/>
    <w:rsid w:val="00DC3613"/>
    <w:rsid w:val="00DD02F4"/>
    <w:rsid w:val="00DD6622"/>
    <w:rsid w:val="00DE1C7C"/>
    <w:rsid w:val="00DE5E4D"/>
    <w:rsid w:val="00DE6B43"/>
    <w:rsid w:val="00DE768F"/>
    <w:rsid w:val="00E00D9D"/>
    <w:rsid w:val="00E06843"/>
    <w:rsid w:val="00E11923"/>
    <w:rsid w:val="00E2135E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F74"/>
    <w:rsid w:val="00EB56E1"/>
    <w:rsid w:val="00EB7AB1"/>
    <w:rsid w:val="00EC2B8F"/>
    <w:rsid w:val="00EC32BD"/>
    <w:rsid w:val="00EE69AE"/>
    <w:rsid w:val="00EE7CD8"/>
    <w:rsid w:val="00EF37F6"/>
    <w:rsid w:val="00EF48CC"/>
    <w:rsid w:val="00F00801"/>
    <w:rsid w:val="00F16BE4"/>
    <w:rsid w:val="00F2488D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B6B23"/>
    <w:rsid w:val="00FC2405"/>
    <w:rsid w:val="00FD01C2"/>
    <w:rsid w:val="00FD48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</Pages>
  <Words>943</Words>
  <Characters>5380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100</cp:revision>
  <cp:lastPrinted>1900-01-01T08:00:00Z</cp:lastPrinted>
  <dcterms:created xsi:type="dcterms:W3CDTF">2020-11-19T16:08:00Z</dcterms:created>
  <dcterms:modified xsi:type="dcterms:W3CDTF">2021-10-06T05:36:00Z</dcterms:modified>
</cp:coreProperties>
</file>