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78E6F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721175">
              <w:rPr>
                <w:lang w:val="en-CA"/>
              </w:rPr>
              <w:t>04</w:t>
            </w:r>
            <w:r w:rsidR="007D52B7">
              <w:rPr>
                <w:lang w:val="en-CA"/>
              </w:rPr>
              <w:t>70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A59ED0" w:rsidR="00E61DAC" w:rsidRPr="005B217D" w:rsidRDefault="005D5A96" w:rsidP="009D7CE6">
            <w:pPr>
              <w:spacing w:before="60" w:after="60"/>
              <w:rPr>
                <w:b/>
                <w:szCs w:val="22"/>
                <w:lang w:val="en-CA"/>
              </w:rPr>
            </w:pPr>
            <w:r>
              <w:rPr>
                <w:b/>
                <w:szCs w:val="22"/>
                <w:lang w:val="en-CA"/>
              </w:rPr>
              <w:t>Crosscheck of JVET-R</w:t>
            </w:r>
            <w:r w:rsidR="007D52B7">
              <w:rPr>
                <w:b/>
                <w:szCs w:val="22"/>
                <w:lang w:val="en-CA"/>
              </w:rPr>
              <w:t>0143</w:t>
            </w:r>
            <w:r>
              <w:rPr>
                <w:b/>
                <w:szCs w:val="22"/>
                <w:lang w:val="en-CA"/>
              </w:rPr>
              <w:t xml:space="preserve"> (</w:t>
            </w:r>
            <w:r w:rsidR="00542274" w:rsidRPr="00542274">
              <w:rPr>
                <w:b/>
                <w:szCs w:val="22"/>
                <w:lang w:val="en-CA"/>
              </w:rPr>
              <w:t>AHG14: Configuration parameter to enable TSRC for lossless coding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69594A"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B0777D7"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02E350" w:rsidR="00E61DAC" w:rsidRPr="005B217D" w:rsidRDefault="005D5A96">
            <w:pPr>
              <w:spacing w:before="60" w:after="60"/>
              <w:rPr>
                <w:szCs w:val="22"/>
                <w:lang w:val="en-CA"/>
              </w:rPr>
            </w:pPr>
            <w:r>
              <w:rPr>
                <w:szCs w:val="22"/>
                <w:lang w:val="en-CA"/>
              </w:rPr>
              <w:t>J. Gan</w:t>
            </w:r>
            <w:r w:rsidR="00E61DAC" w:rsidRPr="005B217D">
              <w:rPr>
                <w:szCs w:val="22"/>
                <w:lang w:val="en-CA"/>
              </w:rPr>
              <w:br/>
            </w:r>
            <w:r>
              <w:rPr>
                <w:szCs w:val="22"/>
                <w:lang w:val="en-CA"/>
              </w:rPr>
              <w:t>Building A, 5 Talavera Rd,</w:t>
            </w:r>
            <w:r w:rsidR="00E61DAC"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AADBE4C" w:rsidR="00E61DAC" w:rsidRPr="005B217D" w:rsidRDefault="00E61DAC" w:rsidP="005952A5">
            <w:pPr>
              <w:spacing w:before="60" w:after="60"/>
              <w:rPr>
                <w:szCs w:val="22"/>
                <w:lang w:val="en-CA"/>
              </w:rPr>
            </w:pPr>
            <w:r w:rsidRPr="005B217D">
              <w:rPr>
                <w:szCs w:val="22"/>
                <w:lang w:val="en-CA"/>
              </w:rPr>
              <w:br/>
            </w:r>
            <w:r w:rsidR="005D5A96">
              <w:rPr>
                <w:szCs w:val="22"/>
                <w:lang w:val="en-CA"/>
              </w:rPr>
              <w:t>+61 2 9805 2844</w:t>
            </w:r>
            <w:r w:rsidRPr="005B217D">
              <w:rPr>
                <w:szCs w:val="22"/>
                <w:lang w:val="en-CA"/>
              </w:rPr>
              <w:br/>
            </w:r>
            <w:r w:rsidR="005D5A96">
              <w:rPr>
                <w:szCs w:val="22"/>
                <w:lang w:val="en-CA"/>
              </w:rPr>
              <w:t>jonathan.gan@canon.com.au</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4A2B15" w:rsidR="00E61DAC" w:rsidRPr="005B217D" w:rsidRDefault="005D5A96">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D17FEEA" w:rsidR="00275BCF" w:rsidRDefault="00275BCF" w:rsidP="009234A5">
      <w:pPr>
        <w:pStyle w:val="Heading1"/>
        <w:numPr>
          <w:ilvl w:val="0"/>
          <w:numId w:val="0"/>
        </w:numPr>
        <w:ind w:left="432" w:hanging="432"/>
        <w:rPr>
          <w:lang w:val="en-CA"/>
        </w:rPr>
      </w:pPr>
      <w:r w:rsidRPr="005B217D">
        <w:rPr>
          <w:lang w:val="en-CA"/>
        </w:rPr>
        <w:t>Abstract</w:t>
      </w:r>
    </w:p>
    <w:p w14:paraId="5C9B1FC3" w14:textId="3A3E457B" w:rsidR="00542274" w:rsidRPr="00542274" w:rsidRDefault="00542274" w:rsidP="00542274">
      <w:pPr>
        <w:rPr>
          <w:lang w:val="en-CA"/>
        </w:rPr>
      </w:pPr>
      <w:r>
        <w:rPr>
          <w:lang w:val="en-CA"/>
        </w:rPr>
        <w:t>This contribution is a cross-check report of JVET-R0143.</w:t>
      </w:r>
    </w:p>
    <w:p w14:paraId="7D2AC1F0" w14:textId="30639275" w:rsidR="00745F6B" w:rsidRPr="005B217D" w:rsidRDefault="00DB7F68" w:rsidP="00E11923">
      <w:pPr>
        <w:pStyle w:val="Heading1"/>
        <w:rPr>
          <w:lang w:val="en-CA"/>
        </w:rPr>
      </w:pPr>
      <w:r>
        <w:rPr>
          <w:lang w:val="en-CA"/>
        </w:rPr>
        <w:t xml:space="preserve">Software </w:t>
      </w:r>
      <w:r w:rsidR="005D5A96">
        <w:rPr>
          <w:lang w:val="en-CA"/>
        </w:rPr>
        <w:t>Analysis</w:t>
      </w:r>
    </w:p>
    <w:p w14:paraId="65F44B0D" w14:textId="4D1C9B0A" w:rsidR="005B3845" w:rsidRDefault="005B3845" w:rsidP="009234A5">
      <w:pPr>
        <w:rPr>
          <w:szCs w:val="22"/>
          <w:lang w:val="en-CA"/>
        </w:rPr>
      </w:pPr>
      <w:r>
        <w:rPr>
          <w:szCs w:val="22"/>
          <w:lang w:val="en-CA"/>
        </w:rPr>
        <w:t xml:space="preserve">A software patch is provided in the proponent’s contribution. The patch was inspected and found to be simple and straightforward. Currently, when the VTM-8.0 encoder is run in lossless mode, the slice-level TSRC disable flag is set to 1 for all slices. The patch adds </w:t>
      </w:r>
      <w:r w:rsidR="0019150D">
        <w:rPr>
          <w:szCs w:val="22"/>
          <w:lang w:val="en-CA"/>
        </w:rPr>
        <w:t>an encoder parameter “</w:t>
      </w:r>
      <w:proofErr w:type="spellStart"/>
      <w:r w:rsidR="0019150D" w:rsidRPr="0019150D">
        <w:rPr>
          <w:szCs w:val="22"/>
          <w:lang w:val="en-CA"/>
        </w:rPr>
        <w:t>TSRCdisableLL</w:t>
      </w:r>
      <w:proofErr w:type="spellEnd"/>
      <w:r w:rsidR="0019150D">
        <w:rPr>
          <w:szCs w:val="22"/>
          <w:lang w:val="en-CA"/>
        </w:rPr>
        <w:t>” which gives configuration control to globally set all slice-level TSRC disable flags to 0 or 1.</w:t>
      </w:r>
    </w:p>
    <w:p w14:paraId="7E524F11" w14:textId="49151E56" w:rsidR="00253D5F" w:rsidRDefault="00D5002B" w:rsidP="00D5002B">
      <w:pPr>
        <w:pStyle w:val="Heading1"/>
        <w:rPr>
          <w:lang w:val="en-CA"/>
        </w:rPr>
      </w:pPr>
      <w:r>
        <w:rPr>
          <w:lang w:val="en-CA"/>
        </w:rPr>
        <w:t>Simulation Results</w:t>
      </w:r>
    </w:p>
    <w:p w14:paraId="1EA86005" w14:textId="3EE284AC" w:rsidR="00A13BA8" w:rsidRDefault="00A13BA8" w:rsidP="00A13BA8">
      <w:pPr>
        <w:rPr>
          <w:szCs w:val="22"/>
          <w:lang w:val="en-CA"/>
        </w:rPr>
      </w:pPr>
      <w:r>
        <w:rPr>
          <w:szCs w:val="22"/>
          <w:lang w:val="en-CA"/>
        </w:rPr>
        <w:t>The proponent performed tests on a non-CTC “Cityscapes” dataset.</w:t>
      </w:r>
      <w:r w:rsidR="00293B7C">
        <w:rPr>
          <w:szCs w:val="22"/>
          <w:lang w:val="en-CA"/>
        </w:rPr>
        <w:t xml:space="preserve"> </w:t>
      </w:r>
      <w:r w:rsidR="00582D09">
        <w:rPr>
          <w:szCs w:val="22"/>
          <w:lang w:val="en-CA"/>
        </w:rPr>
        <w:t xml:space="preserve">This crosscheck did not perform a simulation test on the Cityscapes dataset. However, it is noted that the Cityscapes dataset is composed of segmentation maps, which are highly structured. In terms of information distribution, segmentation maps would be most </w:t>
      </w:r>
      <w:proofErr w:type="gramStart"/>
      <w:r w:rsidR="00582D09">
        <w:rPr>
          <w:szCs w:val="22"/>
          <w:lang w:val="en-CA"/>
        </w:rPr>
        <w:t>similar to</w:t>
      </w:r>
      <w:proofErr w:type="gramEnd"/>
      <w:r w:rsidR="00582D09">
        <w:rPr>
          <w:szCs w:val="22"/>
          <w:lang w:val="en-CA"/>
        </w:rPr>
        <w:t xml:space="preserve"> the TGM class defined in the Q2014 test conditions.</w:t>
      </w:r>
    </w:p>
    <w:p w14:paraId="4A3998D1" w14:textId="5B3BB991" w:rsidR="00A13BA8" w:rsidRDefault="00582D09" w:rsidP="00A13BA8">
      <w:pPr>
        <w:rPr>
          <w:szCs w:val="22"/>
          <w:lang w:val="en-CA"/>
        </w:rPr>
      </w:pPr>
      <w:r>
        <w:rPr>
          <w:szCs w:val="22"/>
          <w:lang w:val="en-CA"/>
        </w:rPr>
        <w:t>A test of JVET-R0143 was performed on Q2014 4:2:0 test conditions, and results presented in Table 1. The results for the TGM class provide some agreement with the conclusions of JVET-R0143.</w:t>
      </w:r>
      <w:r w:rsidR="00DB7F68">
        <w:rPr>
          <w:szCs w:val="22"/>
          <w:lang w:val="en-CA"/>
        </w:rPr>
        <w:t xml:space="preserve"> Timing results are not reliable.</w:t>
      </w:r>
      <w:bookmarkStart w:id="0" w:name="_GoBack"/>
      <w:bookmarkEnd w:id="0"/>
    </w:p>
    <w:p w14:paraId="0C35148C" w14:textId="70459937" w:rsidR="00786750" w:rsidRPr="00A13BA8" w:rsidRDefault="00A13BA8" w:rsidP="00A13BA8">
      <w:pPr>
        <w:ind w:left="360" w:hanging="360"/>
        <w:jc w:val="center"/>
        <w:rPr>
          <w:b/>
          <w:lang w:val="en-CA"/>
        </w:rPr>
      </w:pPr>
      <w:r>
        <w:rPr>
          <w:b/>
          <w:lang w:val="en-CA"/>
        </w:rPr>
        <w:t>Table 1: Results of JVET-R0143 on Q2014 4:2:0 conditions</w:t>
      </w:r>
    </w:p>
    <w:tbl>
      <w:tblPr>
        <w:tblW w:w="5000" w:type="pct"/>
        <w:tblLook w:val="04A0" w:firstRow="1" w:lastRow="0" w:firstColumn="1" w:lastColumn="0" w:noHBand="0" w:noVBand="1"/>
      </w:tblPr>
      <w:tblGrid>
        <w:gridCol w:w="1247"/>
        <w:gridCol w:w="907"/>
        <w:gridCol w:w="963"/>
        <w:gridCol w:w="827"/>
        <w:gridCol w:w="907"/>
        <w:gridCol w:w="964"/>
        <w:gridCol w:w="827"/>
        <w:gridCol w:w="907"/>
        <w:gridCol w:w="964"/>
        <w:gridCol w:w="827"/>
      </w:tblGrid>
      <w:tr w:rsidR="00236F48" w:rsidRPr="00236F48" w14:paraId="569FC100" w14:textId="77777777" w:rsidTr="00236F48">
        <w:trPr>
          <w:trHeight w:val="289"/>
        </w:trPr>
        <w:tc>
          <w:tcPr>
            <w:tcW w:w="381" w:type="pct"/>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CBD21C0"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1540"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EC4B3A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All Intra</w:t>
            </w:r>
          </w:p>
        </w:tc>
        <w:tc>
          <w:tcPr>
            <w:tcW w:w="1540" w:type="pct"/>
            <w:gridSpan w:val="3"/>
            <w:tcBorders>
              <w:top w:val="single" w:sz="8" w:space="0" w:color="auto"/>
              <w:left w:val="nil"/>
              <w:bottom w:val="single" w:sz="4" w:space="0" w:color="auto"/>
              <w:right w:val="nil"/>
            </w:tcBorders>
            <w:shd w:val="clear" w:color="auto" w:fill="auto"/>
            <w:noWrap/>
            <w:vAlign w:val="bottom"/>
            <w:hideMark/>
          </w:tcPr>
          <w:p w14:paraId="2B2D76B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Random Access</w:t>
            </w:r>
          </w:p>
        </w:tc>
        <w:tc>
          <w:tcPr>
            <w:tcW w:w="1540"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2F60C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Low delay B</w:t>
            </w:r>
          </w:p>
        </w:tc>
      </w:tr>
      <w:tr w:rsidR="00236F48" w:rsidRPr="00236F48" w14:paraId="354C0FE5" w14:textId="77777777" w:rsidTr="00236F48">
        <w:trPr>
          <w:trHeight w:val="289"/>
        </w:trPr>
        <w:tc>
          <w:tcPr>
            <w:tcW w:w="381" w:type="pct"/>
            <w:vMerge/>
            <w:tcBorders>
              <w:top w:val="single" w:sz="8" w:space="0" w:color="auto"/>
              <w:left w:val="single" w:sz="8" w:space="0" w:color="auto"/>
              <w:bottom w:val="single" w:sz="8" w:space="0" w:color="000000"/>
              <w:right w:val="single" w:sz="8" w:space="0" w:color="auto"/>
            </w:tcBorders>
            <w:vAlign w:val="center"/>
            <w:hideMark/>
          </w:tcPr>
          <w:p w14:paraId="49BC04A0"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p>
        </w:tc>
        <w:tc>
          <w:tcPr>
            <w:tcW w:w="1308" w:type="pct"/>
            <w:gridSpan w:val="2"/>
            <w:tcBorders>
              <w:top w:val="single" w:sz="4" w:space="0" w:color="auto"/>
              <w:left w:val="nil"/>
              <w:bottom w:val="single" w:sz="4" w:space="0" w:color="auto"/>
              <w:right w:val="single" w:sz="4" w:space="0" w:color="auto"/>
            </w:tcBorders>
            <w:shd w:val="clear" w:color="auto" w:fill="auto"/>
            <w:noWrap/>
            <w:vAlign w:val="bottom"/>
            <w:hideMark/>
          </w:tcPr>
          <w:p w14:paraId="4D0A4FF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ratio</w:t>
            </w:r>
          </w:p>
        </w:tc>
        <w:tc>
          <w:tcPr>
            <w:tcW w:w="231" w:type="pct"/>
            <w:vMerge w:val="restart"/>
            <w:tcBorders>
              <w:top w:val="nil"/>
              <w:left w:val="single" w:sz="4" w:space="0" w:color="auto"/>
              <w:bottom w:val="single" w:sz="8" w:space="0" w:color="000000"/>
              <w:right w:val="single" w:sz="8" w:space="0" w:color="auto"/>
            </w:tcBorders>
            <w:shd w:val="clear" w:color="auto" w:fill="auto"/>
            <w:vAlign w:val="bottom"/>
            <w:hideMark/>
          </w:tcPr>
          <w:p w14:paraId="1FAB329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bit-rate savings</w:t>
            </w:r>
          </w:p>
        </w:tc>
        <w:tc>
          <w:tcPr>
            <w:tcW w:w="1308"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5BFAB1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ratio</w:t>
            </w:r>
          </w:p>
        </w:tc>
        <w:tc>
          <w:tcPr>
            <w:tcW w:w="231" w:type="pct"/>
            <w:vMerge w:val="restart"/>
            <w:tcBorders>
              <w:top w:val="nil"/>
              <w:left w:val="single" w:sz="4" w:space="0" w:color="auto"/>
              <w:bottom w:val="single" w:sz="8" w:space="0" w:color="000000"/>
              <w:right w:val="single" w:sz="8" w:space="0" w:color="auto"/>
            </w:tcBorders>
            <w:shd w:val="clear" w:color="auto" w:fill="auto"/>
            <w:vAlign w:val="bottom"/>
            <w:hideMark/>
          </w:tcPr>
          <w:p w14:paraId="2514211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bit-rate savings</w:t>
            </w:r>
          </w:p>
        </w:tc>
        <w:tc>
          <w:tcPr>
            <w:tcW w:w="1308" w:type="pct"/>
            <w:gridSpan w:val="2"/>
            <w:tcBorders>
              <w:top w:val="single" w:sz="4" w:space="0" w:color="auto"/>
              <w:left w:val="nil"/>
              <w:bottom w:val="single" w:sz="4" w:space="0" w:color="auto"/>
              <w:right w:val="single" w:sz="4" w:space="0" w:color="auto"/>
            </w:tcBorders>
            <w:shd w:val="clear" w:color="auto" w:fill="auto"/>
            <w:noWrap/>
            <w:vAlign w:val="bottom"/>
            <w:hideMark/>
          </w:tcPr>
          <w:p w14:paraId="104774D6"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ratio</w:t>
            </w:r>
          </w:p>
        </w:tc>
        <w:tc>
          <w:tcPr>
            <w:tcW w:w="231" w:type="pct"/>
            <w:vMerge w:val="restart"/>
            <w:tcBorders>
              <w:top w:val="nil"/>
              <w:left w:val="single" w:sz="4" w:space="0" w:color="auto"/>
              <w:bottom w:val="single" w:sz="8" w:space="0" w:color="000000"/>
              <w:right w:val="single" w:sz="8" w:space="0" w:color="auto"/>
            </w:tcBorders>
            <w:shd w:val="clear" w:color="auto" w:fill="auto"/>
            <w:vAlign w:val="bottom"/>
            <w:hideMark/>
          </w:tcPr>
          <w:p w14:paraId="2059EFA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bit-rate savings</w:t>
            </w:r>
          </w:p>
        </w:tc>
      </w:tr>
      <w:tr w:rsidR="00236F48" w:rsidRPr="00236F48" w14:paraId="7A133354" w14:textId="77777777" w:rsidTr="00236F48">
        <w:trPr>
          <w:trHeight w:val="289"/>
        </w:trPr>
        <w:tc>
          <w:tcPr>
            <w:tcW w:w="381" w:type="pct"/>
            <w:vMerge/>
            <w:tcBorders>
              <w:top w:val="single" w:sz="8" w:space="0" w:color="auto"/>
              <w:left w:val="single" w:sz="8" w:space="0" w:color="auto"/>
              <w:bottom w:val="single" w:sz="8" w:space="0" w:color="000000"/>
              <w:right w:val="single" w:sz="8" w:space="0" w:color="auto"/>
            </w:tcBorders>
            <w:vAlign w:val="center"/>
            <w:hideMark/>
          </w:tcPr>
          <w:p w14:paraId="420A947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p>
        </w:tc>
        <w:tc>
          <w:tcPr>
            <w:tcW w:w="572" w:type="pct"/>
            <w:tcBorders>
              <w:top w:val="nil"/>
              <w:left w:val="nil"/>
              <w:bottom w:val="single" w:sz="8" w:space="0" w:color="auto"/>
              <w:right w:val="nil"/>
            </w:tcBorders>
            <w:shd w:val="clear" w:color="auto" w:fill="auto"/>
            <w:noWrap/>
            <w:vAlign w:val="bottom"/>
            <w:hideMark/>
          </w:tcPr>
          <w:p w14:paraId="2AED7B22" w14:textId="68A29EF3"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VTM-8.0</w:t>
            </w:r>
          </w:p>
        </w:tc>
        <w:tc>
          <w:tcPr>
            <w:tcW w:w="737" w:type="pct"/>
            <w:tcBorders>
              <w:top w:val="nil"/>
              <w:left w:val="nil"/>
              <w:bottom w:val="single" w:sz="8" w:space="0" w:color="auto"/>
              <w:right w:val="nil"/>
            </w:tcBorders>
            <w:shd w:val="clear" w:color="auto" w:fill="auto"/>
            <w:noWrap/>
            <w:vAlign w:val="bottom"/>
            <w:hideMark/>
          </w:tcPr>
          <w:p w14:paraId="73999726" w14:textId="7B786153"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R0143</w:t>
            </w:r>
          </w:p>
        </w:tc>
        <w:tc>
          <w:tcPr>
            <w:tcW w:w="231" w:type="pct"/>
            <w:vMerge/>
            <w:tcBorders>
              <w:top w:val="nil"/>
              <w:left w:val="single" w:sz="4" w:space="0" w:color="auto"/>
              <w:bottom w:val="single" w:sz="8" w:space="0" w:color="000000"/>
              <w:right w:val="single" w:sz="8" w:space="0" w:color="auto"/>
            </w:tcBorders>
            <w:vAlign w:val="center"/>
            <w:hideMark/>
          </w:tcPr>
          <w:p w14:paraId="664877C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p>
        </w:tc>
        <w:tc>
          <w:tcPr>
            <w:tcW w:w="572" w:type="pct"/>
            <w:tcBorders>
              <w:top w:val="nil"/>
              <w:left w:val="nil"/>
              <w:bottom w:val="single" w:sz="8" w:space="0" w:color="auto"/>
              <w:right w:val="nil"/>
            </w:tcBorders>
            <w:shd w:val="clear" w:color="auto" w:fill="auto"/>
            <w:noWrap/>
            <w:vAlign w:val="bottom"/>
            <w:hideMark/>
          </w:tcPr>
          <w:p w14:paraId="0528DC00" w14:textId="3329671C"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VTM-8.0</w:t>
            </w:r>
          </w:p>
        </w:tc>
        <w:tc>
          <w:tcPr>
            <w:tcW w:w="737" w:type="pct"/>
            <w:tcBorders>
              <w:top w:val="nil"/>
              <w:left w:val="nil"/>
              <w:bottom w:val="single" w:sz="8" w:space="0" w:color="auto"/>
              <w:right w:val="nil"/>
            </w:tcBorders>
            <w:shd w:val="clear" w:color="auto" w:fill="auto"/>
            <w:noWrap/>
            <w:vAlign w:val="bottom"/>
            <w:hideMark/>
          </w:tcPr>
          <w:p w14:paraId="0B8CAE64" w14:textId="3922E7B8"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R0143</w:t>
            </w:r>
          </w:p>
        </w:tc>
        <w:tc>
          <w:tcPr>
            <w:tcW w:w="231" w:type="pct"/>
            <w:vMerge/>
            <w:tcBorders>
              <w:top w:val="nil"/>
              <w:left w:val="single" w:sz="4" w:space="0" w:color="auto"/>
              <w:bottom w:val="single" w:sz="8" w:space="0" w:color="000000"/>
              <w:right w:val="single" w:sz="8" w:space="0" w:color="auto"/>
            </w:tcBorders>
            <w:vAlign w:val="center"/>
            <w:hideMark/>
          </w:tcPr>
          <w:p w14:paraId="2F0AE34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p>
        </w:tc>
        <w:tc>
          <w:tcPr>
            <w:tcW w:w="572" w:type="pct"/>
            <w:tcBorders>
              <w:top w:val="nil"/>
              <w:left w:val="nil"/>
              <w:bottom w:val="single" w:sz="8" w:space="0" w:color="auto"/>
              <w:right w:val="nil"/>
            </w:tcBorders>
            <w:shd w:val="clear" w:color="auto" w:fill="auto"/>
            <w:noWrap/>
            <w:vAlign w:val="bottom"/>
            <w:hideMark/>
          </w:tcPr>
          <w:p w14:paraId="4FBD25E7" w14:textId="1397F4CB"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VTM-8.0</w:t>
            </w:r>
          </w:p>
        </w:tc>
        <w:tc>
          <w:tcPr>
            <w:tcW w:w="737" w:type="pct"/>
            <w:tcBorders>
              <w:top w:val="nil"/>
              <w:left w:val="nil"/>
              <w:bottom w:val="single" w:sz="8" w:space="0" w:color="auto"/>
              <w:right w:val="nil"/>
            </w:tcBorders>
            <w:shd w:val="clear" w:color="auto" w:fill="auto"/>
            <w:noWrap/>
            <w:vAlign w:val="bottom"/>
            <w:hideMark/>
          </w:tcPr>
          <w:p w14:paraId="26640156" w14:textId="3D0C993E"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R0143</w:t>
            </w:r>
          </w:p>
        </w:tc>
        <w:tc>
          <w:tcPr>
            <w:tcW w:w="231" w:type="pct"/>
            <w:vMerge/>
            <w:tcBorders>
              <w:top w:val="nil"/>
              <w:left w:val="single" w:sz="4" w:space="0" w:color="auto"/>
              <w:bottom w:val="single" w:sz="8" w:space="0" w:color="000000"/>
              <w:right w:val="single" w:sz="8" w:space="0" w:color="auto"/>
            </w:tcBorders>
            <w:vAlign w:val="center"/>
            <w:hideMark/>
          </w:tcPr>
          <w:p w14:paraId="659401B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p>
        </w:tc>
      </w:tr>
      <w:tr w:rsidR="00236F48" w:rsidRPr="00236F48" w14:paraId="4CF87859"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4DA519E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A1</w:t>
            </w:r>
          </w:p>
        </w:tc>
        <w:tc>
          <w:tcPr>
            <w:tcW w:w="572" w:type="pct"/>
            <w:tcBorders>
              <w:top w:val="nil"/>
              <w:left w:val="nil"/>
              <w:bottom w:val="single" w:sz="4" w:space="0" w:color="auto"/>
              <w:right w:val="single" w:sz="4" w:space="0" w:color="auto"/>
            </w:tcBorders>
            <w:shd w:val="clear" w:color="000000" w:fill="FFC7CE"/>
            <w:noWrap/>
            <w:vAlign w:val="bottom"/>
            <w:hideMark/>
          </w:tcPr>
          <w:p w14:paraId="51DF541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2.4</w:t>
            </w:r>
          </w:p>
        </w:tc>
        <w:tc>
          <w:tcPr>
            <w:tcW w:w="737" w:type="pct"/>
            <w:tcBorders>
              <w:top w:val="nil"/>
              <w:left w:val="single" w:sz="4" w:space="0" w:color="auto"/>
              <w:bottom w:val="single" w:sz="4" w:space="0" w:color="auto"/>
              <w:right w:val="single" w:sz="4" w:space="0" w:color="auto"/>
            </w:tcBorders>
            <w:shd w:val="clear" w:color="000000" w:fill="FFC7CE"/>
            <w:noWrap/>
            <w:vAlign w:val="bottom"/>
            <w:hideMark/>
          </w:tcPr>
          <w:p w14:paraId="7FAAA1E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2.3</w:t>
            </w:r>
          </w:p>
        </w:tc>
        <w:tc>
          <w:tcPr>
            <w:tcW w:w="231" w:type="pct"/>
            <w:tcBorders>
              <w:top w:val="nil"/>
              <w:left w:val="single" w:sz="4" w:space="0" w:color="auto"/>
              <w:bottom w:val="single" w:sz="4" w:space="0" w:color="auto"/>
              <w:right w:val="single" w:sz="8" w:space="0" w:color="auto"/>
            </w:tcBorders>
            <w:shd w:val="clear" w:color="000000" w:fill="FFC7CE"/>
            <w:noWrap/>
            <w:vAlign w:val="bottom"/>
            <w:hideMark/>
          </w:tcPr>
          <w:p w14:paraId="501295D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5.73%</w:t>
            </w:r>
          </w:p>
        </w:tc>
        <w:tc>
          <w:tcPr>
            <w:tcW w:w="572" w:type="pct"/>
            <w:tcBorders>
              <w:top w:val="nil"/>
              <w:left w:val="nil"/>
              <w:bottom w:val="single" w:sz="4" w:space="0" w:color="auto"/>
              <w:right w:val="single" w:sz="4" w:space="0" w:color="auto"/>
            </w:tcBorders>
            <w:shd w:val="clear" w:color="000000" w:fill="FFC7CE"/>
            <w:noWrap/>
            <w:vAlign w:val="bottom"/>
            <w:hideMark/>
          </w:tcPr>
          <w:p w14:paraId="740BB22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2.4</w:t>
            </w:r>
          </w:p>
        </w:tc>
        <w:tc>
          <w:tcPr>
            <w:tcW w:w="737" w:type="pct"/>
            <w:tcBorders>
              <w:top w:val="nil"/>
              <w:left w:val="single" w:sz="4" w:space="0" w:color="auto"/>
              <w:bottom w:val="single" w:sz="4" w:space="0" w:color="auto"/>
              <w:right w:val="single" w:sz="4" w:space="0" w:color="auto"/>
            </w:tcBorders>
            <w:shd w:val="clear" w:color="000000" w:fill="FFC7CE"/>
            <w:noWrap/>
            <w:vAlign w:val="bottom"/>
            <w:hideMark/>
          </w:tcPr>
          <w:p w14:paraId="7FBF23F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2.3</w:t>
            </w:r>
          </w:p>
        </w:tc>
        <w:tc>
          <w:tcPr>
            <w:tcW w:w="231" w:type="pct"/>
            <w:tcBorders>
              <w:top w:val="nil"/>
              <w:left w:val="single" w:sz="4" w:space="0" w:color="auto"/>
              <w:bottom w:val="single" w:sz="4" w:space="0" w:color="auto"/>
              <w:right w:val="single" w:sz="8" w:space="0" w:color="auto"/>
            </w:tcBorders>
            <w:shd w:val="clear" w:color="000000" w:fill="FFC7CE"/>
            <w:noWrap/>
            <w:vAlign w:val="bottom"/>
            <w:hideMark/>
          </w:tcPr>
          <w:p w14:paraId="62D4913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6.58%</w:t>
            </w:r>
          </w:p>
        </w:tc>
        <w:tc>
          <w:tcPr>
            <w:tcW w:w="572" w:type="pct"/>
            <w:tcBorders>
              <w:top w:val="nil"/>
              <w:left w:val="nil"/>
              <w:bottom w:val="single" w:sz="4" w:space="0" w:color="auto"/>
              <w:right w:val="single" w:sz="4" w:space="0" w:color="auto"/>
            </w:tcBorders>
            <w:shd w:val="clear" w:color="auto" w:fill="auto"/>
            <w:noWrap/>
            <w:vAlign w:val="bottom"/>
            <w:hideMark/>
          </w:tcPr>
          <w:p w14:paraId="0FD442B4"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737" w:type="pct"/>
            <w:tcBorders>
              <w:top w:val="nil"/>
              <w:left w:val="nil"/>
              <w:bottom w:val="single" w:sz="4" w:space="0" w:color="auto"/>
              <w:right w:val="single" w:sz="4" w:space="0" w:color="auto"/>
            </w:tcBorders>
            <w:shd w:val="clear" w:color="auto" w:fill="auto"/>
            <w:noWrap/>
            <w:vAlign w:val="bottom"/>
            <w:hideMark/>
          </w:tcPr>
          <w:p w14:paraId="5D0FA4B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231" w:type="pct"/>
            <w:tcBorders>
              <w:top w:val="nil"/>
              <w:left w:val="nil"/>
              <w:bottom w:val="single" w:sz="4" w:space="0" w:color="auto"/>
              <w:right w:val="single" w:sz="8" w:space="0" w:color="auto"/>
            </w:tcBorders>
            <w:shd w:val="clear" w:color="auto" w:fill="auto"/>
            <w:noWrap/>
            <w:vAlign w:val="bottom"/>
            <w:hideMark/>
          </w:tcPr>
          <w:p w14:paraId="3C2E081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r>
      <w:tr w:rsidR="00236F48" w:rsidRPr="00236F48" w14:paraId="04CBA9C9"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732DD80E"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A2</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40C6763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1.8</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B2E46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1.6</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1F0AF3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9.48%</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297D9CA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1.9</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EE9E4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1.7</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73C2407"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8.70%</w:t>
            </w:r>
          </w:p>
        </w:tc>
        <w:tc>
          <w:tcPr>
            <w:tcW w:w="572" w:type="pct"/>
            <w:tcBorders>
              <w:top w:val="nil"/>
              <w:left w:val="nil"/>
              <w:bottom w:val="single" w:sz="4" w:space="0" w:color="auto"/>
              <w:right w:val="single" w:sz="4" w:space="0" w:color="auto"/>
            </w:tcBorders>
            <w:shd w:val="clear" w:color="auto" w:fill="auto"/>
            <w:noWrap/>
            <w:vAlign w:val="bottom"/>
            <w:hideMark/>
          </w:tcPr>
          <w:p w14:paraId="493EE687"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737" w:type="pct"/>
            <w:tcBorders>
              <w:top w:val="nil"/>
              <w:left w:val="nil"/>
              <w:bottom w:val="single" w:sz="4" w:space="0" w:color="auto"/>
              <w:right w:val="single" w:sz="4" w:space="0" w:color="auto"/>
            </w:tcBorders>
            <w:shd w:val="clear" w:color="auto" w:fill="auto"/>
            <w:noWrap/>
            <w:vAlign w:val="bottom"/>
            <w:hideMark/>
          </w:tcPr>
          <w:p w14:paraId="0D1E958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231" w:type="pct"/>
            <w:tcBorders>
              <w:top w:val="nil"/>
              <w:left w:val="nil"/>
              <w:bottom w:val="single" w:sz="4" w:space="0" w:color="auto"/>
              <w:right w:val="single" w:sz="8" w:space="0" w:color="auto"/>
            </w:tcBorders>
            <w:shd w:val="clear" w:color="auto" w:fill="auto"/>
            <w:noWrap/>
            <w:vAlign w:val="bottom"/>
            <w:hideMark/>
          </w:tcPr>
          <w:p w14:paraId="695BE0C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r>
      <w:tr w:rsidR="00236F48" w:rsidRPr="00236F48" w14:paraId="5B6AD39C"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143D35E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B</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0B4A7787"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2.3</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D832E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2.2</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7B24F4D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3.89%</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53D10BA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2.5</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B81CB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2.4</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331A02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3.93%</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31D9903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2.4</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27E99F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2.4</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DE4BE7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3.93%</w:t>
            </w:r>
          </w:p>
        </w:tc>
      </w:tr>
      <w:tr w:rsidR="00236F48" w:rsidRPr="00236F48" w14:paraId="14BAC6E0"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2C45015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C</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6E51D94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2.1</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0A1F4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2.0</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05E217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4.88%</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36376B36"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2.6</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18D64E"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2.5</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5EE22E7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5.64%</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261DC46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2.6</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F0390B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2.4</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26D356E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5.55%</w:t>
            </w:r>
          </w:p>
        </w:tc>
      </w:tr>
      <w:tr w:rsidR="00236F48" w:rsidRPr="00236F48" w14:paraId="5F7BB2D0"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5C6C2DC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D</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3D242FA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2.1</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0454B7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2.0</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D6D3C1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4.67%</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12A65396"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2.9</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E15B44"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2.8</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D76F4E8"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5.56%</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279E1A6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2.9</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67F57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2.8</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6A41202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5.52%</w:t>
            </w:r>
          </w:p>
        </w:tc>
      </w:tr>
      <w:tr w:rsidR="00236F48" w:rsidRPr="00236F48" w14:paraId="4481F0EB"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2787C150"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E</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1E0FD52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3.1</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722B9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2.9</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1700011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4.45%</w:t>
            </w:r>
          </w:p>
        </w:tc>
        <w:tc>
          <w:tcPr>
            <w:tcW w:w="572" w:type="pct"/>
            <w:tcBorders>
              <w:top w:val="nil"/>
              <w:left w:val="nil"/>
              <w:bottom w:val="single" w:sz="4" w:space="0" w:color="auto"/>
              <w:right w:val="single" w:sz="4" w:space="0" w:color="auto"/>
            </w:tcBorders>
            <w:shd w:val="clear" w:color="auto" w:fill="auto"/>
            <w:noWrap/>
            <w:vAlign w:val="bottom"/>
            <w:hideMark/>
          </w:tcPr>
          <w:p w14:paraId="763603F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737" w:type="pct"/>
            <w:tcBorders>
              <w:top w:val="nil"/>
              <w:left w:val="nil"/>
              <w:bottom w:val="single" w:sz="4" w:space="0" w:color="auto"/>
              <w:right w:val="single" w:sz="4" w:space="0" w:color="auto"/>
            </w:tcBorders>
            <w:shd w:val="clear" w:color="auto" w:fill="auto"/>
            <w:noWrap/>
            <w:vAlign w:val="bottom"/>
            <w:hideMark/>
          </w:tcPr>
          <w:p w14:paraId="1143720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231" w:type="pct"/>
            <w:tcBorders>
              <w:top w:val="nil"/>
              <w:left w:val="nil"/>
              <w:bottom w:val="single" w:sz="4" w:space="0" w:color="auto"/>
              <w:right w:val="single" w:sz="8" w:space="0" w:color="auto"/>
            </w:tcBorders>
            <w:shd w:val="clear" w:color="auto" w:fill="auto"/>
            <w:noWrap/>
            <w:vAlign w:val="bottom"/>
            <w:hideMark/>
          </w:tcPr>
          <w:p w14:paraId="63793E4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 </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3D57AA5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3.4</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2EEFC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3.2</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EB157C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6.91%</w:t>
            </w:r>
          </w:p>
        </w:tc>
      </w:tr>
      <w:tr w:rsidR="00236F48" w:rsidRPr="00236F48" w14:paraId="6CDBCA31"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48044FF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Class F</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687CCCC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5.8</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6CA1AB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5.7</w:t>
            </w:r>
          </w:p>
        </w:tc>
        <w:tc>
          <w:tcPr>
            <w:tcW w:w="231" w:type="pct"/>
            <w:tcBorders>
              <w:top w:val="nil"/>
              <w:left w:val="nil"/>
              <w:bottom w:val="single" w:sz="4" w:space="0" w:color="auto"/>
              <w:right w:val="single" w:sz="8" w:space="0" w:color="auto"/>
            </w:tcBorders>
            <w:shd w:val="clear" w:color="auto" w:fill="auto"/>
            <w:noWrap/>
            <w:vAlign w:val="bottom"/>
            <w:hideMark/>
          </w:tcPr>
          <w:p w14:paraId="6270699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2.32%</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0D90017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35.4</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8957890"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35.0</w:t>
            </w:r>
          </w:p>
        </w:tc>
        <w:tc>
          <w:tcPr>
            <w:tcW w:w="231" w:type="pct"/>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493F24F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3.16%</w:t>
            </w:r>
          </w:p>
        </w:tc>
        <w:tc>
          <w:tcPr>
            <w:tcW w:w="572" w:type="pct"/>
            <w:tcBorders>
              <w:top w:val="single" w:sz="4" w:space="0" w:color="auto"/>
              <w:left w:val="nil"/>
              <w:bottom w:val="single" w:sz="4" w:space="0" w:color="auto"/>
              <w:right w:val="single" w:sz="4" w:space="0" w:color="auto"/>
            </w:tcBorders>
            <w:shd w:val="clear" w:color="000000" w:fill="FFC7CE"/>
            <w:noWrap/>
            <w:vAlign w:val="bottom"/>
            <w:hideMark/>
          </w:tcPr>
          <w:p w14:paraId="167942B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51.8</w:t>
            </w:r>
          </w:p>
        </w:tc>
        <w:tc>
          <w:tcPr>
            <w:tcW w:w="73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002D8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52.1</w:t>
            </w:r>
          </w:p>
        </w:tc>
        <w:tc>
          <w:tcPr>
            <w:tcW w:w="231" w:type="pct"/>
            <w:tcBorders>
              <w:top w:val="nil"/>
              <w:left w:val="nil"/>
              <w:bottom w:val="single" w:sz="4" w:space="0" w:color="auto"/>
              <w:right w:val="single" w:sz="8" w:space="0" w:color="auto"/>
            </w:tcBorders>
            <w:shd w:val="clear" w:color="auto" w:fill="auto"/>
            <w:noWrap/>
            <w:vAlign w:val="bottom"/>
            <w:hideMark/>
          </w:tcPr>
          <w:p w14:paraId="32E095B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2.68%</w:t>
            </w:r>
          </w:p>
        </w:tc>
      </w:tr>
      <w:tr w:rsidR="00236F48" w:rsidRPr="00236F48" w14:paraId="38FC589E" w14:textId="77777777" w:rsidTr="00236F48">
        <w:trPr>
          <w:trHeight w:val="289"/>
        </w:trPr>
        <w:tc>
          <w:tcPr>
            <w:tcW w:w="381" w:type="pct"/>
            <w:tcBorders>
              <w:top w:val="nil"/>
              <w:left w:val="single" w:sz="8" w:space="0" w:color="auto"/>
              <w:bottom w:val="nil"/>
              <w:right w:val="single" w:sz="8" w:space="0" w:color="auto"/>
            </w:tcBorders>
            <w:shd w:val="clear" w:color="auto" w:fill="auto"/>
            <w:noWrap/>
            <w:vAlign w:val="bottom"/>
            <w:hideMark/>
          </w:tcPr>
          <w:p w14:paraId="46E8B5A8"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TGM</w:t>
            </w:r>
          </w:p>
        </w:tc>
        <w:tc>
          <w:tcPr>
            <w:tcW w:w="572" w:type="pct"/>
            <w:tcBorders>
              <w:top w:val="single" w:sz="4" w:space="0" w:color="auto"/>
              <w:left w:val="nil"/>
              <w:bottom w:val="nil"/>
              <w:right w:val="single" w:sz="4" w:space="0" w:color="auto"/>
            </w:tcBorders>
            <w:shd w:val="clear" w:color="000000" w:fill="FFC7CE"/>
            <w:noWrap/>
            <w:vAlign w:val="bottom"/>
            <w:hideMark/>
          </w:tcPr>
          <w:p w14:paraId="688DD19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12.4</w:t>
            </w:r>
          </w:p>
        </w:tc>
        <w:tc>
          <w:tcPr>
            <w:tcW w:w="737" w:type="pct"/>
            <w:tcBorders>
              <w:top w:val="single" w:sz="4" w:space="0" w:color="auto"/>
              <w:left w:val="single" w:sz="4" w:space="0" w:color="auto"/>
              <w:bottom w:val="nil"/>
              <w:right w:val="single" w:sz="4" w:space="0" w:color="auto"/>
            </w:tcBorders>
            <w:shd w:val="clear" w:color="000000" w:fill="FFC7CE"/>
            <w:noWrap/>
            <w:vAlign w:val="bottom"/>
            <w:hideMark/>
          </w:tcPr>
          <w:p w14:paraId="23AF36E0"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12.5</w:t>
            </w:r>
          </w:p>
        </w:tc>
        <w:tc>
          <w:tcPr>
            <w:tcW w:w="231" w:type="pct"/>
            <w:tcBorders>
              <w:top w:val="nil"/>
              <w:left w:val="nil"/>
              <w:bottom w:val="nil"/>
              <w:right w:val="single" w:sz="8" w:space="0" w:color="auto"/>
            </w:tcBorders>
            <w:shd w:val="clear" w:color="auto" w:fill="auto"/>
            <w:noWrap/>
            <w:vAlign w:val="bottom"/>
            <w:hideMark/>
          </w:tcPr>
          <w:p w14:paraId="13D8E3C1"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-0.29%</w:t>
            </w:r>
          </w:p>
        </w:tc>
        <w:tc>
          <w:tcPr>
            <w:tcW w:w="572" w:type="pct"/>
            <w:tcBorders>
              <w:top w:val="single" w:sz="4" w:space="0" w:color="auto"/>
              <w:left w:val="nil"/>
              <w:bottom w:val="nil"/>
              <w:right w:val="single" w:sz="4" w:space="0" w:color="auto"/>
            </w:tcBorders>
            <w:shd w:val="clear" w:color="000000" w:fill="FFC7CE"/>
            <w:noWrap/>
            <w:vAlign w:val="bottom"/>
            <w:hideMark/>
          </w:tcPr>
          <w:p w14:paraId="02A6155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109.0</w:t>
            </w:r>
          </w:p>
        </w:tc>
        <w:tc>
          <w:tcPr>
            <w:tcW w:w="737" w:type="pct"/>
            <w:tcBorders>
              <w:top w:val="single" w:sz="4" w:space="0" w:color="auto"/>
              <w:left w:val="single" w:sz="4" w:space="0" w:color="auto"/>
              <w:bottom w:val="nil"/>
              <w:right w:val="single" w:sz="4" w:space="0" w:color="auto"/>
            </w:tcBorders>
            <w:shd w:val="clear" w:color="000000" w:fill="FFC7CE"/>
            <w:noWrap/>
            <w:vAlign w:val="bottom"/>
            <w:hideMark/>
          </w:tcPr>
          <w:p w14:paraId="388C92B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109.3</w:t>
            </w:r>
          </w:p>
        </w:tc>
        <w:tc>
          <w:tcPr>
            <w:tcW w:w="231" w:type="pct"/>
            <w:tcBorders>
              <w:top w:val="nil"/>
              <w:left w:val="nil"/>
              <w:bottom w:val="nil"/>
              <w:right w:val="single" w:sz="8" w:space="0" w:color="auto"/>
            </w:tcBorders>
            <w:shd w:val="clear" w:color="auto" w:fill="auto"/>
            <w:noWrap/>
            <w:vAlign w:val="bottom"/>
            <w:hideMark/>
          </w:tcPr>
          <w:p w14:paraId="03E5BC4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-0.16%</w:t>
            </w:r>
          </w:p>
        </w:tc>
        <w:tc>
          <w:tcPr>
            <w:tcW w:w="572" w:type="pct"/>
            <w:tcBorders>
              <w:top w:val="single" w:sz="4" w:space="0" w:color="auto"/>
              <w:left w:val="nil"/>
              <w:bottom w:val="nil"/>
              <w:right w:val="single" w:sz="4" w:space="0" w:color="auto"/>
            </w:tcBorders>
            <w:shd w:val="clear" w:color="000000" w:fill="FFC7CE"/>
            <w:noWrap/>
            <w:vAlign w:val="bottom"/>
            <w:hideMark/>
          </w:tcPr>
          <w:p w14:paraId="1F75681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122.8</w:t>
            </w:r>
          </w:p>
        </w:tc>
        <w:tc>
          <w:tcPr>
            <w:tcW w:w="737" w:type="pct"/>
            <w:tcBorders>
              <w:top w:val="single" w:sz="4" w:space="0" w:color="auto"/>
              <w:left w:val="single" w:sz="4" w:space="0" w:color="auto"/>
              <w:bottom w:val="nil"/>
              <w:right w:val="single" w:sz="4" w:space="0" w:color="auto"/>
            </w:tcBorders>
            <w:shd w:val="clear" w:color="000000" w:fill="FFC7CE"/>
            <w:noWrap/>
            <w:vAlign w:val="bottom"/>
            <w:hideMark/>
          </w:tcPr>
          <w:p w14:paraId="7627ABF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36F48">
              <w:rPr>
                <w:rFonts w:ascii="Arial" w:hAnsi="Arial" w:cs="Arial"/>
                <w:sz w:val="18"/>
                <w:szCs w:val="18"/>
                <w:lang w:val="en-AU" w:eastAsia="en-AU"/>
              </w:rPr>
              <w:t>127.0</w:t>
            </w:r>
          </w:p>
        </w:tc>
        <w:tc>
          <w:tcPr>
            <w:tcW w:w="231" w:type="pct"/>
            <w:tcBorders>
              <w:top w:val="nil"/>
              <w:left w:val="nil"/>
              <w:bottom w:val="nil"/>
              <w:right w:val="single" w:sz="8" w:space="0" w:color="auto"/>
            </w:tcBorders>
            <w:shd w:val="clear" w:color="auto" w:fill="auto"/>
            <w:noWrap/>
            <w:vAlign w:val="bottom"/>
            <w:hideMark/>
          </w:tcPr>
          <w:p w14:paraId="6AFE4DD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-1.92%</w:t>
            </w:r>
          </w:p>
        </w:tc>
      </w:tr>
      <w:tr w:rsidR="00236F48" w:rsidRPr="00236F48" w14:paraId="06C2983D" w14:textId="77777777" w:rsidTr="00236F48">
        <w:trPr>
          <w:trHeight w:val="289"/>
        </w:trPr>
        <w:tc>
          <w:tcPr>
            <w:tcW w:w="38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E06B7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AU" w:eastAsia="en-AU"/>
              </w:rPr>
            </w:pPr>
            <w:r w:rsidRPr="00236F48">
              <w:rPr>
                <w:rFonts w:ascii="Arial" w:hAnsi="Arial" w:cs="Arial"/>
                <w:b/>
                <w:bCs/>
                <w:color w:val="000000"/>
                <w:sz w:val="18"/>
                <w:szCs w:val="18"/>
                <w:lang w:val="en-AU" w:eastAsia="en-AU"/>
              </w:rPr>
              <w:t>Overall</w:t>
            </w:r>
          </w:p>
        </w:tc>
        <w:tc>
          <w:tcPr>
            <w:tcW w:w="572" w:type="pct"/>
            <w:tcBorders>
              <w:top w:val="single" w:sz="8" w:space="0" w:color="auto"/>
              <w:left w:val="nil"/>
              <w:bottom w:val="single" w:sz="8" w:space="0" w:color="auto"/>
              <w:right w:val="single" w:sz="4" w:space="0" w:color="auto"/>
            </w:tcBorders>
            <w:shd w:val="clear" w:color="000000" w:fill="FFC7CE"/>
            <w:noWrap/>
            <w:vAlign w:val="bottom"/>
            <w:hideMark/>
          </w:tcPr>
          <w:p w14:paraId="13873AF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2.3</w:t>
            </w:r>
          </w:p>
        </w:tc>
        <w:tc>
          <w:tcPr>
            <w:tcW w:w="73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5EE49A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2.2</w:t>
            </w:r>
          </w:p>
        </w:tc>
        <w:tc>
          <w:tcPr>
            <w:tcW w:w="231" w:type="pct"/>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18BAA42"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5.44%</w:t>
            </w:r>
          </w:p>
        </w:tc>
        <w:tc>
          <w:tcPr>
            <w:tcW w:w="572" w:type="pct"/>
            <w:tcBorders>
              <w:top w:val="single" w:sz="8" w:space="0" w:color="auto"/>
              <w:left w:val="nil"/>
              <w:bottom w:val="single" w:sz="8" w:space="0" w:color="auto"/>
              <w:right w:val="single" w:sz="4" w:space="0" w:color="auto"/>
            </w:tcBorders>
            <w:shd w:val="clear" w:color="000000" w:fill="FFC7CE"/>
            <w:noWrap/>
            <w:vAlign w:val="bottom"/>
            <w:hideMark/>
          </w:tcPr>
          <w:p w14:paraId="460FA115"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2.4</w:t>
            </w:r>
          </w:p>
        </w:tc>
        <w:tc>
          <w:tcPr>
            <w:tcW w:w="73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0A38D2D"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2.2</w:t>
            </w:r>
          </w:p>
        </w:tc>
        <w:tc>
          <w:tcPr>
            <w:tcW w:w="231" w:type="pct"/>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7D6BDC6C"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5.87%</w:t>
            </w:r>
          </w:p>
        </w:tc>
        <w:tc>
          <w:tcPr>
            <w:tcW w:w="572" w:type="pct"/>
            <w:tcBorders>
              <w:top w:val="single" w:sz="8" w:space="0" w:color="auto"/>
              <w:left w:val="nil"/>
              <w:bottom w:val="single" w:sz="8" w:space="0" w:color="auto"/>
              <w:right w:val="single" w:sz="4" w:space="0" w:color="auto"/>
            </w:tcBorders>
            <w:shd w:val="clear" w:color="000000" w:fill="FFC7CE"/>
            <w:noWrap/>
            <w:vAlign w:val="bottom"/>
            <w:hideMark/>
          </w:tcPr>
          <w:p w14:paraId="2DF41CB6"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2.7</w:t>
            </w:r>
          </w:p>
        </w:tc>
        <w:tc>
          <w:tcPr>
            <w:tcW w:w="73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8FE472A"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2.6</w:t>
            </w:r>
          </w:p>
        </w:tc>
        <w:tc>
          <w:tcPr>
            <w:tcW w:w="231" w:type="pct"/>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1DFCCFF4"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AU" w:eastAsia="en-AU"/>
              </w:rPr>
            </w:pPr>
            <w:r w:rsidRPr="00236F48">
              <w:rPr>
                <w:rFonts w:ascii="Arial" w:hAnsi="Arial" w:cs="Arial"/>
                <w:b/>
                <w:bCs/>
                <w:sz w:val="18"/>
                <w:szCs w:val="18"/>
                <w:lang w:val="en-AU" w:eastAsia="en-AU"/>
              </w:rPr>
              <w:t>5.21%</w:t>
            </w:r>
          </w:p>
        </w:tc>
      </w:tr>
      <w:tr w:rsidR="00236F48" w:rsidRPr="00236F48" w14:paraId="72183250" w14:textId="77777777" w:rsidTr="00236F48">
        <w:trPr>
          <w:trHeight w:val="289"/>
        </w:trPr>
        <w:tc>
          <w:tcPr>
            <w:tcW w:w="381" w:type="pct"/>
            <w:tcBorders>
              <w:top w:val="nil"/>
              <w:left w:val="single" w:sz="8" w:space="0" w:color="auto"/>
              <w:bottom w:val="single" w:sz="4" w:space="0" w:color="auto"/>
              <w:right w:val="single" w:sz="8" w:space="0" w:color="auto"/>
            </w:tcBorders>
            <w:shd w:val="clear" w:color="auto" w:fill="auto"/>
            <w:noWrap/>
            <w:vAlign w:val="bottom"/>
            <w:hideMark/>
          </w:tcPr>
          <w:p w14:paraId="72571268"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lastRenderedPageBreak/>
              <w:t>Enc Time[%]</w:t>
            </w:r>
          </w:p>
        </w:tc>
        <w:tc>
          <w:tcPr>
            <w:tcW w:w="1540" w:type="pct"/>
            <w:gridSpan w:val="3"/>
            <w:tcBorders>
              <w:top w:val="nil"/>
              <w:left w:val="nil"/>
              <w:bottom w:val="single" w:sz="4" w:space="0" w:color="auto"/>
              <w:right w:val="single" w:sz="8" w:space="0" w:color="000000"/>
            </w:tcBorders>
            <w:shd w:val="clear" w:color="auto" w:fill="auto"/>
            <w:noWrap/>
            <w:vAlign w:val="bottom"/>
            <w:hideMark/>
          </w:tcPr>
          <w:p w14:paraId="116A0D1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106%</w:t>
            </w:r>
          </w:p>
        </w:tc>
        <w:tc>
          <w:tcPr>
            <w:tcW w:w="1540" w:type="pct"/>
            <w:gridSpan w:val="3"/>
            <w:tcBorders>
              <w:top w:val="nil"/>
              <w:left w:val="nil"/>
              <w:bottom w:val="single" w:sz="4" w:space="0" w:color="auto"/>
              <w:right w:val="single" w:sz="8" w:space="0" w:color="000000"/>
            </w:tcBorders>
            <w:shd w:val="clear" w:color="auto" w:fill="auto"/>
            <w:noWrap/>
            <w:vAlign w:val="bottom"/>
            <w:hideMark/>
          </w:tcPr>
          <w:p w14:paraId="2C8578E3"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95%</w:t>
            </w:r>
          </w:p>
        </w:tc>
        <w:tc>
          <w:tcPr>
            <w:tcW w:w="1540" w:type="pct"/>
            <w:gridSpan w:val="3"/>
            <w:tcBorders>
              <w:top w:val="nil"/>
              <w:left w:val="nil"/>
              <w:bottom w:val="single" w:sz="4" w:space="0" w:color="auto"/>
              <w:right w:val="single" w:sz="8" w:space="0" w:color="000000"/>
            </w:tcBorders>
            <w:shd w:val="clear" w:color="auto" w:fill="auto"/>
            <w:noWrap/>
            <w:vAlign w:val="bottom"/>
            <w:hideMark/>
          </w:tcPr>
          <w:p w14:paraId="177B5929"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92%</w:t>
            </w:r>
          </w:p>
        </w:tc>
      </w:tr>
      <w:tr w:rsidR="00236F48" w:rsidRPr="00236F48" w14:paraId="5EFEF9C7" w14:textId="77777777" w:rsidTr="00236F48">
        <w:trPr>
          <w:trHeight w:val="289"/>
        </w:trPr>
        <w:tc>
          <w:tcPr>
            <w:tcW w:w="381" w:type="pct"/>
            <w:tcBorders>
              <w:top w:val="nil"/>
              <w:left w:val="single" w:sz="8" w:space="0" w:color="auto"/>
              <w:bottom w:val="single" w:sz="8" w:space="0" w:color="auto"/>
              <w:right w:val="single" w:sz="8" w:space="0" w:color="auto"/>
            </w:tcBorders>
            <w:shd w:val="clear" w:color="auto" w:fill="auto"/>
            <w:noWrap/>
            <w:vAlign w:val="bottom"/>
            <w:hideMark/>
          </w:tcPr>
          <w:p w14:paraId="254F1EA6"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Dec Time[%]</w:t>
            </w:r>
          </w:p>
        </w:tc>
        <w:tc>
          <w:tcPr>
            <w:tcW w:w="1540"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7579C3F"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85%</w:t>
            </w:r>
          </w:p>
        </w:tc>
        <w:tc>
          <w:tcPr>
            <w:tcW w:w="1540"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71203D7"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87%</w:t>
            </w:r>
          </w:p>
        </w:tc>
        <w:tc>
          <w:tcPr>
            <w:tcW w:w="1540"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92A189B" w14:textId="77777777" w:rsidR="00236F48" w:rsidRPr="00236F48" w:rsidRDefault="00236F48" w:rsidP="00236F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36F48">
              <w:rPr>
                <w:rFonts w:ascii="Arial" w:hAnsi="Arial" w:cs="Arial"/>
                <w:color w:val="000000"/>
                <w:sz w:val="18"/>
                <w:szCs w:val="18"/>
                <w:lang w:val="en-AU" w:eastAsia="en-AU"/>
              </w:rPr>
              <w:t>81%</w:t>
            </w:r>
          </w:p>
        </w:tc>
      </w:tr>
    </w:tbl>
    <w:p w14:paraId="32EAF635" w14:textId="384D0F6F" w:rsidR="007F1F8B" w:rsidRDefault="00DB7F68" w:rsidP="00DB7F68">
      <w:pPr>
        <w:pStyle w:val="Heading1"/>
        <w:rPr>
          <w:lang w:val="en-CA"/>
        </w:rPr>
      </w:pPr>
      <w:r>
        <w:rPr>
          <w:lang w:val="en-CA"/>
        </w:rPr>
        <w:t>Conclusion</w:t>
      </w:r>
    </w:p>
    <w:p w14:paraId="1B721636" w14:textId="77777777" w:rsidR="00DB7F68" w:rsidRPr="00582D09" w:rsidRDefault="00DB7F68" w:rsidP="00DB7F68">
      <w:pPr>
        <w:rPr>
          <w:szCs w:val="22"/>
          <w:lang w:val="en-CA"/>
        </w:rPr>
      </w:pPr>
      <w:r>
        <w:rPr>
          <w:szCs w:val="22"/>
          <w:lang w:val="en-CA"/>
        </w:rPr>
        <w:t xml:space="preserve">In the crosschecker’s opinion, the results show that TSRC is useful for lossless coding of highly structured data such as TGM class (and segmentation maps), but is detrimental for camera captured content, </w:t>
      </w:r>
      <w:proofErr w:type="gramStart"/>
      <w:r>
        <w:rPr>
          <w:szCs w:val="22"/>
          <w:lang w:val="en-CA"/>
        </w:rPr>
        <w:t>and also</w:t>
      </w:r>
      <w:proofErr w:type="gramEnd"/>
      <w:r>
        <w:rPr>
          <w:szCs w:val="22"/>
          <w:lang w:val="en-CA"/>
        </w:rPr>
        <w:t xml:space="preserve"> complex screen content (class F).</w:t>
      </w:r>
    </w:p>
    <w:p w14:paraId="7F55D8FB" w14:textId="0BB6EE27" w:rsidR="00DB7F68" w:rsidRPr="00DB7F68" w:rsidRDefault="00DB7F68" w:rsidP="00DB7F68">
      <w:pPr>
        <w:rPr>
          <w:lang w:val="en-CA"/>
        </w:rPr>
      </w:pPr>
      <w:r>
        <w:rPr>
          <w:lang w:val="en-CA"/>
        </w:rPr>
        <w:t>As the decoder allows flexibility in enabling or disabling TSRC for different lossless coding use cases, it is useful to exercise that flexibility in the VTM encoder.</w:t>
      </w:r>
    </w:p>
    <w:sectPr w:rsidR="00DB7F68" w:rsidRPr="00DB7F68"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0841E" w14:textId="77777777" w:rsidR="00EB705F" w:rsidRDefault="00EB705F">
      <w:r>
        <w:separator/>
      </w:r>
    </w:p>
  </w:endnote>
  <w:endnote w:type="continuationSeparator" w:id="0">
    <w:p w14:paraId="350C3241" w14:textId="77777777" w:rsidR="00EB705F" w:rsidRDefault="00EB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D54F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6F48">
      <w:rPr>
        <w:rStyle w:val="PageNumber"/>
        <w:noProof/>
      </w:rPr>
      <w:t>2020-04-22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8471B" w14:textId="77777777" w:rsidR="00EB705F" w:rsidRDefault="00EB705F">
      <w:r>
        <w:separator/>
      </w:r>
    </w:p>
  </w:footnote>
  <w:footnote w:type="continuationSeparator" w:id="0">
    <w:p w14:paraId="1B2C5E9E" w14:textId="77777777" w:rsidR="00EB705F" w:rsidRDefault="00EB7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9150D"/>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F48"/>
    <w:rsid w:val="002375C1"/>
    <w:rsid w:val="00247E1E"/>
    <w:rsid w:val="00253D5F"/>
    <w:rsid w:val="00263398"/>
    <w:rsid w:val="00263B99"/>
    <w:rsid w:val="002647D8"/>
    <w:rsid w:val="00266F06"/>
    <w:rsid w:val="00275BCF"/>
    <w:rsid w:val="00280613"/>
    <w:rsid w:val="00291E36"/>
    <w:rsid w:val="00292257"/>
    <w:rsid w:val="00293B7C"/>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3790"/>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42274"/>
    <w:rsid w:val="00550A66"/>
    <w:rsid w:val="00567EC7"/>
    <w:rsid w:val="00570013"/>
    <w:rsid w:val="005753EC"/>
    <w:rsid w:val="005801A2"/>
    <w:rsid w:val="00582D09"/>
    <w:rsid w:val="005952A5"/>
    <w:rsid w:val="005A33A1"/>
    <w:rsid w:val="005B217D"/>
    <w:rsid w:val="005B3845"/>
    <w:rsid w:val="005C385F"/>
    <w:rsid w:val="005C7C26"/>
    <w:rsid w:val="005D5A9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1175"/>
    <w:rsid w:val="00736DDD"/>
    <w:rsid w:val="0074393F"/>
    <w:rsid w:val="00745F6B"/>
    <w:rsid w:val="0075175B"/>
    <w:rsid w:val="0075585E"/>
    <w:rsid w:val="00770571"/>
    <w:rsid w:val="007768FF"/>
    <w:rsid w:val="007824D3"/>
    <w:rsid w:val="00786750"/>
    <w:rsid w:val="00796EE3"/>
    <w:rsid w:val="007A7D29"/>
    <w:rsid w:val="007B4AB8"/>
    <w:rsid w:val="007D1181"/>
    <w:rsid w:val="007D52B7"/>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33A3"/>
    <w:rsid w:val="009E448E"/>
    <w:rsid w:val="009F496B"/>
    <w:rsid w:val="00A01439"/>
    <w:rsid w:val="00A02E61"/>
    <w:rsid w:val="00A05CFF"/>
    <w:rsid w:val="00A13048"/>
    <w:rsid w:val="00A13BA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002B"/>
    <w:rsid w:val="00D51BF0"/>
    <w:rsid w:val="00D531DB"/>
    <w:rsid w:val="00D55942"/>
    <w:rsid w:val="00D807BF"/>
    <w:rsid w:val="00D82FCC"/>
    <w:rsid w:val="00DA17FC"/>
    <w:rsid w:val="00DA7887"/>
    <w:rsid w:val="00DB2C26"/>
    <w:rsid w:val="00DB7F68"/>
    <w:rsid w:val="00DD02F4"/>
    <w:rsid w:val="00DD6622"/>
    <w:rsid w:val="00DE1C7C"/>
    <w:rsid w:val="00DE6B43"/>
    <w:rsid w:val="00E10E41"/>
    <w:rsid w:val="00E11923"/>
    <w:rsid w:val="00E262D4"/>
    <w:rsid w:val="00E36250"/>
    <w:rsid w:val="00E47F2D"/>
    <w:rsid w:val="00E54511"/>
    <w:rsid w:val="00E60EDC"/>
    <w:rsid w:val="00E61DAC"/>
    <w:rsid w:val="00E72B80"/>
    <w:rsid w:val="00E75FE3"/>
    <w:rsid w:val="00E86C4C"/>
    <w:rsid w:val="00E907A3"/>
    <w:rsid w:val="00EA5AE0"/>
    <w:rsid w:val="00EB56E1"/>
    <w:rsid w:val="00EB705F"/>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31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 (Canon)</cp:lastModifiedBy>
  <cp:revision>10</cp:revision>
  <cp:lastPrinted>1900-01-01T08:00:00Z</cp:lastPrinted>
  <dcterms:created xsi:type="dcterms:W3CDTF">2020-01-29T21:34:00Z</dcterms:created>
  <dcterms:modified xsi:type="dcterms:W3CDTF">2020-04-23T06:48:00Z</dcterms:modified>
</cp:coreProperties>
</file>