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F4B1FF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</w:t>
            </w:r>
            <w:r w:rsidR="00272D59">
              <w:rPr>
                <w:lang w:val="en-CA"/>
              </w:rPr>
              <w:t>412-v1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2418F2" w:rsidR="00E61DAC" w:rsidRPr="0079245B" w:rsidRDefault="006177BD" w:rsidP="5CD60F9A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AHG11: </w:t>
            </w:r>
            <w:r w:rsidR="73544C32" w:rsidRPr="47834D84">
              <w:rPr>
                <w:b/>
                <w:bCs/>
                <w:lang w:val="en-CA"/>
              </w:rPr>
              <w:t xml:space="preserve">On </w:t>
            </w:r>
            <w:r w:rsidR="73544C32" w:rsidRPr="47834D84">
              <w:rPr>
                <w:b/>
                <w:bCs/>
              </w:rPr>
              <w:t>maximum palette size and</w:t>
            </w:r>
            <w:r w:rsidR="00B630A2">
              <w:rPr>
                <w:b/>
                <w:bCs/>
              </w:rPr>
              <w:t xml:space="preserve"> </w:t>
            </w:r>
            <w:r w:rsidR="73544C32" w:rsidRPr="47834D84">
              <w:rPr>
                <w:b/>
                <w:bCs/>
              </w:rPr>
              <w:t xml:space="preserve">palette predictor size </w:t>
            </w:r>
            <w:r w:rsidR="00FD161C">
              <w:rPr>
                <w:b/>
                <w:bCs/>
              </w:rPr>
              <w:t>under local dual tree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63C397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</w:t>
            </w:r>
            <w:r w:rsidR="00FD161C">
              <w:t xml:space="preserve"> </w:t>
            </w:r>
            <w:r>
              <w:t>Wei-Jung Chien,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25F172" w14:textId="507D7A0E" w:rsidR="00560690" w:rsidRPr="00BE3536" w:rsidRDefault="00560690" w:rsidP="00453E25">
      <w:pPr>
        <w:rPr>
          <w:lang w:val="en-CA"/>
        </w:rPr>
      </w:pPr>
      <w:r w:rsidRPr="26C1B87E">
        <w:rPr>
          <w:lang w:val="en-CA"/>
        </w:rPr>
        <w:t>In this contribution, it is proposed to reduce maximum palette and palette predictor size</w:t>
      </w:r>
      <w:r w:rsidR="00453E25">
        <w:rPr>
          <w:lang w:val="en-CA"/>
        </w:rPr>
        <w:t xml:space="preserve"> under local dual tree, to be unified with the design in dual tree slices and to reduce the pipeline latency.  </w:t>
      </w:r>
      <w:r w:rsidRPr="26C1B87E">
        <w:rPr>
          <w:lang w:val="en-CA"/>
        </w:rPr>
        <w:t xml:space="preserve"> </w:t>
      </w:r>
    </w:p>
    <w:p w14:paraId="3E9A3608" w14:textId="33FE3892" w:rsidR="00E15B9F" w:rsidRDefault="004034F7" w:rsidP="00560690">
      <w:pPr>
        <w:rPr>
          <w:lang w:val="en-CA"/>
        </w:rPr>
      </w:pPr>
      <w:r>
        <w:rPr>
          <w:lang w:val="en-CA"/>
        </w:rPr>
        <w:t xml:space="preserve">The results </w:t>
      </w:r>
      <w:r w:rsidR="002C2BBD">
        <w:rPr>
          <w:lang w:val="en-CA"/>
        </w:rPr>
        <w:t xml:space="preserve">show very minor impact </w:t>
      </w:r>
      <w:r w:rsidR="00B37474">
        <w:rPr>
          <w:lang w:val="en-CA"/>
        </w:rPr>
        <w:t>in terms of</w:t>
      </w:r>
      <w:r w:rsidR="002C2BBD">
        <w:rPr>
          <w:lang w:val="en-CA"/>
        </w:rPr>
        <w:t xml:space="preserve"> coding efficiency </w:t>
      </w:r>
      <w:r w:rsidR="00B37474">
        <w:rPr>
          <w:lang w:val="en-CA"/>
        </w:rPr>
        <w:t>on top of the palette mode in VVC draft 8:</w:t>
      </w:r>
    </w:p>
    <w:p w14:paraId="04A1855E" w14:textId="6FDC1D11" w:rsidR="00E15B9F" w:rsidRPr="008923D9" w:rsidRDefault="00E15B9F" w:rsidP="00E15B9F">
      <w:pPr>
        <w:pStyle w:val="ListParagraph"/>
        <w:rPr>
          <w:lang w:val="en-CA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</w:t>
      </w:r>
      <w:r w:rsidR="00B37474">
        <w:rPr>
          <w:color w:val="000000"/>
          <w:szCs w:val="22"/>
          <w:lang w:eastAsia="zh-TW"/>
        </w:rPr>
        <w:t>00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</w:t>
      </w:r>
      <w:r w:rsidR="00B37474">
        <w:rPr>
          <w:color w:val="000000"/>
          <w:szCs w:val="22"/>
          <w:lang w:eastAsia="zh-TW"/>
        </w:rPr>
        <w:t>00</w:t>
      </w:r>
      <w:r>
        <w:rPr>
          <w:color w:val="000000"/>
          <w:szCs w:val="22"/>
          <w:lang w:eastAsia="zh-TW"/>
        </w:rPr>
        <w:t xml:space="preserve">% RA and </w:t>
      </w:r>
      <w:r w:rsidR="00B37474" w:rsidRPr="00B37474">
        <w:rPr>
          <w:color w:val="000000"/>
          <w:szCs w:val="22"/>
          <w:highlight w:val="yellow"/>
          <w:lang w:eastAsia="zh-TW"/>
        </w:rPr>
        <w:t>x.xx</w:t>
      </w:r>
      <w:r>
        <w:rPr>
          <w:color w:val="000000"/>
          <w:szCs w:val="22"/>
          <w:lang w:eastAsia="zh-TW"/>
        </w:rPr>
        <w:t>% LDB</w:t>
      </w:r>
      <w:bookmarkStart w:id="0" w:name="_GoBack"/>
      <w:bookmarkEnd w:id="0"/>
    </w:p>
    <w:p w14:paraId="6EF8F755" w14:textId="394FBAC3" w:rsidR="0047061F" w:rsidRPr="002C2BBD" w:rsidRDefault="00E15B9F" w:rsidP="002C2BBD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</w:t>
      </w:r>
      <w:r w:rsidR="00B37474">
        <w:rPr>
          <w:color w:val="000000"/>
          <w:szCs w:val="22"/>
          <w:lang w:eastAsia="zh-TW"/>
        </w:rPr>
        <w:t>00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</w:t>
      </w:r>
      <w:r w:rsidR="00B37474">
        <w:rPr>
          <w:color w:val="000000"/>
          <w:szCs w:val="22"/>
          <w:lang w:eastAsia="zh-TW"/>
        </w:rPr>
        <w:t>00</w:t>
      </w:r>
      <w:r>
        <w:rPr>
          <w:color w:val="000000"/>
          <w:szCs w:val="22"/>
          <w:lang w:eastAsia="zh-TW"/>
        </w:rPr>
        <w:t xml:space="preserve">% RA, and </w:t>
      </w:r>
      <w:r w:rsidR="00B37474" w:rsidRPr="00B37474">
        <w:rPr>
          <w:color w:val="000000"/>
          <w:szCs w:val="22"/>
          <w:highlight w:val="yellow"/>
          <w:lang w:eastAsia="zh-TW"/>
        </w:rPr>
        <w:t>x.xx</w:t>
      </w:r>
      <w:r>
        <w:rPr>
          <w:color w:val="000000"/>
          <w:szCs w:val="22"/>
          <w:lang w:eastAsia="zh-TW"/>
        </w:rPr>
        <w:t>% LDB</w:t>
      </w:r>
    </w:p>
    <w:p w14:paraId="7D2AC1F0" w14:textId="523CEC7F" w:rsidR="00745F6B" w:rsidRPr="005B217D" w:rsidRDefault="00453E2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78EF611" w14:textId="7E1DA268" w:rsidR="00FD161C" w:rsidRDefault="00453E25" w:rsidP="00453E25">
      <w:pPr>
        <w:rPr>
          <w:lang w:val="en-CA"/>
        </w:rPr>
      </w:pPr>
      <w:r>
        <w:rPr>
          <w:lang w:val="en-CA"/>
        </w:rPr>
        <w:t>In VVC draft 8, the palette size and palette predictor size</w:t>
      </w:r>
      <w:r w:rsidR="00051135">
        <w:rPr>
          <w:lang w:val="en-CA"/>
        </w:rPr>
        <w:t xml:space="preserve"> in dual tree slices</w:t>
      </w:r>
      <w:r>
        <w:rPr>
          <w:lang w:val="en-CA"/>
        </w:rPr>
        <w:t xml:space="preserve"> are reducd </w:t>
      </w:r>
      <w:r w:rsidR="00051135">
        <w:rPr>
          <w:lang w:val="en-CA"/>
        </w:rPr>
        <w:t>to</w:t>
      </w:r>
      <w:r>
        <w:rPr>
          <w:lang w:val="en-CA"/>
        </w:rPr>
        <w:t xml:space="preserve"> half </w:t>
      </w:r>
      <w:r w:rsidR="00051135">
        <w:rPr>
          <w:lang w:val="en-CA"/>
        </w:rPr>
        <w:t>the sizes</w:t>
      </w:r>
      <w:r>
        <w:rPr>
          <w:lang w:val="en-CA"/>
        </w:rPr>
        <w:t xml:space="preserve"> </w:t>
      </w:r>
      <w:r w:rsidR="00D8286A">
        <w:rPr>
          <w:lang w:val="en-CA"/>
        </w:rPr>
        <w:t xml:space="preserve">in the </w:t>
      </w:r>
      <w:r>
        <w:rPr>
          <w:lang w:val="en-CA"/>
        </w:rPr>
        <w:t>single tree</w:t>
      </w:r>
      <w:r w:rsidR="00D8286A">
        <w:rPr>
          <w:lang w:val="en-CA"/>
        </w:rPr>
        <w:t>s</w:t>
      </w:r>
      <w:r>
        <w:rPr>
          <w:lang w:val="en-CA"/>
        </w:rPr>
        <w:t xml:space="preserve"> slice</w:t>
      </w:r>
      <w:r w:rsidR="00ED1A90">
        <w:rPr>
          <w:lang w:val="en-CA"/>
        </w:rPr>
        <w:t xml:space="preserve"> [1]</w:t>
      </w:r>
      <w:r>
        <w:rPr>
          <w:lang w:val="en-CA"/>
        </w:rPr>
        <w:t xml:space="preserve"> </w:t>
      </w:r>
      <w:r w:rsidR="00D8286A">
        <w:rPr>
          <w:lang w:val="en-CA"/>
        </w:rPr>
        <w:t>due to the fact that</w:t>
      </w:r>
      <w:r>
        <w:rPr>
          <w:lang w:val="en-CA"/>
        </w:rPr>
        <w:t xml:space="preserve"> </w:t>
      </w:r>
      <w:r w:rsidRPr="00672C63">
        <w:t xml:space="preserve">the complexity of the palette generation and predictor update </w:t>
      </w:r>
      <w:r w:rsidR="00051135">
        <w:t>in</w:t>
      </w:r>
      <w:r w:rsidRPr="00672C63">
        <w:t xml:space="preserve"> separate tree is roughly double</w:t>
      </w:r>
      <w:r>
        <w:t xml:space="preserve">d </w:t>
      </w:r>
      <w:r w:rsidR="00FD161C">
        <w:t xml:space="preserve">from the case of single tree. </w:t>
      </w:r>
      <w:r>
        <w:rPr>
          <w:lang w:val="en-CA"/>
        </w:rPr>
        <w:t xml:space="preserve">However, such change </w:t>
      </w:r>
      <w:r w:rsidR="00051135">
        <w:rPr>
          <w:lang w:val="en-CA"/>
        </w:rPr>
        <w:t>was</w:t>
      </w:r>
      <w:r>
        <w:rPr>
          <w:lang w:val="en-CA"/>
        </w:rPr>
        <w:t xml:space="preserve"> not applied </w:t>
      </w:r>
      <w:r w:rsidR="00051135">
        <w:rPr>
          <w:lang w:val="en-CA"/>
        </w:rPr>
        <w:t>in</w:t>
      </w:r>
      <w:r>
        <w:rPr>
          <w:lang w:val="en-CA"/>
        </w:rPr>
        <w:t xml:space="preserve"> </w:t>
      </w:r>
      <w:r w:rsidR="00051135">
        <w:rPr>
          <w:lang w:val="en-CA"/>
        </w:rPr>
        <w:t xml:space="preserve">the </w:t>
      </w:r>
      <w:r>
        <w:rPr>
          <w:lang w:val="en-CA"/>
        </w:rPr>
        <w:t xml:space="preserve">local dual tree, where </w:t>
      </w:r>
      <w:r w:rsidR="00FD161C">
        <w:rPr>
          <w:lang w:val="en-CA"/>
        </w:rPr>
        <w:t xml:space="preserve">luma and chroma palette are </w:t>
      </w:r>
      <w:r w:rsidR="00D8286A">
        <w:rPr>
          <w:lang w:val="en-CA"/>
        </w:rPr>
        <w:t xml:space="preserve">also </w:t>
      </w:r>
      <w:r w:rsidR="00FD161C">
        <w:rPr>
          <w:lang w:val="en-CA"/>
        </w:rPr>
        <w:t xml:space="preserve">generated separately and the palette predictor is updated </w:t>
      </w:r>
      <w:r w:rsidR="00051135">
        <w:rPr>
          <w:lang w:val="en-CA"/>
        </w:rPr>
        <w:t>in both</w:t>
      </w:r>
      <w:r w:rsidR="00FD161C">
        <w:rPr>
          <w:lang w:val="en-CA"/>
        </w:rPr>
        <w:t xml:space="preserve"> luma and chroma local dual tree</w:t>
      </w:r>
      <w:r w:rsidR="00051135">
        <w:rPr>
          <w:lang w:val="en-CA"/>
        </w:rPr>
        <w:t>, making palette mode under local dual tree the worst case in terms of pipeline latency among palette coded blocks.</w:t>
      </w:r>
    </w:p>
    <w:p w14:paraId="621AFF58" w14:textId="1E7E202F" w:rsidR="00CD45C9" w:rsidRDefault="00FD161C" w:rsidP="00522373">
      <w:pPr>
        <w:rPr>
          <w:lang w:val="en-CA"/>
        </w:rPr>
      </w:pPr>
      <w:r>
        <w:rPr>
          <w:lang w:val="en-CA"/>
        </w:rPr>
        <w:t>In this contribution, we propose to reduce the palette size to 15 and palette predictor size to 31</w:t>
      </w:r>
      <w:r w:rsidR="00E91D96">
        <w:rPr>
          <w:lang w:val="en-CA"/>
        </w:rPr>
        <w:t xml:space="preserve"> (same size as in dual tree slices)</w:t>
      </w:r>
      <w:r>
        <w:rPr>
          <w:lang w:val="en-CA"/>
        </w:rPr>
        <w:t xml:space="preserve"> under local dual tree, to address the complexity issue identified in last meeting.</w:t>
      </w:r>
    </w:p>
    <w:p w14:paraId="79CABA38" w14:textId="2F90D3D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B09D06" w14:textId="354AE085" w:rsidR="00C90538" w:rsidRDefault="00C90538" w:rsidP="00C90538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The proposed method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s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evaluated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for YUV420 sequences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according to the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SDR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common test condition [</w:t>
      </w:r>
      <w:r w:rsidR="00ED1A90">
        <w:rPr>
          <w:b w:val="0"/>
          <w:bCs w:val="0"/>
          <w:i w:val="0"/>
          <w:iCs w:val="0"/>
          <w:sz w:val="22"/>
          <w:szCs w:val="22"/>
          <w:lang w:val="en-CA"/>
        </w:rPr>
        <w:t>2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] for the intra-only (AI), random-access (RA) and low delay B slice (LB) configurations.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Besides YUV420</w:t>
      </w:r>
      <w:r w:rsidR="00ED1A90">
        <w:rPr>
          <w:b w:val="0"/>
          <w:bCs w:val="0"/>
          <w:i w:val="0"/>
          <w:iCs w:val="0"/>
          <w:sz w:val="22"/>
          <w:szCs w:val="22"/>
          <w:lang w:val="en-CA"/>
        </w:rPr>
        <w:t>.</w:t>
      </w:r>
    </w:p>
    <w:p w14:paraId="56AF700A" w14:textId="77777777" w:rsidR="00ED1A90" w:rsidRPr="00ED1A90" w:rsidRDefault="00ED1A90" w:rsidP="00ED1A90">
      <w:pPr>
        <w:rPr>
          <w:lang w:val="en-CA"/>
        </w:rPr>
      </w:pPr>
    </w:p>
    <w:tbl>
      <w:tblPr>
        <w:tblW w:w="9281" w:type="dxa"/>
        <w:tblLook w:val="04A0" w:firstRow="1" w:lastRow="0" w:firstColumn="1" w:lastColumn="0" w:noHBand="0" w:noVBand="1"/>
      </w:tblPr>
      <w:tblGrid>
        <w:gridCol w:w="1280"/>
        <w:gridCol w:w="894"/>
        <w:gridCol w:w="894"/>
        <w:gridCol w:w="894"/>
        <w:gridCol w:w="730"/>
        <w:gridCol w:w="686"/>
        <w:gridCol w:w="804"/>
        <w:gridCol w:w="804"/>
        <w:gridCol w:w="894"/>
        <w:gridCol w:w="671"/>
        <w:gridCol w:w="730"/>
      </w:tblGrid>
      <w:tr w:rsidR="00ED1A90" w:rsidRPr="00ED1A90" w14:paraId="38B615D9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AC4B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6AE35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ED1A90" w:rsidRPr="00ED1A90" w14:paraId="4264E481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0391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2B46E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39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0C93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with PLT=1</w:t>
            </w:r>
          </w:p>
        </w:tc>
      </w:tr>
      <w:tr w:rsidR="00ED1A90" w:rsidRPr="00ED1A90" w14:paraId="2E189D4E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FD4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88E5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AC813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5A97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23CF3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3E47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6D0FB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06F3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62F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14B1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BE85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D1A90" w:rsidRPr="00ED1A90" w14:paraId="1DDDE6D5" w14:textId="77777777" w:rsidTr="00ED1A90">
        <w:trPr>
          <w:trHeight w:val="255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7A87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4192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43E2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C44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0530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6DAC6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E40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0A5F5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7CA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AB611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6D03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D1A90" w:rsidRPr="00ED1A90" w14:paraId="24D8399D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2B94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ADC16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sz w:val="18"/>
                <w:szCs w:val="18"/>
                <w:lang w:eastAsia="zh-TW"/>
              </w:rPr>
              <w:t>-6.50%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26BA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sz w:val="18"/>
                <w:szCs w:val="18"/>
                <w:lang w:eastAsia="zh-TW"/>
              </w:rPr>
              <w:t>-5.18%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49E06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3BD39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DE57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9701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F4A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7F98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AF87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A88E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D1A90" w:rsidRPr="00ED1A90" w14:paraId="55BFAFE3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F06A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3D21" w14:textId="77777777" w:rsid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  <w:p w14:paraId="7C6005FE" w14:textId="77777777" w:rsid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  <w:p w14:paraId="5917E082" w14:textId="77777777" w:rsid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  <w:p w14:paraId="79B89A3F" w14:textId="77777777" w:rsid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  <w:p w14:paraId="0641B652" w14:textId="77777777" w:rsid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  <w:p w14:paraId="6EE1C4B5" w14:textId="3A025348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486A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03AA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85F3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720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2E19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3298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F64B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6580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B990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ED1A90" w:rsidRPr="00ED1A90" w14:paraId="383425D5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8ADB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AC2E8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D1A90" w:rsidRPr="00ED1A90" w14:paraId="30EA6D89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3744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1234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39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44150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with PLT=1</w:t>
            </w:r>
          </w:p>
        </w:tc>
      </w:tr>
      <w:tr w:rsidR="00ED1A90" w:rsidRPr="00ED1A90" w14:paraId="174B47EF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E196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EF8A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C55E1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5CE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4AED0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3CA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8DE4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F43E3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300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8C0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08C6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D1A90" w:rsidRPr="00ED1A90" w14:paraId="042A00BE" w14:textId="77777777" w:rsidTr="00ED1A90">
        <w:trPr>
          <w:trHeight w:val="255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518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4AC5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120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562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944C8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824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38F0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BFD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44878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EC80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9BA3A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D1A90" w:rsidRPr="00ED1A90" w14:paraId="15989A0C" w14:textId="77777777" w:rsidTr="00ED1A90">
        <w:trPr>
          <w:trHeight w:val="255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18F1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A8BDE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07E9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552E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-2.48%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8FE4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F0ED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786F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06FB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777B1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9718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4CBC" w14:textId="77777777" w:rsidR="00ED1A90" w:rsidRPr="00ED1A90" w:rsidRDefault="00ED1A90" w:rsidP="00ED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D1A9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10D6D963" w14:textId="77777777" w:rsidR="00ED1A90" w:rsidRPr="00ED1A90" w:rsidRDefault="00ED1A90" w:rsidP="00ED1A90">
      <w:pPr>
        <w:rPr>
          <w:lang w:val="en-CA"/>
        </w:rPr>
      </w:pPr>
    </w:p>
    <w:p w14:paraId="31A77C78" w14:textId="77777777" w:rsidR="00145473" w:rsidRPr="00145473" w:rsidRDefault="000A0F65" w:rsidP="0014547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0267F9" w14:textId="569A3AB1" w:rsidR="00ED1A90" w:rsidRPr="00ED1A90" w:rsidRDefault="00ED1A90" w:rsidP="00ED1A90">
      <w:pPr>
        <w:pStyle w:val="ListParagraph"/>
        <w:numPr>
          <w:ilvl w:val="0"/>
          <w:numId w:val="17"/>
        </w:numPr>
        <w:rPr>
          <w:lang w:val="en-CA"/>
        </w:rPr>
      </w:pPr>
      <w:r w:rsidRPr="00145473">
        <w:rPr>
          <w:lang w:val="en-CA"/>
        </w:rPr>
        <w:t>M. G. Sarwer, Y. Ye, J. Luo, R. -L. Liao, “CE2-related: On maximum palette size of VVC”, JVET-Q0291.</w:t>
      </w:r>
    </w:p>
    <w:p w14:paraId="253AA90A" w14:textId="3D145CCF" w:rsidR="00F13A87" w:rsidRPr="00ED1A90" w:rsidRDefault="000A0F65" w:rsidP="009234A5">
      <w:pPr>
        <w:pStyle w:val="ListParagraph"/>
        <w:numPr>
          <w:ilvl w:val="0"/>
          <w:numId w:val="17"/>
        </w:numPr>
        <w:rPr>
          <w:lang w:val="en-CA"/>
        </w:rPr>
      </w:pPr>
      <w:r w:rsidRPr="00145473">
        <w:rPr>
          <w:lang w:val="en-CA"/>
        </w:rPr>
        <w:t>F. Bossen, J. Boyce, X. Li, V. Seregin, K. Sühring, “JVET common test conditions and software reference configurations for SDR video”, JVET-N1010</w:t>
      </w: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8E177" w14:textId="77777777" w:rsidR="00BC41B3" w:rsidRDefault="00BC41B3">
      <w:r>
        <w:separator/>
      </w:r>
    </w:p>
  </w:endnote>
  <w:endnote w:type="continuationSeparator" w:id="0">
    <w:p w14:paraId="03E74F37" w14:textId="77777777" w:rsidR="00BC41B3" w:rsidRDefault="00BC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2DFBACB" w:rsidR="00453E25" w:rsidRPr="00C00DDE" w:rsidRDefault="00453E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1A90">
      <w:rPr>
        <w:rStyle w:val="PageNumber"/>
        <w:noProof/>
      </w:rPr>
      <w:t>2020-04-10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A7D2E" w14:textId="77777777" w:rsidR="00BC41B3" w:rsidRDefault="00BC41B3">
      <w:r>
        <w:separator/>
      </w:r>
    </w:p>
  </w:footnote>
  <w:footnote w:type="continuationSeparator" w:id="0">
    <w:p w14:paraId="4A60A175" w14:textId="77777777" w:rsidR="00BC41B3" w:rsidRDefault="00BC4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049A1"/>
    <w:multiLevelType w:val="hybridMultilevel"/>
    <w:tmpl w:val="CBC4B6DE"/>
    <w:lvl w:ilvl="0" w:tplc="CBCE2C48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14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51135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FF9"/>
    <w:rsid w:val="000C09AC"/>
    <w:rsid w:val="000C2BAA"/>
    <w:rsid w:val="000E00F3"/>
    <w:rsid w:val="000F158C"/>
    <w:rsid w:val="00102F3D"/>
    <w:rsid w:val="0010528F"/>
    <w:rsid w:val="00124E38"/>
    <w:rsid w:val="0012580B"/>
    <w:rsid w:val="00131F90"/>
    <w:rsid w:val="0013458C"/>
    <w:rsid w:val="0013526E"/>
    <w:rsid w:val="00145473"/>
    <w:rsid w:val="00146152"/>
    <w:rsid w:val="00155526"/>
    <w:rsid w:val="00161ED4"/>
    <w:rsid w:val="00171371"/>
    <w:rsid w:val="00175A24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2594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D59"/>
    <w:rsid w:val="00275BCF"/>
    <w:rsid w:val="00280613"/>
    <w:rsid w:val="00291E36"/>
    <w:rsid w:val="00292257"/>
    <w:rsid w:val="002A54E0"/>
    <w:rsid w:val="002B1595"/>
    <w:rsid w:val="002B191D"/>
    <w:rsid w:val="002B2E83"/>
    <w:rsid w:val="002C2BBD"/>
    <w:rsid w:val="002D0AF6"/>
    <w:rsid w:val="002F164D"/>
    <w:rsid w:val="003021BC"/>
    <w:rsid w:val="00306206"/>
    <w:rsid w:val="00307042"/>
    <w:rsid w:val="00317D85"/>
    <w:rsid w:val="00325566"/>
    <w:rsid w:val="00327C56"/>
    <w:rsid w:val="003315A1"/>
    <w:rsid w:val="0033407B"/>
    <w:rsid w:val="003373EC"/>
    <w:rsid w:val="003400C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C0C"/>
    <w:rsid w:val="003F5D0F"/>
    <w:rsid w:val="004034F7"/>
    <w:rsid w:val="00414101"/>
    <w:rsid w:val="004219CF"/>
    <w:rsid w:val="004234F0"/>
    <w:rsid w:val="00433DDB"/>
    <w:rsid w:val="00435A29"/>
    <w:rsid w:val="00437619"/>
    <w:rsid w:val="00453E25"/>
    <w:rsid w:val="00465A1E"/>
    <w:rsid w:val="0047061F"/>
    <w:rsid w:val="0049445A"/>
    <w:rsid w:val="004979B8"/>
    <w:rsid w:val="004A2A63"/>
    <w:rsid w:val="004A407D"/>
    <w:rsid w:val="004B1291"/>
    <w:rsid w:val="004B210C"/>
    <w:rsid w:val="004B6170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2373"/>
    <w:rsid w:val="005262DD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417"/>
    <w:rsid w:val="005E1AC6"/>
    <w:rsid w:val="005E3F2B"/>
    <w:rsid w:val="005F6F1B"/>
    <w:rsid w:val="00615995"/>
    <w:rsid w:val="00616155"/>
    <w:rsid w:val="006177BD"/>
    <w:rsid w:val="00624B33"/>
    <w:rsid w:val="0063041A"/>
    <w:rsid w:val="00630AA2"/>
    <w:rsid w:val="00631D8B"/>
    <w:rsid w:val="00636126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4393F"/>
    <w:rsid w:val="007454C6"/>
    <w:rsid w:val="00745F6B"/>
    <w:rsid w:val="0075175B"/>
    <w:rsid w:val="007552AA"/>
    <w:rsid w:val="0075585E"/>
    <w:rsid w:val="00770571"/>
    <w:rsid w:val="007768FF"/>
    <w:rsid w:val="007824D3"/>
    <w:rsid w:val="0079245B"/>
    <w:rsid w:val="00796EE3"/>
    <w:rsid w:val="007A7D29"/>
    <w:rsid w:val="007B4AB8"/>
    <w:rsid w:val="007D1181"/>
    <w:rsid w:val="007E01A3"/>
    <w:rsid w:val="007E064F"/>
    <w:rsid w:val="007F1F8B"/>
    <w:rsid w:val="007F6205"/>
    <w:rsid w:val="007F67A1"/>
    <w:rsid w:val="00802803"/>
    <w:rsid w:val="00811C05"/>
    <w:rsid w:val="008206C8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4330"/>
    <w:rsid w:val="00955F6D"/>
    <w:rsid w:val="009664B5"/>
    <w:rsid w:val="00977C16"/>
    <w:rsid w:val="009801A3"/>
    <w:rsid w:val="0098551D"/>
    <w:rsid w:val="00985DCB"/>
    <w:rsid w:val="0099518F"/>
    <w:rsid w:val="009A523D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3F22"/>
    <w:rsid w:val="00A56B97"/>
    <w:rsid w:val="00A6093D"/>
    <w:rsid w:val="00A72017"/>
    <w:rsid w:val="00A767DC"/>
    <w:rsid w:val="00A76A6D"/>
    <w:rsid w:val="00A76ED0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7474"/>
    <w:rsid w:val="00B4194A"/>
    <w:rsid w:val="00B437E8"/>
    <w:rsid w:val="00B5222E"/>
    <w:rsid w:val="00B53179"/>
    <w:rsid w:val="00B57A23"/>
    <w:rsid w:val="00B600CD"/>
    <w:rsid w:val="00B61C96"/>
    <w:rsid w:val="00B630A2"/>
    <w:rsid w:val="00B73A2A"/>
    <w:rsid w:val="00B75A51"/>
    <w:rsid w:val="00B827C6"/>
    <w:rsid w:val="00B94B06"/>
    <w:rsid w:val="00B94C28"/>
    <w:rsid w:val="00BC10BA"/>
    <w:rsid w:val="00BC41B3"/>
    <w:rsid w:val="00BC5AFD"/>
    <w:rsid w:val="00BE3536"/>
    <w:rsid w:val="00BF377E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D45C9"/>
    <w:rsid w:val="00CE5E02"/>
    <w:rsid w:val="00CF34DB"/>
    <w:rsid w:val="00CF3917"/>
    <w:rsid w:val="00CF558F"/>
    <w:rsid w:val="00D010C0"/>
    <w:rsid w:val="00D073E2"/>
    <w:rsid w:val="00D1555A"/>
    <w:rsid w:val="00D40D88"/>
    <w:rsid w:val="00D446EC"/>
    <w:rsid w:val="00D51BF0"/>
    <w:rsid w:val="00D531DB"/>
    <w:rsid w:val="00D55942"/>
    <w:rsid w:val="00D807BF"/>
    <w:rsid w:val="00D8286A"/>
    <w:rsid w:val="00D82FCC"/>
    <w:rsid w:val="00DA17FC"/>
    <w:rsid w:val="00DA6626"/>
    <w:rsid w:val="00DA7887"/>
    <w:rsid w:val="00DB2C26"/>
    <w:rsid w:val="00DC5155"/>
    <w:rsid w:val="00DD02F4"/>
    <w:rsid w:val="00DD6622"/>
    <w:rsid w:val="00DE1C7C"/>
    <w:rsid w:val="00DE6B43"/>
    <w:rsid w:val="00E11923"/>
    <w:rsid w:val="00E130EE"/>
    <w:rsid w:val="00E15B9F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6C4C"/>
    <w:rsid w:val="00E907A3"/>
    <w:rsid w:val="00E91D96"/>
    <w:rsid w:val="00EA3B5B"/>
    <w:rsid w:val="00EA5AE0"/>
    <w:rsid w:val="00EA697B"/>
    <w:rsid w:val="00EA6F63"/>
    <w:rsid w:val="00EB56E1"/>
    <w:rsid w:val="00EB7AB1"/>
    <w:rsid w:val="00EC32BD"/>
    <w:rsid w:val="00ED1A90"/>
    <w:rsid w:val="00EE7CD8"/>
    <w:rsid w:val="00EF37F6"/>
    <w:rsid w:val="00EF48CC"/>
    <w:rsid w:val="00F00801"/>
    <w:rsid w:val="00F13A87"/>
    <w:rsid w:val="00F14ED8"/>
    <w:rsid w:val="00F237C0"/>
    <w:rsid w:val="00F2488D"/>
    <w:rsid w:val="00F36F97"/>
    <w:rsid w:val="00F41846"/>
    <w:rsid w:val="00F601A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D161C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18</cp:revision>
  <cp:lastPrinted>1900-01-01T08:00:00Z</cp:lastPrinted>
  <dcterms:created xsi:type="dcterms:W3CDTF">2020-04-08T23:04:00Z</dcterms:created>
  <dcterms:modified xsi:type="dcterms:W3CDTF">2020-04-12T02:53:00Z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