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CD73C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47F8AEF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54726A">
              <w:rPr>
                <w:lang w:val="en-CA"/>
              </w:rPr>
              <w:t>0127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A5E0B49" w:rsidR="00E61DAC" w:rsidRPr="005B217D" w:rsidRDefault="00C8645B" w:rsidP="009D7CE6">
            <w:pPr>
              <w:spacing w:before="60" w:after="60"/>
              <w:rPr>
                <w:b/>
                <w:szCs w:val="22"/>
                <w:lang w:val="en-CA"/>
              </w:rPr>
            </w:pPr>
            <w:r>
              <w:rPr>
                <w:b/>
                <w:szCs w:val="22"/>
                <w:lang w:val="en-CA"/>
              </w:rPr>
              <w:t>AHG</w:t>
            </w:r>
            <w:r w:rsidR="0054726A">
              <w:rPr>
                <w:b/>
                <w:szCs w:val="22"/>
                <w:lang w:val="en-CA"/>
              </w:rPr>
              <w:t>15</w:t>
            </w:r>
            <w:r>
              <w:rPr>
                <w:b/>
                <w:szCs w:val="22"/>
                <w:lang w:val="en-CA"/>
              </w:rPr>
              <w:t xml:space="preserve">: </w:t>
            </w:r>
            <w:r w:rsidR="00A93E23">
              <w:rPr>
                <w:b/>
                <w:szCs w:val="22"/>
                <w:lang w:val="en-CA"/>
              </w:rPr>
              <w:t>On s</w:t>
            </w:r>
            <w:r w:rsidR="004B5972">
              <w:rPr>
                <w:b/>
                <w:szCs w:val="22"/>
                <w:lang w:val="en-CA"/>
              </w:rPr>
              <w:t xml:space="preserve">caling list prediction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889099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9D1638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C620220" w14:textId="508CAB39" w:rsidR="00E61DAC" w:rsidRDefault="00941846">
            <w:pPr>
              <w:spacing w:before="60" w:after="60"/>
              <w:rPr>
                <w:szCs w:val="22"/>
                <w:lang w:val="en-CA"/>
              </w:rPr>
            </w:pPr>
            <w:r>
              <w:rPr>
                <w:szCs w:val="22"/>
                <w:lang w:val="en-CA"/>
              </w:rPr>
              <w:t>Adarsh K. Ramasubramonian</w:t>
            </w:r>
            <w:r>
              <w:rPr>
                <w:szCs w:val="22"/>
                <w:lang w:val="en-CA"/>
              </w:rPr>
              <w:br/>
              <w:t>Bappaditya Ray</w:t>
            </w:r>
            <w:r>
              <w:rPr>
                <w:szCs w:val="22"/>
                <w:lang w:val="en-CA"/>
              </w:rPr>
              <w:br/>
            </w:r>
            <w:r w:rsidR="002B2DF6">
              <w:rPr>
                <w:szCs w:val="22"/>
                <w:lang w:val="en-CA"/>
              </w:rPr>
              <w:t xml:space="preserve">Geert Van der Auwera </w:t>
            </w:r>
            <w:r w:rsidR="002B2DF6">
              <w:rPr>
                <w:szCs w:val="22"/>
                <w:lang w:val="en-CA"/>
              </w:rPr>
              <w:br/>
            </w:r>
            <w:r w:rsidR="004B5972">
              <w:rPr>
                <w:szCs w:val="22"/>
                <w:lang w:val="en-CA"/>
              </w:rPr>
              <w:t>Marta Karczewicz</w:t>
            </w:r>
          </w:p>
          <w:p w14:paraId="49D81240" w14:textId="19237783" w:rsidR="004B5972" w:rsidRPr="005B217D" w:rsidRDefault="004B5972">
            <w:pPr>
              <w:spacing w:before="60" w:after="60"/>
              <w:rPr>
                <w:szCs w:val="22"/>
                <w:lang w:val="en-CA"/>
              </w:rPr>
            </w:pPr>
            <w:r>
              <w:rPr>
                <w:szCs w:val="22"/>
                <w:lang w:val="en-CA"/>
              </w:rPr>
              <w:t>5775 Morehouse Dr</w:t>
            </w:r>
            <w:r>
              <w:rPr>
                <w:szCs w:val="22"/>
                <w:lang w:val="en-CA"/>
              </w:rPr>
              <w:br/>
              <w:t>San Diego, CA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3515702" w:rsidR="00941846" w:rsidRPr="005B217D" w:rsidRDefault="00E61DAC" w:rsidP="00941846">
            <w:pPr>
              <w:spacing w:before="60" w:after="60"/>
              <w:rPr>
                <w:szCs w:val="22"/>
                <w:lang w:val="en-CA"/>
              </w:rPr>
            </w:pPr>
            <w:r w:rsidRPr="005B217D">
              <w:rPr>
                <w:szCs w:val="22"/>
                <w:lang w:val="en-CA"/>
              </w:rPr>
              <w:br/>
            </w:r>
            <w:r w:rsidR="00941846">
              <w:rPr>
                <w:szCs w:val="22"/>
                <w:lang w:val="en-CA"/>
              </w:rPr>
              <w:br/>
            </w:r>
            <w:hyperlink r:id="rId12" w:history="1">
              <w:r w:rsidR="00941846" w:rsidRPr="00780E85">
                <w:rPr>
                  <w:rStyle w:val="Hyperlink"/>
                  <w:szCs w:val="22"/>
                  <w:lang w:val="en-CA"/>
                </w:rPr>
                <w:t>aramasub@qti.qualcomm.com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5929256" w:rsidR="00E61DAC" w:rsidRPr="005B217D" w:rsidRDefault="00C8645B">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C6B33EA" w:rsidR="00263398" w:rsidRPr="005B217D" w:rsidRDefault="00C8645B" w:rsidP="009234A5">
      <w:pPr>
        <w:rPr>
          <w:szCs w:val="22"/>
          <w:lang w:val="en-CA"/>
        </w:rPr>
      </w:pPr>
      <w:r>
        <w:rPr>
          <w:lang w:val="en-CA"/>
        </w:rPr>
        <w:t>This document</w:t>
      </w:r>
      <w:r w:rsidR="009A371E">
        <w:rPr>
          <w:lang w:val="en-CA"/>
        </w:rPr>
        <w:t xml:space="preserve"> proposes changes</w:t>
      </w:r>
      <w:r>
        <w:rPr>
          <w:lang w:val="en-CA"/>
        </w:rPr>
        <w:t xml:space="preserve"> to the </w:t>
      </w:r>
      <w:r w:rsidR="00A93E23">
        <w:rPr>
          <w:lang w:val="en-CA"/>
        </w:rPr>
        <w:t>derivation of scaling list reference ID</w:t>
      </w:r>
      <w:r>
        <w:rPr>
          <w:lang w:val="en-CA"/>
        </w:rPr>
        <w:t xml:space="preserve"> </w:t>
      </w:r>
      <w:r w:rsidR="00A93E23">
        <w:rPr>
          <w:lang w:val="en-CA"/>
        </w:rPr>
        <w:t xml:space="preserve">when </w:t>
      </w:r>
      <w:r>
        <w:rPr>
          <w:lang w:val="en-CA"/>
        </w:rPr>
        <w:t xml:space="preserve">the chroma scaling lists are </w:t>
      </w:r>
      <w:r w:rsidR="009A371E">
        <w:rPr>
          <w:lang w:val="en-CA"/>
        </w:rPr>
        <w:t>not signalled</w:t>
      </w:r>
      <w:r>
        <w:rPr>
          <w:lang w:val="en-CA"/>
        </w:rPr>
        <w:t>. Scaling lists may be</w:t>
      </w:r>
      <w:r w:rsidR="009A371E">
        <w:rPr>
          <w:lang w:val="en-CA"/>
        </w:rPr>
        <w:t xml:space="preserve"> explicitly signalled,</w:t>
      </w:r>
      <w:r>
        <w:rPr>
          <w:lang w:val="en-CA"/>
        </w:rPr>
        <w:t xml:space="preserve"> copied or predicted from other scaling lists</w:t>
      </w:r>
      <w:r w:rsidR="009A371E">
        <w:rPr>
          <w:lang w:val="en-CA"/>
        </w:rPr>
        <w:t xml:space="preserve"> – the scaling list used for copying or predicting is referred to as the reference scaling list</w:t>
      </w:r>
      <w:r>
        <w:rPr>
          <w:lang w:val="en-CA"/>
        </w:rPr>
        <w:t xml:space="preserve">. The current </w:t>
      </w:r>
      <w:r w:rsidR="009A371E">
        <w:rPr>
          <w:lang w:val="en-CA"/>
        </w:rPr>
        <w:t xml:space="preserve">specification </w:t>
      </w:r>
      <w:r>
        <w:rPr>
          <w:lang w:val="en-CA"/>
        </w:rPr>
        <w:t>allows luma scaling lists to be copied or predicted from lists that correspond to chroma scaling lists even when the chroma lists are absent</w:t>
      </w:r>
      <w:r w:rsidR="009A371E">
        <w:rPr>
          <w:lang w:val="en-CA"/>
        </w:rPr>
        <w:t>; it is asserted that this behaviour is undesirable</w:t>
      </w:r>
      <w:r>
        <w:rPr>
          <w:lang w:val="en-CA"/>
        </w:rPr>
        <w:t xml:space="preserve">. The document </w:t>
      </w:r>
      <w:r w:rsidR="00941846">
        <w:rPr>
          <w:lang w:val="en-CA"/>
        </w:rPr>
        <w:t xml:space="preserve">proposes to modify the reference </w:t>
      </w:r>
      <w:r w:rsidR="00A93E23">
        <w:rPr>
          <w:lang w:val="en-CA"/>
        </w:rPr>
        <w:t xml:space="preserve">scaling </w:t>
      </w:r>
      <w:r w:rsidR="00941846">
        <w:rPr>
          <w:lang w:val="en-CA"/>
        </w:rPr>
        <w:t xml:space="preserve">list ID derivation </w:t>
      </w:r>
      <w:r w:rsidR="00685B91">
        <w:rPr>
          <w:lang w:val="en-CA"/>
        </w:rPr>
        <w:t>by skipping the absent chroma lists. It is asserted that the proposed method fixes the issue of referring absent lists</w:t>
      </w:r>
      <w:r w:rsidR="00D668CA">
        <w:rPr>
          <w:lang w:val="en-CA"/>
        </w:rPr>
        <w:t xml:space="preserve">; due to the small bit savings, the proposed method is argued to be </w:t>
      </w:r>
      <w:bookmarkStart w:id="0" w:name="_GoBack"/>
      <w:bookmarkEnd w:id="0"/>
      <w:r w:rsidR="00D668CA">
        <w:rPr>
          <w:lang w:val="en-CA"/>
        </w:rPr>
        <w:t>preferable compared</w:t>
      </w:r>
      <w:r w:rsidR="00685B91">
        <w:rPr>
          <w:lang w:val="en-CA"/>
        </w:rPr>
        <w:t xml:space="preserve"> to explicit constraints or inferring default lists.</w:t>
      </w:r>
    </w:p>
    <w:p w14:paraId="7D2AC1F0" w14:textId="4820DF54" w:rsidR="00745F6B" w:rsidRPr="005B217D" w:rsidRDefault="00745F6B" w:rsidP="00E11923">
      <w:pPr>
        <w:pStyle w:val="Heading1"/>
        <w:rPr>
          <w:lang w:val="en-CA"/>
        </w:rPr>
      </w:pPr>
      <w:r w:rsidRPr="005B217D">
        <w:rPr>
          <w:lang w:val="en-CA"/>
        </w:rPr>
        <w:t>Introduction</w:t>
      </w:r>
    </w:p>
    <w:p w14:paraId="1539A21D" w14:textId="7816EE0C" w:rsidR="001F2594" w:rsidRDefault="00A93E23" w:rsidP="009234A5">
      <w:pPr>
        <w:rPr>
          <w:szCs w:val="22"/>
          <w:lang w:val="en-CA"/>
        </w:rPr>
      </w:pPr>
      <w:r>
        <w:rPr>
          <w:szCs w:val="22"/>
          <w:lang w:val="en-CA"/>
        </w:rPr>
        <w:t>S</w:t>
      </w:r>
      <w:r w:rsidR="00C8645B">
        <w:rPr>
          <w:szCs w:val="22"/>
          <w:lang w:val="en-CA"/>
        </w:rPr>
        <w:t xml:space="preserve">caling matrices are </w:t>
      </w:r>
      <w:r>
        <w:rPr>
          <w:szCs w:val="22"/>
          <w:lang w:val="en-CA"/>
        </w:rPr>
        <w:t>specified</w:t>
      </w:r>
      <w:r w:rsidR="00C8645B">
        <w:rPr>
          <w:szCs w:val="22"/>
          <w:lang w:val="en-CA"/>
        </w:rPr>
        <w:t xml:space="preserve"> using scaling lists that are signalled in the scaling list APS. A total of 28 scaling lists may be signalled; some of the scaling lists correspond to the luma component and other scaling lists correspond to the chroma component</w:t>
      </w:r>
      <w:r w:rsidR="00DB61BE">
        <w:rPr>
          <w:szCs w:val="22"/>
          <w:lang w:val="en-CA"/>
        </w:rPr>
        <w:t>s</w:t>
      </w:r>
      <w:r w:rsidR="00C8645B">
        <w:rPr>
          <w:szCs w:val="22"/>
          <w:lang w:val="en-CA"/>
        </w:rPr>
        <w:t xml:space="preserve">. </w:t>
      </w:r>
      <w:r w:rsidR="00753529">
        <w:rPr>
          <w:szCs w:val="22"/>
          <w:lang w:val="en-CA"/>
        </w:rPr>
        <w:t xml:space="preserve">The scaling lists may be explicitly </w:t>
      </w:r>
      <w:r>
        <w:rPr>
          <w:szCs w:val="22"/>
          <w:lang w:val="en-CA"/>
        </w:rPr>
        <w:t>signalled or</w:t>
      </w:r>
      <w:r w:rsidR="00753529">
        <w:rPr>
          <w:szCs w:val="22"/>
          <w:lang w:val="en-CA"/>
        </w:rPr>
        <w:t xml:space="preserve"> copied or predicted from preceding scaling lists that have the same size.</w:t>
      </w:r>
    </w:p>
    <w:p w14:paraId="7B281682" w14:textId="2D928C61" w:rsidR="00C8645B" w:rsidRDefault="00C8645B" w:rsidP="009234A5">
      <w:pPr>
        <w:rPr>
          <w:szCs w:val="22"/>
          <w:lang w:val="en-CA"/>
        </w:rPr>
      </w:pPr>
      <w:r>
        <w:rPr>
          <w:szCs w:val="22"/>
          <w:lang w:val="en-CA"/>
        </w:rPr>
        <w:t xml:space="preserve">For coding monochrome content or </w:t>
      </w:r>
      <w:r w:rsidR="00A93E23">
        <w:rPr>
          <w:szCs w:val="22"/>
          <w:lang w:val="en-CA"/>
        </w:rPr>
        <w:t xml:space="preserve">for </w:t>
      </w:r>
      <w:r>
        <w:rPr>
          <w:szCs w:val="22"/>
          <w:lang w:val="en-CA"/>
        </w:rPr>
        <w:t xml:space="preserve">separate colour plane coding, </w:t>
      </w:r>
      <w:r w:rsidR="00753529">
        <w:rPr>
          <w:szCs w:val="22"/>
          <w:lang w:val="en-CA"/>
        </w:rPr>
        <w:t>only the scaling lists corresponding to the luma component are required. This is controlled by the flag scaling_list_chroma_present_flag. When scaling_list_chroma_present_flag is equal to 0</w:t>
      </w:r>
      <w:r w:rsidR="00A93E23">
        <w:rPr>
          <w:szCs w:val="22"/>
          <w:lang w:val="en-CA"/>
        </w:rPr>
        <w:t xml:space="preserve"> (for monochrome and separate colour plane coding)</w:t>
      </w:r>
      <w:r w:rsidR="00753529">
        <w:rPr>
          <w:szCs w:val="22"/>
          <w:lang w:val="en-CA"/>
        </w:rPr>
        <w:t xml:space="preserve">, the </w:t>
      </w:r>
      <w:r w:rsidR="00A93E23">
        <w:rPr>
          <w:szCs w:val="22"/>
          <w:lang w:val="en-CA"/>
        </w:rPr>
        <w:t xml:space="preserve">chroma </w:t>
      </w:r>
      <w:r w:rsidR="00753529">
        <w:rPr>
          <w:szCs w:val="22"/>
          <w:lang w:val="en-CA"/>
        </w:rPr>
        <w:t>scaling lists are not signalled</w:t>
      </w:r>
      <w:r w:rsidR="00A93E23">
        <w:rPr>
          <w:szCs w:val="22"/>
          <w:lang w:val="en-CA"/>
        </w:rPr>
        <w:t xml:space="preserve"> (“absent”)</w:t>
      </w:r>
      <w:r w:rsidR="00753529">
        <w:rPr>
          <w:szCs w:val="22"/>
          <w:lang w:val="en-CA"/>
        </w:rPr>
        <w:t>.</w:t>
      </w:r>
    </w:p>
    <w:p w14:paraId="57070A18" w14:textId="4AE9AFB5" w:rsidR="00753529" w:rsidRDefault="00753529" w:rsidP="009234A5">
      <w:pPr>
        <w:rPr>
          <w:szCs w:val="22"/>
          <w:lang w:val="en-CA"/>
        </w:rPr>
      </w:pPr>
      <w:r>
        <w:rPr>
          <w:szCs w:val="22"/>
          <w:lang w:val="en-CA"/>
        </w:rPr>
        <w:t xml:space="preserve">When scaling lists are copied or predicted, the syntax element scaling_list_pred_id_delta[ ] is used to identify the reference scaling list. When scaling_list_chroma_present_flag is 0, </w:t>
      </w:r>
      <w:r w:rsidR="00C14FF0">
        <w:rPr>
          <w:szCs w:val="22"/>
          <w:lang w:val="en-CA"/>
        </w:rPr>
        <w:t>the chroma scaling lists are not explicitly signalled – yet the value of scaling_list_pred_id_delta[ ] permit</w:t>
      </w:r>
      <w:r w:rsidR="001003D2">
        <w:rPr>
          <w:szCs w:val="22"/>
          <w:lang w:val="en-CA"/>
        </w:rPr>
        <w:t>s</w:t>
      </w:r>
      <w:r w:rsidR="00C14FF0">
        <w:rPr>
          <w:szCs w:val="22"/>
          <w:lang w:val="en-CA"/>
        </w:rPr>
        <w:t xml:space="preserve"> referring to the “absent” chroma scaling list</w:t>
      </w:r>
      <w:r w:rsidR="00A93E23">
        <w:rPr>
          <w:szCs w:val="22"/>
          <w:lang w:val="en-CA"/>
        </w:rPr>
        <w:t>s</w:t>
      </w:r>
      <w:r w:rsidR="00C14FF0">
        <w:rPr>
          <w:szCs w:val="22"/>
          <w:lang w:val="en-CA"/>
        </w:rPr>
        <w:t>.</w:t>
      </w:r>
      <w:r w:rsidR="00A93E23">
        <w:rPr>
          <w:szCs w:val="22"/>
          <w:lang w:val="en-CA"/>
        </w:rPr>
        <w:t xml:space="preserve"> </w:t>
      </w:r>
      <w:r w:rsidR="00A93E23">
        <w:rPr>
          <w:szCs w:val="22"/>
          <w:lang w:val="en-CA"/>
        </w:rPr>
        <w:fldChar w:fldCharType="begin"/>
      </w:r>
      <w:r w:rsidR="00A93E23">
        <w:rPr>
          <w:szCs w:val="22"/>
          <w:lang w:val="en-CA"/>
        </w:rPr>
        <w:instrText xml:space="preserve"> REF _Ref36648653 \h </w:instrText>
      </w:r>
      <w:r w:rsidR="00A93E23">
        <w:rPr>
          <w:szCs w:val="22"/>
          <w:lang w:val="en-CA"/>
        </w:rPr>
      </w:r>
      <w:r w:rsidR="00A93E23">
        <w:rPr>
          <w:szCs w:val="22"/>
          <w:lang w:val="en-CA"/>
        </w:rPr>
        <w:fldChar w:fldCharType="separate"/>
      </w:r>
      <w:r w:rsidR="00A93E23">
        <w:t xml:space="preserve">Figure </w:t>
      </w:r>
      <w:r w:rsidR="00A93E23">
        <w:rPr>
          <w:noProof/>
        </w:rPr>
        <w:t>1</w:t>
      </w:r>
      <w:r w:rsidR="00A93E23">
        <w:rPr>
          <w:szCs w:val="22"/>
          <w:lang w:val="en-CA"/>
        </w:rPr>
        <w:fldChar w:fldCharType="end"/>
      </w:r>
      <w:r w:rsidR="00A93E23">
        <w:rPr>
          <w:szCs w:val="22"/>
          <w:lang w:val="en-CA"/>
        </w:rPr>
        <w:t xml:space="preserve"> illustrates the various </w:t>
      </w:r>
      <w:r w:rsidR="00AD6C83">
        <w:rPr>
          <w:szCs w:val="22"/>
          <w:lang w:val="en-CA"/>
        </w:rPr>
        <w:t xml:space="preserve">possible </w:t>
      </w:r>
      <w:r w:rsidR="00A93E23">
        <w:rPr>
          <w:szCs w:val="22"/>
          <w:lang w:val="en-CA"/>
        </w:rPr>
        <w:t xml:space="preserve">reference scaling lists </w:t>
      </w:r>
      <w:r w:rsidR="00AD6C83">
        <w:rPr>
          <w:szCs w:val="22"/>
          <w:lang w:val="en-CA"/>
        </w:rPr>
        <w:t xml:space="preserve">(pointed by arrows) </w:t>
      </w:r>
      <w:r w:rsidR="00A93E23">
        <w:rPr>
          <w:szCs w:val="22"/>
          <w:lang w:val="en-CA"/>
        </w:rPr>
        <w:t>for a scaling list with ID 23</w:t>
      </w:r>
      <w:r w:rsidR="00AD6C83">
        <w:rPr>
          <w:szCs w:val="22"/>
          <w:lang w:val="en-CA"/>
        </w:rPr>
        <w:t xml:space="preserve"> under the current specification. The figure shows reference scaling lists </w:t>
      </w:r>
      <w:r w:rsidR="00A93E23">
        <w:rPr>
          <w:szCs w:val="22"/>
          <w:lang w:val="en-CA"/>
        </w:rPr>
        <w:t>for various values of scaling_list_pred_id_delta (same as predIdDelta in the figure) for both the cases when the chroma scaling lists are present and absent. When chroma scaling lists are present</w:t>
      </w:r>
      <w:r w:rsidR="00AD6C83">
        <w:rPr>
          <w:szCs w:val="22"/>
          <w:lang w:val="en-CA"/>
        </w:rPr>
        <w:t xml:space="preserve"> (left side of the figure)</w:t>
      </w:r>
      <w:r w:rsidR="00A93E23">
        <w:rPr>
          <w:szCs w:val="22"/>
          <w:lang w:val="en-CA"/>
        </w:rPr>
        <w:t xml:space="preserve">, the scaling list with ID 23 is allowed to predict from </w:t>
      </w:r>
      <w:r w:rsidR="00AD6C83">
        <w:rPr>
          <w:szCs w:val="22"/>
          <w:lang w:val="en-CA"/>
        </w:rPr>
        <w:t>any</w:t>
      </w:r>
      <w:r w:rsidR="00A93E23">
        <w:rPr>
          <w:szCs w:val="22"/>
          <w:lang w:val="en-CA"/>
        </w:rPr>
        <w:t xml:space="preserve"> scaling list with ID in the range of 8 to 22, inclusive. When chroma scaling lists are absent, the scaling list with ID is allowed to predict from the luma scaling lists (with IDs 8, 11, 14, 17, 20)</w:t>
      </w:r>
      <w:r w:rsidR="00AD6C83">
        <w:rPr>
          <w:szCs w:val="22"/>
          <w:lang w:val="en-CA"/>
        </w:rPr>
        <w:t xml:space="preserve"> and the “absent” </w:t>
      </w:r>
      <w:r w:rsidR="00A93E23">
        <w:rPr>
          <w:szCs w:val="22"/>
          <w:lang w:val="en-CA"/>
        </w:rPr>
        <w:t xml:space="preserve">chroma scaling list IDs </w:t>
      </w:r>
      <w:r w:rsidR="00AD6C83">
        <w:rPr>
          <w:szCs w:val="22"/>
          <w:lang w:val="en-CA"/>
        </w:rPr>
        <w:t>(with IDs 9, 10, 12, 13, 15, 16, 18, 19, 21, 22)</w:t>
      </w:r>
      <w:r w:rsidR="00A93E23">
        <w:rPr>
          <w:szCs w:val="22"/>
          <w:lang w:val="en-CA"/>
        </w:rPr>
        <w:t xml:space="preserve">. </w:t>
      </w:r>
      <w:r w:rsidR="00AD6C83">
        <w:rPr>
          <w:szCs w:val="22"/>
          <w:lang w:val="en-CA"/>
        </w:rPr>
        <w:t xml:space="preserve">Referring to these “absent” lists results </w:t>
      </w:r>
      <w:r w:rsidR="00A93E23">
        <w:rPr>
          <w:szCs w:val="22"/>
          <w:lang w:val="en-CA"/>
        </w:rPr>
        <w:t xml:space="preserve">in ambiguity in the </w:t>
      </w:r>
      <w:r w:rsidR="00AD6C83">
        <w:rPr>
          <w:szCs w:val="22"/>
          <w:lang w:val="en-CA"/>
        </w:rPr>
        <w:t>scaling list prediction.</w:t>
      </w:r>
    </w:p>
    <w:p w14:paraId="57B04517" w14:textId="77777777" w:rsidR="00A93E23" w:rsidRDefault="004F2300" w:rsidP="00A93E23">
      <w:pPr>
        <w:keepNext/>
      </w:pPr>
      <w:r>
        <w:rPr>
          <w:noProof/>
          <w:szCs w:val="22"/>
          <w:lang w:val="en-CA"/>
        </w:rPr>
        <w:lastRenderedPageBreak/>
        <w:drawing>
          <wp:inline distT="0" distB="0" distL="0" distR="0" wp14:anchorId="0218884B" wp14:editId="7A275D27">
            <wp:extent cx="5873115" cy="3522550"/>
            <wp:effectExtent l="0" t="0" r="0" b="190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03770" cy="3540936"/>
                    </a:xfrm>
                    <a:prstGeom prst="rect">
                      <a:avLst/>
                    </a:prstGeom>
                    <a:noFill/>
                  </pic:spPr>
                </pic:pic>
              </a:graphicData>
            </a:graphic>
          </wp:inline>
        </w:drawing>
      </w:r>
    </w:p>
    <w:p w14:paraId="64993326" w14:textId="58624ED1" w:rsidR="004F2300" w:rsidRPr="005B217D" w:rsidRDefault="00A93E23" w:rsidP="00A93E23">
      <w:pPr>
        <w:pStyle w:val="Caption"/>
        <w:jc w:val="center"/>
        <w:rPr>
          <w:szCs w:val="22"/>
          <w:lang w:val="en-CA"/>
        </w:rPr>
      </w:pPr>
      <w:bookmarkStart w:id="1" w:name="_Ref36648653"/>
      <w:r>
        <w:t xml:space="preserve">Figure </w:t>
      </w:r>
      <w:r w:rsidR="00CF6A41">
        <w:fldChar w:fldCharType="begin"/>
      </w:r>
      <w:r w:rsidR="00CF6A41">
        <w:instrText xml:space="preserve"> SEQ Figure \* ARABIC </w:instrText>
      </w:r>
      <w:r w:rsidR="00CF6A41">
        <w:fldChar w:fldCharType="separate"/>
      </w:r>
      <w:r w:rsidR="00AD6C83">
        <w:rPr>
          <w:noProof/>
        </w:rPr>
        <w:t>1</w:t>
      </w:r>
      <w:r w:rsidR="00CF6A41">
        <w:rPr>
          <w:noProof/>
        </w:rPr>
        <w:fldChar w:fldCharType="end"/>
      </w:r>
      <w:bookmarkEnd w:id="1"/>
    </w:p>
    <w:p w14:paraId="24C51651" w14:textId="46B2242C" w:rsidR="00C8645B" w:rsidRDefault="00C8645B" w:rsidP="00E11923">
      <w:pPr>
        <w:pStyle w:val="Heading1"/>
        <w:rPr>
          <w:lang w:val="en-CA"/>
        </w:rPr>
      </w:pPr>
      <w:r>
        <w:rPr>
          <w:lang w:val="en-CA"/>
        </w:rPr>
        <w:t>Proposal</w:t>
      </w:r>
    </w:p>
    <w:p w14:paraId="304A9DBE" w14:textId="6A7C7965" w:rsidR="007744CC" w:rsidRDefault="00A47C4F" w:rsidP="007744CC">
      <w:r>
        <w:rPr>
          <w:lang w:val="en-CA"/>
        </w:rPr>
        <w:t xml:space="preserve">In the </w:t>
      </w:r>
      <w:r w:rsidR="00F9746B">
        <w:rPr>
          <w:lang w:val="en-CA"/>
        </w:rPr>
        <w:t>proposal</w:t>
      </w:r>
      <w:r>
        <w:rPr>
          <w:lang w:val="en-CA"/>
        </w:rPr>
        <w:t>, the allowed range of scaling_list_pred_id_delta[ ]</w:t>
      </w:r>
      <w:r>
        <w:t xml:space="preserve"> is modified such that when scaling_list_chroma_present_flag is equal to 0, only the luma scaling lists are referred to; the derivation of refId is also modified </w:t>
      </w:r>
      <w:r w:rsidR="00B25565">
        <w:t>so that only the valid luma scaling list are allowed to be referred. The modifications to the semantics</w:t>
      </w:r>
      <w:r w:rsidR="0054726A">
        <w:t xml:space="preserve"> in Sec. 7.4.3.21</w:t>
      </w:r>
      <w:r w:rsidR="00B25565">
        <w:t xml:space="preserve"> are highlighted below in yellow.</w:t>
      </w:r>
    </w:p>
    <w:p w14:paraId="78034088" w14:textId="77777777" w:rsidR="0054726A" w:rsidRPr="0054726A" w:rsidRDefault="0054726A" w:rsidP="00547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4726A">
        <w:rPr>
          <w:rFonts w:eastAsia="SimSun"/>
          <w:b/>
          <w:sz w:val="20"/>
          <w:lang w:val="en-CA"/>
        </w:rPr>
        <w:t>scaling_list_pred_id_delta</w:t>
      </w:r>
      <w:r w:rsidRPr="0054726A">
        <w:rPr>
          <w:rFonts w:eastAsia="SimSun"/>
          <w:sz w:val="20"/>
          <w:lang w:val="en-CA"/>
        </w:rPr>
        <w:t>[ </w:t>
      </w:r>
      <w:r w:rsidRPr="0054726A">
        <w:rPr>
          <w:rFonts w:eastAsia="MS Mincho"/>
          <w:noProof/>
          <w:sz w:val="20"/>
          <w:lang w:val="en-CA" w:eastAsia="ja-JP"/>
        </w:rPr>
        <w:t>id</w:t>
      </w:r>
      <w:r w:rsidRPr="0054726A">
        <w:rPr>
          <w:rFonts w:eastAsia="SimSun"/>
          <w:sz w:val="20"/>
          <w:lang w:val="en-CA"/>
        </w:rPr>
        <w:t> ] specifies the reference scaling list used to derive the predicted scaling matrix ScalingMatrixPred[ </w:t>
      </w:r>
      <w:r w:rsidRPr="0054726A">
        <w:rPr>
          <w:rFonts w:eastAsia="MS Mincho"/>
          <w:noProof/>
          <w:sz w:val="20"/>
          <w:lang w:val="en-CA" w:eastAsia="ja-JP"/>
        </w:rPr>
        <w:t>id</w:t>
      </w:r>
      <w:r w:rsidRPr="0054726A">
        <w:rPr>
          <w:rFonts w:eastAsia="SimSun"/>
          <w:sz w:val="20"/>
          <w:lang w:val="en-CA"/>
        </w:rPr>
        <w:t> ]. When not present, the value of scaling_list_pred_id_delta</w:t>
      </w:r>
      <w:r w:rsidRPr="0054726A">
        <w:rPr>
          <w:rFonts w:eastAsia="SimSun"/>
          <w:bCs/>
          <w:noProof/>
          <w:sz w:val="20"/>
          <w:lang w:val="en-CA"/>
        </w:rPr>
        <w:t>[ </w:t>
      </w:r>
      <w:r w:rsidRPr="0054726A">
        <w:rPr>
          <w:rFonts w:eastAsia="MS Mincho"/>
          <w:noProof/>
          <w:sz w:val="20"/>
          <w:lang w:val="en-CA" w:eastAsia="ja-JP"/>
        </w:rPr>
        <w:t>id</w:t>
      </w:r>
      <w:r w:rsidRPr="0054726A">
        <w:rPr>
          <w:rFonts w:eastAsia="SimSun"/>
          <w:bCs/>
          <w:noProof/>
          <w:sz w:val="20"/>
          <w:lang w:val="en-CA"/>
        </w:rPr>
        <w:t> ]</w:t>
      </w:r>
      <w:r w:rsidRPr="0054726A">
        <w:rPr>
          <w:rFonts w:eastAsia="SimSun"/>
          <w:sz w:val="20"/>
          <w:lang w:val="en-CA"/>
        </w:rPr>
        <w:t xml:space="preserve"> is inferred to be equal to 0. The value of scaling_list_pred_id_delta</w:t>
      </w:r>
      <w:r w:rsidRPr="0054726A">
        <w:rPr>
          <w:rFonts w:eastAsia="SimSun"/>
          <w:bCs/>
          <w:noProof/>
          <w:sz w:val="20"/>
          <w:lang w:val="en-CA"/>
        </w:rPr>
        <w:t>[ </w:t>
      </w:r>
      <w:r w:rsidRPr="0054726A">
        <w:rPr>
          <w:rFonts w:eastAsia="MS Mincho"/>
          <w:noProof/>
          <w:sz w:val="20"/>
          <w:lang w:val="en-CA" w:eastAsia="ja-JP"/>
        </w:rPr>
        <w:t>id</w:t>
      </w:r>
      <w:r w:rsidRPr="0054726A">
        <w:rPr>
          <w:rFonts w:eastAsia="SimSun"/>
          <w:bCs/>
          <w:noProof/>
          <w:sz w:val="20"/>
          <w:lang w:val="en-CA"/>
        </w:rPr>
        <w:t xml:space="preserve"> ] shall </w:t>
      </w:r>
      <w:r w:rsidRPr="0054726A">
        <w:rPr>
          <w:rFonts w:eastAsia="SimSun"/>
          <w:noProof/>
          <w:sz w:val="20"/>
          <w:lang w:val="en-CA"/>
        </w:rPr>
        <w:t xml:space="preserve">be in the range of 0 to </w:t>
      </w:r>
      <w:r w:rsidRPr="0054726A">
        <w:rPr>
          <w:rFonts w:eastAsia="MS Mincho"/>
          <w:noProof/>
          <w:sz w:val="20"/>
          <w:lang w:val="en-CA" w:eastAsia="ja-JP"/>
        </w:rPr>
        <w:t>maxIdDelta</w:t>
      </w:r>
      <w:r w:rsidRPr="0054726A">
        <w:rPr>
          <w:rFonts w:eastAsia="SimSun"/>
          <w:noProof/>
          <w:sz w:val="20"/>
          <w:lang w:val="en-CA"/>
        </w:rPr>
        <w:t xml:space="preserve"> with maxIdDelta derived</w:t>
      </w:r>
      <w:r w:rsidRPr="0054726A">
        <w:rPr>
          <w:rFonts w:eastAsia="SimSun"/>
          <w:bCs/>
          <w:noProof/>
          <w:sz w:val="20"/>
          <w:lang w:val="en-CA"/>
        </w:rPr>
        <w:t xml:space="preserve"> depending on id as follows:</w:t>
      </w:r>
    </w:p>
    <w:p w14:paraId="4004FD51" w14:textId="32DA60C2" w:rsidR="009A4AFB" w:rsidRDefault="009A4AFB" w:rsidP="009A4AFB">
      <w:pPr>
        <w:tabs>
          <w:tab w:val="left" w:pos="1588"/>
          <w:tab w:val="left" w:pos="1890"/>
          <w:tab w:val="center" w:pos="4849"/>
          <w:tab w:val="right" w:pos="9696"/>
        </w:tabs>
        <w:spacing w:before="193"/>
        <w:ind w:left="1260"/>
        <w:rPr>
          <w:rFonts w:eastAsia="Malgun Gothic"/>
          <w:sz w:val="20"/>
          <w:lang w:val="en-CA"/>
        </w:rPr>
      </w:pPr>
      <w:r w:rsidRPr="00F165C8">
        <w:rPr>
          <w:rFonts w:eastAsia="SimSun"/>
          <w:sz w:val="20"/>
          <w:lang w:val="en-CA"/>
        </w:rPr>
        <w:t xml:space="preserve">maxIdDelta = </w:t>
      </w:r>
      <w:r w:rsidRPr="00F165C8">
        <w:rPr>
          <w:rFonts w:eastAsia="Malgun Gothic"/>
          <w:sz w:val="20"/>
          <w:lang w:val="en-CA"/>
        </w:rPr>
        <w:t>( </w:t>
      </w:r>
      <w:r w:rsidRPr="00F165C8">
        <w:rPr>
          <w:rFonts w:eastAsia="MS Mincho"/>
          <w:noProof/>
          <w:sz w:val="20"/>
          <w:lang w:val="en-CA" w:eastAsia="ja-JP"/>
        </w:rPr>
        <w:t>id </w:t>
      </w:r>
      <w:r w:rsidRPr="00F165C8">
        <w:rPr>
          <w:rFonts w:eastAsia="Malgun Gothic"/>
          <w:sz w:val="20"/>
          <w:lang w:val="en-CA"/>
        </w:rPr>
        <w:t>&lt; 2 ) ? id : ( ( </w:t>
      </w:r>
      <w:r w:rsidRPr="00F165C8">
        <w:rPr>
          <w:rFonts w:eastAsia="MS Mincho"/>
          <w:noProof/>
          <w:sz w:val="20"/>
          <w:lang w:val="en-CA" w:eastAsia="ja-JP"/>
        </w:rPr>
        <w:t>id </w:t>
      </w:r>
      <w:r w:rsidRPr="00F165C8">
        <w:rPr>
          <w:rFonts w:eastAsia="Malgun Gothic"/>
          <w:sz w:val="20"/>
          <w:lang w:val="en-CA"/>
        </w:rPr>
        <w:t>&lt; 8 ) ? ( </w:t>
      </w:r>
      <w:r w:rsidRPr="00F165C8">
        <w:rPr>
          <w:rFonts w:eastAsia="MS Mincho"/>
          <w:noProof/>
          <w:sz w:val="20"/>
          <w:lang w:val="en-CA" w:eastAsia="ja-JP"/>
        </w:rPr>
        <w:t>id</w:t>
      </w:r>
      <w:r w:rsidRPr="00F165C8">
        <w:rPr>
          <w:rFonts w:eastAsia="SimSun"/>
          <w:noProof/>
          <w:sz w:val="20"/>
          <w:lang w:val="en-CA"/>
        </w:rPr>
        <w:t> </w:t>
      </w:r>
      <w:r w:rsidRPr="00F165C8">
        <w:rPr>
          <w:rFonts w:eastAsia="SimSun"/>
          <w:noProof/>
          <w:sz w:val="20"/>
          <w:lang w:val="en-CA" w:eastAsia="ko-KR"/>
        </w:rPr>
        <w:t>−</w:t>
      </w:r>
      <w:r w:rsidRPr="00F165C8">
        <w:rPr>
          <w:rFonts w:eastAsia="SimSun"/>
          <w:noProof/>
          <w:sz w:val="20"/>
          <w:lang w:val="en-CA"/>
        </w:rPr>
        <w:t> 2 )</w:t>
      </w:r>
      <w:r w:rsidRPr="00F165C8">
        <w:rPr>
          <w:rFonts w:eastAsia="Malgun Gothic"/>
          <w:sz w:val="20"/>
          <w:lang w:val="en-CA"/>
        </w:rPr>
        <w:t xml:space="preserve"> : ( </w:t>
      </w:r>
      <w:r w:rsidRPr="00F165C8">
        <w:rPr>
          <w:rFonts w:eastAsia="MS Mincho"/>
          <w:noProof/>
          <w:sz w:val="20"/>
          <w:lang w:val="en-CA" w:eastAsia="ja-JP"/>
        </w:rPr>
        <w:t>id</w:t>
      </w:r>
      <w:r w:rsidRPr="00F165C8">
        <w:rPr>
          <w:rFonts w:eastAsia="SimSun"/>
          <w:noProof/>
          <w:sz w:val="20"/>
          <w:lang w:val="en-CA"/>
        </w:rPr>
        <w:t> </w:t>
      </w:r>
      <w:r w:rsidRPr="00F165C8">
        <w:rPr>
          <w:rFonts w:eastAsia="SimSun"/>
          <w:noProof/>
          <w:sz w:val="20"/>
          <w:lang w:val="en-CA" w:eastAsia="ko-KR"/>
        </w:rPr>
        <w:t>−</w:t>
      </w:r>
      <w:r w:rsidRPr="00F165C8">
        <w:rPr>
          <w:rFonts w:eastAsia="SimSun"/>
          <w:noProof/>
          <w:sz w:val="20"/>
          <w:lang w:val="en-CA"/>
        </w:rPr>
        <w:t> 8 )</w:t>
      </w:r>
      <w:r w:rsidRPr="00F165C8">
        <w:rPr>
          <w:rFonts w:eastAsia="Malgun Gothic"/>
          <w:sz w:val="20"/>
          <w:lang w:val="en-CA"/>
        </w:rPr>
        <w:t xml:space="preserve"> )</w:t>
      </w:r>
      <w:r w:rsidRPr="00F165C8">
        <w:rPr>
          <w:rFonts w:eastAsia="SimSun"/>
          <w:noProof/>
          <w:sz w:val="20"/>
          <w:lang w:val="en-CA" w:eastAsia="ko-KR"/>
        </w:rPr>
        <w:tab/>
        <w:t>(</w:t>
      </w:r>
      <w:r w:rsidRPr="00F165C8">
        <w:rPr>
          <w:rFonts w:eastAsia="SimSun"/>
          <w:noProof/>
          <w:sz w:val="20"/>
          <w:lang w:val="en-CA"/>
        </w:rPr>
        <w:fldChar w:fldCharType="begin" w:fldLock="1"/>
      </w:r>
      <w:r w:rsidRPr="00F165C8">
        <w:rPr>
          <w:rFonts w:eastAsia="SimSun"/>
          <w:noProof/>
          <w:sz w:val="20"/>
          <w:lang w:val="en-CA"/>
        </w:rPr>
        <w:instrText xml:space="preserve"> SEQ Equation \* ARABIC </w:instrText>
      </w:r>
      <w:r w:rsidRPr="00F165C8">
        <w:rPr>
          <w:rFonts w:eastAsia="SimSun"/>
          <w:noProof/>
          <w:sz w:val="20"/>
          <w:lang w:val="en-CA"/>
        </w:rPr>
        <w:fldChar w:fldCharType="separate"/>
      </w:r>
      <w:r w:rsidRPr="00F165C8">
        <w:rPr>
          <w:rFonts w:eastAsia="SimSun"/>
          <w:noProof/>
          <w:sz w:val="20"/>
          <w:lang w:val="en-CA"/>
        </w:rPr>
        <w:t>10</w:t>
      </w:r>
      <w:r w:rsidR="0054726A">
        <w:rPr>
          <w:rFonts w:eastAsia="SimSun"/>
          <w:noProof/>
          <w:sz w:val="20"/>
          <w:lang w:val="en-CA"/>
        </w:rPr>
        <w:t>5</w:t>
      </w:r>
      <w:r w:rsidRPr="00F165C8">
        <w:rPr>
          <w:rFonts w:eastAsia="SimSun"/>
          <w:noProof/>
          <w:sz w:val="20"/>
          <w:lang w:val="en-CA"/>
        </w:rPr>
        <w:fldChar w:fldCharType="end"/>
      </w:r>
      <w:r w:rsidRPr="00F165C8">
        <w:rPr>
          <w:rFonts w:eastAsia="SimSun"/>
          <w:noProof/>
          <w:sz w:val="20"/>
          <w:lang w:val="en-CA" w:eastAsia="ko-KR"/>
        </w:rPr>
        <w:t>)</w:t>
      </w:r>
      <w:r>
        <w:rPr>
          <w:rFonts w:eastAsia="SimSun"/>
          <w:noProof/>
          <w:sz w:val="20"/>
          <w:lang w:val="en-CA" w:eastAsia="ko-KR"/>
        </w:rPr>
        <w:br/>
      </w:r>
      <w:r w:rsidR="006C20DE" w:rsidRPr="007B1F57">
        <w:rPr>
          <w:rFonts w:eastAsia="SimSun"/>
          <w:sz w:val="20"/>
          <w:highlight w:val="yellow"/>
          <w:lang w:val="en-CA"/>
        </w:rPr>
        <w:t xml:space="preserve">if( </w:t>
      </w:r>
      <w:r w:rsidR="006C20DE">
        <w:rPr>
          <w:rFonts w:eastAsia="SimSun"/>
          <w:sz w:val="20"/>
          <w:highlight w:val="yellow"/>
          <w:lang w:val="en-CA"/>
        </w:rPr>
        <w:t>!</w:t>
      </w:r>
      <w:r w:rsidR="006C20DE" w:rsidRPr="007B1F57">
        <w:rPr>
          <w:rFonts w:eastAsia="SimSun"/>
          <w:sz w:val="20"/>
          <w:highlight w:val="yellow"/>
          <w:lang w:val="en-CA"/>
        </w:rPr>
        <w:t>scaling_list_chroma_present_flag )</w:t>
      </w:r>
      <w:r w:rsidR="006C20DE">
        <w:rPr>
          <w:rFonts w:eastAsia="SimSun"/>
          <w:noProof/>
          <w:sz w:val="20"/>
          <w:highlight w:val="yellow"/>
          <w:lang w:val="en-CA" w:eastAsia="ko-KR"/>
        </w:rPr>
        <w:br/>
      </w:r>
      <w:r w:rsidR="006C20DE">
        <w:rPr>
          <w:rFonts w:eastAsia="SimSun"/>
          <w:noProof/>
          <w:sz w:val="20"/>
          <w:highlight w:val="yellow"/>
          <w:lang w:val="en-CA" w:eastAsia="ko-KR"/>
        </w:rPr>
        <w:tab/>
      </w:r>
      <w:r w:rsidR="006C20DE">
        <w:rPr>
          <w:rFonts w:eastAsia="SimSun"/>
          <w:sz w:val="20"/>
          <w:highlight w:val="yellow"/>
          <w:lang w:val="en-CA"/>
        </w:rPr>
        <w:t>m</w:t>
      </w:r>
      <w:r w:rsidRPr="00F165C8">
        <w:rPr>
          <w:rFonts w:eastAsia="SimSun"/>
          <w:sz w:val="20"/>
          <w:highlight w:val="yellow"/>
          <w:lang w:val="en-CA"/>
        </w:rPr>
        <w:t xml:space="preserve">axIdDelta = </w:t>
      </w:r>
      <w:r w:rsidR="006C20DE">
        <w:rPr>
          <w:rFonts w:eastAsia="SimSun"/>
          <w:sz w:val="20"/>
          <w:highlight w:val="yellow"/>
          <w:lang w:val="en-CA"/>
        </w:rPr>
        <w:t>( maxIdDelta + 2 ) / 3</w:t>
      </w:r>
    </w:p>
    <w:p w14:paraId="59FB79B6" w14:textId="77777777" w:rsidR="0054726A" w:rsidRPr="0054726A" w:rsidRDefault="0054726A" w:rsidP="00547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4726A">
        <w:rPr>
          <w:rFonts w:eastAsia="SimSun"/>
          <w:noProof/>
          <w:sz w:val="20"/>
          <w:lang w:val="en-CA"/>
        </w:rPr>
        <w:t xml:space="preserve">The </w:t>
      </w:r>
      <w:r w:rsidRPr="0054726A">
        <w:rPr>
          <w:rFonts w:eastAsia="SimSun"/>
          <w:sz w:val="20"/>
          <w:lang w:val="en-CA"/>
        </w:rPr>
        <w:t>variables</w:t>
      </w:r>
      <w:r w:rsidRPr="0054726A">
        <w:rPr>
          <w:rFonts w:eastAsia="SimSun"/>
          <w:noProof/>
          <w:sz w:val="20"/>
          <w:lang w:val="en-CA"/>
        </w:rPr>
        <w:t xml:space="preserve"> refId and matrixSize are derived as follows:</w:t>
      </w:r>
    </w:p>
    <w:p w14:paraId="7593996C" w14:textId="1C0301ED" w:rsidR="009A4AFB" w:rsidRPr="00F165C8" w:rsidRDefault="009A4AFB" w:rsidP="009A4AFB">
      <w:pPr>
        <w:tabs>
          <w:tab w:val="left" w:pos="1588"/>
          <w:tab w:val="left" w:pos="1890"/>
          <w:tab w:val="center" w:pos="4849"/>
          <w:tab w:val="right" w:pos="9696"/>
        </w:tabs>
        <w:spacing w:before="193"/>
        <w:ind w:left="1260"/>
        <w:rPr>
          <w:lang w:val="en-CA"/>
        </w:rPr>
      </w:pPr>
      <w:r w:rsidRPr="000679D9">
        <w:rPr>
          <w:rFonts w:eastAsia="SimSun"/>
          <w:sz w:val="20"/>
          <w:highlight w:val="yellow"/>
          <w:lang w:val="en-CA"/>
        </w:rPr>
        <w:t>if( scaling_list_chroma_present_flag )</w:t>
      </w:r>
      <w:r>
        <w:rPr>
          <w:rFonts w:eastAsia="SimSun"/>
          <w:sz w:val="20"/>
          <w:lang w:val="en-CA"/>
        </w:rPr>
        <w:br/>
      </w:r>
      <w:r>
        <w:rPr>
          <w:rFonts w:eastAsia="SimSun"/>
          <w:sz w:val="20"/>
          <w:lang w:val="en-CA"/>
        </w:rPr>
        <w:tab/>
      </w:r>
      <w:r w:rsidRPr="00F165C8">
        <w:rPr>
          <w:rFonts w:eastAsia="SimSun"/>
          <w:sz w:val="20"/>
          <w:lang w:val="en-CA"/>
        </w:rPr>
        <w:t xml:space="preserve">refId = </w:t>
      </w:r>
      <w:r w:rsidRPr="00F165C8">
        <w:rPr>
          <w:rFonts w:eastAsia="SimSun"/>
          <w:noProof/>
          <w:sz w:val="20"/>
          <w:lang w:val="en-CA"/>
        </w:rPr>
        <w:t>id </w:t>
      </w:r>
      <w:r w:rsidRPr="00F165C8">
        <w:rPr>
          <w:rFonts w:eastAsia="SimSun"/>
          <w:noProof/>
          <w:sz w:val="20"/>
          <w:lang w:val="en-CA" w:eastAsia="ko-KR"/>
        </w:rPr>
        <w:t>−</w:t>
      </w:r>
      <w:r w:rsidRPr="00F165C8">
        <w:rPr>
          <w:rFonts w:eastAsia="SimSun"/>
          <w:noProof/>
          <w:sz w:val="20"/>
          <w:lang w:val="en-CA"/>
        </w:rPr>
        <w:t> scaling_list_pred_id_delta[ id ]</w:t>
      </w:r>
      <w:r w:rsidRPr="00F165C8">
        <w:rPr>
          <w:rFonts w:eastAsia="SimSun"/>
          <w:noProof/>
          <w:sz w:val="20"/>
          <w:lang w:val="en-CA" w:eastAsia="ko-KR"/>
        </w:rPr>
        <w:tab/>
        <w:t>(</w:t>
      </w:r>
      <w:r w:rsidRPr="00F165C8">
        <w:rPr>
          <w:rFonts w:eastAsia="SimSun"/>
          <w:noProof/>
          <w:sz w:val="20"/>
          <w:lang w:val="en-CA"/>
        </w:rPr>
        <w:fldChar w:fldCharType="begin" w:fldLock="1"/>
      </w:r>
      <w:r w:rsidRPr="00F165C8">
        <w:rPr>
          <w:rFonts w:eastAsia="SimSun"/>
          <w:noProof/>
          <w:sz w:val="20"/>
          <w:lang w:val="en-CA"/>
        </w:rPr>
        <w:instrText xml:space="preserve"> SEQ Equation \* ARABIC </w:instrText>
      </w:r>
      <w:r w:rsidRPr="00F165C8">
        <w:rPr>
          <w:rFonts w:eastAsia="SimSun"/>
          <w:noProof/>
          <w:sz w:val="20"/>
          <w:lang w:val="en-CA"/>
        </w:rPr>
        <w:fldChar w:fldCharType="separate"/>
      </w:r>
      <w:r w:rsidRPr="00F165C8">
        <w:rPr>
          <w:rFonts w:eastAsia="SimSun"/>
          <w:noProof/>
          <w:sz w:val="20"/>
          <w:lang w:val="en-CA"/>
        </w:rPr>
        <w:t>10</w:t>
      </w:r>
      <w:r w:rsidR="0054726A">
        <w:rPr>
          <w:rFonts w:eastAsia="SimSun"/>
          <w:noProof/>
          <w:sz w:val="20"/>
          <w:lang w:val="en-CA"/>
        </w:rPr>
        <w:t>6</w:t>
      </w:r>
      <w:r w:rsidRPr="00F165C8">
        <w:rPr>
          <w:rFonts w:eastAsia="SimSun"/>
          <w:noProof/>
          <w:sz w:val="20"/>
          <w:lang w:val="en-CA"/>
        </w:rPr>
        <w:fldChar w:fldCharType="end"/>
      </w:r>
      <w:r w:rsidRPr="00F165C8">
        <w:rPr>
          <w:rFonts w:eastAsia="SimSun"/>
          <w:noProof/>
          <w:sz w:val="20"/>
          <w:lang w:val="en-CA" w:eastAsia="ko-KR"/>
        </w:rPr>
        <w:t>)</w:t>
      </w:r>
      <w:r>
        <w:rPr>
          <w:rFonts w:eastAsia="SimSun"/>
          <w:noProof/>
          <w:sz w:val="20"/>
          <w:lang w:val="en-CA" w:eastAsia="ko-KR"/>
        </w:rPr>
        <w:br/>
      </w:r>
      <w:r w:rsidRPr="000679D9">
        <w:rPr>
          <w:rFonts w:eastAsia="SimSun"/>
          <w:sz w:val="20"/>
          <w:highlight w:val="yellow"/>
          <w:lang w:val="en-CA"/>
        </w:rPr>
        <w:t>else</w:t>
      </w:r>
      <w:r w:rsidRPr="000679D9">
        <w:rPr>
          <w:rFonts w:eastAsia="SimSun"/>
          <w:sz w:val="20"/>
          <w:highlight w:val="yellow"/>
          <w:lang w:val="en-CA"/>
        </w:rPr>
        <w:br/>
      </w:r>
      <w:r w:rsidRPr="000679D9">
        <w:rPr>
          <w:rFonts w:eastAsia="SimSun"/>
          <w:sz w:val="20"/>
          <w:highlight w:val="yellow"/>
          <w:lang w:val="en-CA"/>
        </w:rPr>
        <w:tab/>
        <w:t xml:space="preserve">refId = id – scaling_list_pred_id_delta[ id ] * </w:t>
      </w:r>
      <w:r w:rsidRPr="00C836F8">
        <w:rPr>
          <w:rFonts w:eastAsia="SimSun"/>
          <w:sz w:val="20"/>
          <w:highlight w:val="yellow"/>
          <w:lang w:val="en-CA"/>
        </w:rPr>
        <w:t>3</w:t>
      </w:r>
      <w:r w:rsidR="00C836F8" w:rsidRPr="00E5337D">
        <w:rPr>
          <w:rFonts w:eastAsia="SimSun"/>
          <w:sz w:val="20"/>
          <w:highlight w:val="yellow"/>
          <w:lang w:val="en-CA"/>
        </w:rPr>
        <w:t xml:space="preserve"> + </w:t>
      </w:r>
      <w:r w:rsidR="00C836F8" w:rsidRPr="00C836F8">
        <w:rPr>
          <w:rFonts w:eastAsia="SimSun"/>
          <w:sz w:val="20"/>
          <w:highlight w:val="yellow"/>
          <w:lang w:val="en-CA"/>
        </w:rPr>
        <w:t xml:space="preserve">( id </w:t>
      </w:r>
      <w:r w:rsidR="00C836F8" w:rsidRPr="000679D9">
        <w:rPr>
          <w:rFonts w:eastAsia="SimSun"/>
          <w:sz w:val="20"/>
          <w:highlight w:val="yellow"/>
          <w:lang w:val="en-CA"/>
        </w:rPr>
        <w:t>= = 27</w:t>
      </w:r>
      <w:r w:rsidR="00C836F8">
        <w:rPr>
          <w:rFonts w:eastAsia="SimSun"/>
          <w:sz w:val="20"/>
          <w:highlight w:val="yellow"/>
          <w:lang w:val="en-CA"/>
        </w:rPr>
        <w:t xml:space="preserve"> </w:t>
      </w:r>
      <w:r w:rsidR="00C836F8" w:rsidRPr="000679D9">
        <w:rPr>
          <w:rFonts w:eastAsia="SimSun"/>
          <w:sz w:val="20"/>
          <w:highlight w:val="yellow"/>
          <w:lang w:val="en-CA"/>
        </w:rPr>
        <w:t>? 2 : 0</w:t>
      </w:r>
      <w:r w:rsidR="00C836F8">
        <w:rPr>
          <w:rFonts w:eastAsia="SimSun"/>
          <w:sz w:val="20"/>
          <w:highlight w:val="yellow"/>
          <w:lang w:val="en-CA"/>
        </w:rPr>
        <w:t xml:space="preserve"> )</w:t>
      </w:r>
      <w:r w:rsidR="00C836F8" w:rsidRPr="000679D9">
        <w:rPr>
          <w:rFonts w:eastAsia="SimSun"/>
          <w:sz w:val="20"/>
          <w:highlight w:val="yellow"/>
          <w:lang w:val="en-CA"/>
        </w:rPr>
        <w:t xml:space="preserve">  </w:t>
      </w:r>
    </w:p>
    <w:p w14:paraId="66E1EB9F" w14:textId="77777777" w:rsidR="0054726A" w:rsidRPr="00F43CC3" w:rsidRDefault="0054726A" w:rsidP="0054726A">
      <w:pPr>
        <w:pStyle w:val="Equation"/>
        <w:tabs>
          <w:tab w:val="clear" w:pos="794"/>
          <w:tab w:val="left" w:pos="1890"/>
        </w:tabs>
        <w:spacing w:after="0"/>
        <w:ind w:left="1260"/>
        <w:rPr>
          <w:lang w:val="en-CA"/>
        </w:rPr>
      </w:pPr>
      <w:r w:rsidRPr="00F43CC3">
        <w:rPr>
          <w:lang w:val="en-CA"/>
        </w:rPr>
        <w:t xml:space="preserve">matrixSize = </w:t>
      </w:r>
      <w:r w:rsidRPr="00F43CC3">
        <w:rPr>
          <w:rFonts w:eastAsia="Malgun Gothic"/>
          <w:lang w:val="en-CA"/>
        </w:rPr>
        <w:t>( </w:t>
      </w:r>
      <w:r w:rsidRPr="00F43CC3">
        <w:rPr>
          <w:rFonts w:eastAsia="MS Mincho"/>
          <w:noProof/>
          <w:lang w:val="en-CA" w:eastAsia="ja-JP"/>
        </w:rPr>
        <w:t>id </w:t>
      </w:r>
      <w:r w:rsidRPr="00F43CC3">
        <w:rPr>
          <w:rFonts w:eastAsia="Malgun Gothic"/>
          <w:lang w:val="en-CA"/>
        </w:rPr>
        <w:t>&lt; 2 ) ? 2 : ( ( </w:t>
      </w:r>
      <w:r w:rsidRPr="00F43CC3">
        <w:rPr>
          <w:rFonts w:eastAsia="MS Mincho"/>
          <w:noProof/>
          <w:lang w:val="en-CA" w:eastAsia="ja-JP"/>
        </w:rPr>
        <w:t>id </w:t>
      </w:r>
      <w:r w:rsidRPr="00F43CC3">
        <w:rPr>
          <w:rFonts w:eastAsia="Malgun Gothic"/>
          <w:lang w:val="en-CA"/>
        </w:rPr>
        <w:t>&lt; 8 ) ? 4 : 8 )</w:t>
      </w:r>
      <w:r w:rsidRPr="00F43CC3">
        <w:rPr>
          <w:noProof/>
          <w:lang w:val="en-CA" w:eastAsia="ko-KR"/>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107</w:t>
      </w:r>
      <w:r w:rsidRPr="00F43CC3">
        <w:rPr>
          <w:noProof/>
          <w:lang w:val="en-CA"/>
        </w:rPr>
        <w:fldChar w:fldCharType="end"/>
      </w:r>
      <w:r w:rsidRPr="00F43CC3">
        <w:rPr>
          <w:noProof/>
          <w:lang w:val="en-CA" w:eastAsia="ko-KR"/>
        </w:rPr>
        <w:t>)</w:t>
      </w:r>
    </w:p>
    <w:p w14:paraId="22775A7D" w14:textId="48E19203" w:rsidR="009A4AFB" w:rsidRDefault="00AD6C83" w:rsidP="007744CC">
      <w:r>
        <w:fldChar w:fldCharType="begin"/>
      </w:r>
      <w:r>
        <w:instrText xml:space="preserve"> REF _Ref36649242 \h </w:instrText>
      </w:r>
      <w:r>
        <w:fldChar w:fldCharType="separate"/>
      </w:r>
      <w:r>
        <w:t xml:space="preserve">Figure </w:t>
      </w:r>
      <w:r>
        <w:rPr>
          <w:noProof/>
        </w:rPr>
        <w:t>2</w:t>
      </w:r>
      <w:r>
        <w:fldChar w:fldCharType="end"/>
      </w:r>
      <w:r>
        <w:t xml:space="preserve"> </w:t>
      </w:r>
      <w:r w:rsidR="0094432B">
        <w:t>provide</w:t>
      </w:r>
      <w:r>
        <w:t>s</w:t>
      </w:r>
      <w:r w:rsidR="0094432B">
        <w:t xml:space="preserve"> an illustration of how the reference scaling lists are mapped with the proposed </w:t>
      </w:r>
      <w:r>
        <w:t>method</w:t>
      </w:r>
      <w:r w:rsidR="0094432B">
        <w:t>.</w:t>
      </w:r>
      <w:r>
        <w:t xml:space="preserve"> There is no change in the prediction when chroma scaling lists are present. When chroma scaling lists are absent, only the luma scaling lists are allowed to be referred, thus resolving any ambiguity in the scaling list prediction.</w:t>
      </w:r>
    </w:p>
    <w:p w14:paraId="5CFC7C08" w14:textId="5D2F184B" w:rsidR="0094432B" w:rsidRDefault="0094432B" w:rsidP="007744CC"/>
    <w:p w14:paraId="18F48B80" w14:textId="77777777" w:rsidR="00AD6C83" w:rsidRDefault="004F2300" w:rsidP="00AD6C83">
      <w:pPr>
        <w:keepNext/>
      </w:pPr>
      <w:r>
        <w:rPr>
          <w:noProof/>
        </w:rPr>
        <w:lastRenderedPageBreak/>
        <w:drawing>
          <wp:inline distT="0" distB="0" distL="0" distR="0" wp14:anchorId="26EAC3AF" wp14:editId="2B1B2F5D">
            <wp:extent cx="6019938" cy="3610610"/>
            <wp:effectExtent l="0" t="0" r="0" b="889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32044" cy="3617871"/>
                    </a:xfrm>
                    <a:prstGeom prst="rect">
                      <a:avLst/>
                    </a:prstGeom>
                    <a:noFill/>
                  </pic:spPr>
                </pic:pic>
              </a:graphicData>
            </a:graphic>
          </wp:inline>
        </w:drawing>
      </w:r>
    </w:p>
    <w:p w14:paraId="72C3E9D5" w14:textId="7F921A8D" w:rsidR="0094432B" w:rsidRDefault="00AD6C83" w:rsidP="00AD6C83">
      <w:pPr>
        <w:pStyle w:val="Caption"/>
        <w:jc w:val="center"/>
      </w:pPr>
      <w:bookmarkStart w:id="2" w:name="_Ref36649242"/>
      <w:r>
        <w:t xml:space="preserve">Figure </w:t>
      </w:r>
      <w:r w:rsidR="00CF6A41">
        <w:fldChar w:fldCharType="begin"/>
      </w:r>
      <w:r w:rsidR="00CF6A41">
        <w:instrText xml:space="preserve"> SEQ Figure \* ARABIC </w:instrText>
      </w:r>
      <w:r w:rsidR="00CF6A41">
        <w:fldChar w:fldCharType="separate"/>
      </w:r>
      <w:r>
        <w:rPr>
          <w:noProof/>
        </w:rPr>
        <w:t>2</w:t>
      </w:r>
      <w:r w:rsidR="00CF6A41">
        <w:rPr>
          <w:noProof/>
        </w:rPr>
        <w:fldChar w:fldCharType="end"/>
      </w:r>
      <w:bookmarkEnd w:id="2"/>
    </w:p>
    <w:p w14:paraId="39110E31" w14:textId="77777777" w:rsidR="0094432B" w:rsidRPr="00A47C4F" w:rsidRDefault="0094432B" w:rsidP="007744CC"/>
    <w:p w14:paraId="0899DBDF" w14:textId="33AAE597" w:rsidR="00F9746B" w:rsidRDefault="00F9746B" w:rsidP="00F9746B">
      <w:pPr>
        <w:pStyle w:val="Heading2"/>
        <w:rPr>
          <w:lang w:val="en-CA"/>
        </w:rPr>
      </w:pPr>
      <w:r>
        <w:rPr>
          <w:lang w:val="en-CA"/>
        </w:rPr>
        <w:t>Discussion</w:t>
      </w:r>
    </w:p>
    <w:p w14:paraId="38F29AED" w14:textId="1F8DB894" w:rsidR="00C8645B" w:rsidRDefault="00C8645B" w:rsidP="00C8645B">
      <w:pPr>
        <w:rPr>
          <w:lang w:val="en-CA"/>
        </w:rPr>
      </w:pPr>
      <w:r>
        <w:rPr>
          <w:lang w:val="en-CA"/>
        </w:rPr>
        <w:t xml:space="preserve">Two other approaches </w:t>
      </w:r>
      <w:r w:rsidR="00F9746B">
        <w:rPr>
          <w:lang w:val="en-CA"/>
        </w:rPr>
        <w:t xml:space="preserve">that </w:t>
      </w:r>
      <w:r>
        <w:rPr>
          <w:lang w:val="en-CA"/>
        </w:rPr>
        <w:t xml:space="preserve">were suggested in the reflector are reproduced here for the sake of completeness. </w:t>
      </w:r>
      <w:r w:rsidR="00F9746B">
        <w:rPr>
          <w:lang w:val="en-CA"/>
        </w:rPr>
        <w:t xml:space="preserve">It is asserted that </w:t>
      </w:r>
      <w:r>
        <w:rPr>
          <w:lang w:val="en-CA"/>
        </w:rPr>
        <w:t>these methods are less preferable to the approach suggested above.</w:t>
      </w:r>
    </w:p>
    <w:p w14:paraId="39175A38" w14:textId="6C78EE83" w:rsidR="00C8645B" w:rsidRPr="00F9746B" w:rsidRDefault="00F9746B" w:rsidP="00F9746B">
      <w:pPr>
        <w:pStyle w:val="ListParagraph"/>
        <w:numPr>
          <w:ilvl w:val="0"/>
          <w:numId w:val="12"/>
        </w:numPr>
        <w:rPr>
          <w:lang w:val="en-CA"/>
        </w:rPr>
      </w:pPr>
      <w:r w:rsidRPr="00F9746B">
        <w:rPr>
          <w:lang w:val="en-CA"/>
        </w:rPr>
        <w:t>Explicit constraint</w:t>
      </w:r>
    </w:p>
    <w:p w14:paraId="3F520374" w14:textId="4318031A" w:rsidR="00C8645B" w:rsidRDefault="00C8645B" w:rsidP="00F9746B">
      <w:pPr>
        <w:ind w:left="720"/>
        <w:rPr>
          <w:lang w:val="en-CA"/>
        </w:rPr>
      </w:pPr>
      <w:r>
        <w:rPr>
          <w:lang w:val="en-CA"/>
        </w:rPr>
        <w:t xml:space="preserve">One approach would be to introduce an explicit constraint that disallows </w:t>
      </w:r>
      <w:r w:rsidR="007744CC">
        <w:rPr>
          <w:lang w:val="en-CA"/>
        </w:rPr>
        <w:t>the reference to the “absent” chroma scaling lists</w:t>
      </w:r>
      <w:r w:rsidR="009A4AFB">
        <w:rPr>
          <w:lang w:val="en-CA"/>
        </w:rPr>
        <w:t>, such as the following:</w:t>
      </w:r>
    </w:p>
    <w:p w14:paraId="5A76EE9F" w14:textId="262AB06F" w:rsidR="007744CC" w:rsidRPr="009A4AFB" w:rsidRDefault="007744CC" w:rsidP="00F9746B">
      <w:pPr>
        <w:ind w:left="1080"/>
        <w:rPr>
          <w:sz w:val="20"/>
          <w:szCs w:val="18"/>
          <w:lang w:val="en-CA"/>
        </w:rPr>
      </w:pPr>
      <w:r w:rsidRPr="009A4AFB">
        <w:rPr>
          <w:sz w:val="20"/>
          <w:szCs w:val="18"/>
          <w:highlight w:val="yellow"/>
          <w:lang w:val="en-CA"/>
        </w:rPr>
        <w:t>When scaling_list_chroma_present_flag is equal to 0, the value of refId shall be such that refId % 3 is equal to 2 or refId is equal to 27.</w:t>
      </w:r>
    </w:p>
    <w:p w14:paraId="72F90154" w14:textId="19861A50" w:rsidR="007744CC" w:rsidRDefault="007744CC" w:rsidP="00F9746B">
      <w:pPr>
        <w:ind w:left="720"/>
        <w:rPr>
          <w:lang w:val="en-CA"/>
        </w:rPr>
      </w:pPr>
      <w:r>
        <w:rPr>
          <w:lang w:val="en-CA"/>
        </w:rPr>
        <w:t xml:space="preserve">The downside of this approach is the addition of conformance checks needed to ensure </w:t>
      </w:r>
      <w:r w:rsidR="00F9746B">
        <w:rPr>
          <w:lang w:val="en-CA"/>
        </w:rPr>
        <w:t>bitstreams satisfy this constraint.</w:t>
      </w:r>
      <w:r w:rsidR="004B5972">
        <w:rPr>
          <w:lang w:val="en-CA"/>
        </w:rPr>
        <w:t xml:space="preserve"> Moreover, the signalling of scaling_list_pred_id_delta[ ] is slightly less efficient than the </w:t>
      </w:r>
      <w:r w:rsidR="003A430B">
        <w:rPr>
          <w:lang w:val="en-CA"/>
        </w:rPr>
        <w:t>proposed method</w:t>
      </w:r>
      <w:r w:rsidR="004B5972">
        <w:rPr>
          <w:lang w:val="en-CA"/>
        </w:rPr>
        <w:t xml:space="preserve">, </w:t>
      </w:r>
      <w:r w:rsidR="00AD6C83">
        <w:rPr>
          <w:lang w:val="en-CA"/>
        </w:rPr>
        <w:t>because of the</w:t>
      </w:r>
      <w:r w:rsidR="004B5972">
        <w:rPr>
          <w:lang w:val="en-CA"/>
        </w:rPr>
        <w:t xml:space="preserve"> unused codewords corresponding to the chroma scaling lists.</w:t>
      </w:r>
      <w:r w:rsidR="0054726A">
        <w:rPr>
          <w:lang w:val="en-CA"/>
        </w:rPr>
        <w:t xml:space="preserve"> The number of bits saved </w:t>
      </w:r>
      <w:r w:rsidR="00417532">
        <w:rPr>
          <w:lang w:val="en-CA"/>
        </w:rPr>
        <w:t xml:space="preserve">for signalling predIdDelta </w:t>
      </w:r>
      <w:r w:rsidR="0054726A">
        <w:rPr>
          <w:lang w:val="en-CA"/>
        </w:rPr>
        <w:t>would depend on</w:t>
      </w:r>
      <w:r w:rsidR="00816442">
        <w:rPr>
          <w:lang w:val="en-CA"/>
        </w:rPr>
        <w:t xml:space="preserve"> the</w:t>
      </w:r>
      <w:r w:rsidR="0054726A">
        <w:rPr>
          <w:lang w:val="en-CA"/>
        </w:rPr>
        <w:t xml:space="preserve"> value of predIdDelta and the current scaling list. For example,</w:t>
      </w:r>
      <w:r w:rsidR="00417532">
        <w:rPr>
          <w:lang w:val="en-CA"/>
        </w:rPr>
        <w:t xml:space="preserve"> </w:t>
      </w:r>
      <w:r w:rsidR="0054726A">
        <w:rPr>
          <w:lang w:val="en-CA"/>
        </w:rPr>
        <w:t xml:space="preserve">in </w:t>
      </w:r>
      <w:r w:rsidR="0054726A">
        <w:rPr>
          <w:lang w:val="en-CA"/>
        </w:rPr>
        <w:fldChar w:fldCharType="begin"/>
      </w:r>
      <w:r w:rsidR="0054726A">
        <w:rPr>
          <w:lang w:val="en-CA"/>
        </w:rPr>
        <w:instrText xml:space="preserve"> REF _Ref36649242 \h </w:instrText>
      </w:r>
      <w:r w:rsidR="0054726A">
        <w:rPr>
          <w:lang w:val="en-CA"/>
        </w:rPr>
      </w:r>
      <w:r w:rsidR="0054726A">
        <w:rPr>
          <w:lang w:val="en-CA"/>
        </w:rPr>
        <w:fldChar w:fldCharType="separate"/>
      </w:r>
      <w:r w:rsidR="0054726A">
        <w:t xml:space="preserve">Figure </w:t>
      </w:r>
      <w:r w:rsidR="0054726A">
        <w:rPr>
          <w:noProof/>
        </w:rPr>
        <w:t>2</w:t>
      </w:r>
      <w:r w:rsidR="0054726A">
        <w:rPr>
          <w:lang w:val="en-CA"/>
        </w:rPr>
        <w:fldChar w:fldCharType="end"/>
      </w:r>
      <w:r w:rsidR="0054726A">
        <w:rPr>
          <w:lang w:val="en-CA"/>
        </w:rPr>
        <w:t>, the number of bits</w:t>
      </w:r>
      <w:r w:rsidR="00417532">
        <w:rPr>
          <w:lang w:val="en-CA"/>
        </w:rPr>
        <w:t xml:space="preserve"> for predicting scaling list with ID 23 when scaling_list_chroma_present_flag equal to 0</w:t>
      </w:r>
      <w:r w:rsidR="0054726A">
        <w:rPr>
          <w:lang w:val="en-CA"/>
        </w:rPr>
        <w:t xml:space="preserve"> would be as follows:</w:t>
      </w:r>
    </w:p>
    <w:p w14:paraId="33D06251" w14:textId="77777777" w:rsidR="00417532" w:rsidRDefault="00417532" w:rsidP="00F9746B">
      <w:pPr>
        <w:ind w:left="720"/>
        <w:rPr>
          <w:lang w:val="en-CA"/>
        </w:rPr>
      </w:pPr>
    </w:p>
    <w:tbl>
      <w:tblPr>
        <w:tblStyle w:val="TableGrid"/>
        <w:tblW w:w="0" w:type="auto"/>
        <w:tblInd w:w="720" w:type="dxa"/>
        <w:tblLook w:val="04A0" w:firstRow="1" w:lastRow="0" w:firstColumn="1" w:lastColumn="0" w:noHBand="0" w:noVBand="1"/>
      </w:tblPr>
      <w:tblGrid>
        <w:gridCol w:w="1080"/>
        <w:gridCol w:w="1506"/>
        <w:gridCol w:w="1506"/>
        <w:gridCol w:w="1506"/>
        <w:gridCol w:w="1555"/>
        <w:gridCol w:w="1477"/>
      </w:tblGrid>
      <w:tr w:rsidR="00417532" w:rsidRPr="00417532" w14:paraId="25161020" w14:textId="77777777" w:rsidTr="00E5337D">
        <w:tc>
          <w:tcPr>
            <w:tcW w:w="1080" w:type="dxa"/>
          </w:tcPr>
          <w:p w14:paraId="797F1929" w14:textId="0875C20E" w:rsidR="00417532" w:rsidRPr="00E5337D" w:rsidRDefault="00417532" w:rsidP="00E5337D">
            <w:pPr>
              <w:jc w:val="center"/>
              <w:rPr>
                <w:sz w:val="18"/>
                <w:szCs w:val="16"/>
                <w:lang w:val="en-CA"/>
              </w:rPr>
            </w:pPr>
            <w:r w:rsidRPr="00E5337D">
              <w:rPr>
                <w:sz w:val="18"/>
                <w:szCs w:val="16"/>
                <w:lang w:val="en-CA"/>
              </w:rPr>
              <w:t xml:space="preserve">reference </w:t>
            </w:r>
            <w:r w:rsidR="00816442">
              <w:rPr>
                <w:sz w:val="18"/>
                <w:szCs w:val="16"/>
                <w:lang w:val="en-CA"/>
              </w:rPr>
              <w:t xml:space="preserve">scaling list </w:t>
            </w:r>
            <w:r w:rsidRPr="00E5337D">
              <w:rPr>
                <w:sz w:val="18"/>
                <w:szCs w:val="16"/>
                <w:lang w:val="en-CA"/>
              </w:rPr>
              <w:t>ID</w:t>
            </w:r>
          </w:p>
        </w:tc>
        <w:tc>
          <w:tcPr>
            <w:tcW w:w="1506" w:type="dxa"/>
          </w:tcPr>
          <w:p w14:paraId="1BF538C0" w14:textId="3B9A6D0F" w:rsidR="00417532" w:rsidRPr="00E5337D" w:rsidRDefault="00417532" w:rsidP="00E5337D">
            <w:pPr>
              <w:jc w:val="center"/>
              <w:rPr>
                <w:sz w:val="18"/>
                <w:szCs w:val="16"/>
                <w:lang w:val="en-CA"/>
              </w:rPr>
            </w:pPr>
            <w:r>
              <w:rPr>
                <w:sz w:val="18"/>
                <w:szCs w:val="16"/>
                <w:lang w:val="en-CA"/>
              </w:rPr>
              <w:t>20</w:t>
            </w:r>
          </w:p>
        </w:tc>
        <w:tc>
          <w:tcPr>
            <w:tcW w:w="1506" w:type="dxa"/>
          </w:tcPr>
          <w:p w14:paraId="298EE529" w14:textId="5A8094EB" w:rsidR="00417532" w:rsidRPr="00E5337D" w:rsidRDefault="00417532" w:rsidP="00E5337D">
            <w:pPr>
              <w:jc w:val="center"/>
              <w:rPr>
                <w:sz w:val="18"/>
                <w:szCs w:val="16"/>
                <w:lang w:val="en-CA"/>
              </w:rPr>
            </w:pPr>
            <w:r>
              <w:rPr>
                <w:sz w:val="18"/>
                <w:szCs w:val="16"/>
                <w:lang w:val="en-CA"/>
              </w:rPr>
              <w:t>17</w:t>
            </w:r>
          </w:p>
        </w:tc>
        <w:tc>
          <w:tcPr>
            <w:tcW w:w="1506" w:type="dxa"/>
          </w:tcPr>
          <w:p w14:paraId="69FA0D57" w14:textId="775E1F00" w:rsidR="00417532" w:rsidRPr="00E5337D" w:rsidRDefault="00417532" w:rsidP="00E5337D">
            <w:pPr>
              <w:jc w:val="center"/>
              <w:rPr>
                <w:sz w:val="18"/>
                <w:szCs w:val="16"/>
                <w:lang w:val="en-CA"/>
              </w:rPr>
            </w:pPr>
            <w:r>
              <w:rPr>
                <w:sz w:val="18"/>
                <w:szCs w:val="16"/>
                <w:lang w:val="en-CA"/>
              </w:rPr>
              <w:t>14</w:t>
            </w:r>
          </w:p>
        </w:tc>
        <w:tc>
          <w:tcPr>
            <w:tcW w:w="1555" w:type="dxa"/>
          </w:tcPr>
          <w:p w14:paraId="38DEAC54" w14:textId="53467F0E" w:rsidR="00417532" w:rsidRPr="00E5337D" w:rsidRDefault="00417532" w:rsidP="00E5337D">
            <w:pPr>
              <w:jc w:val="center"/>
              <w:rPr>
                <w:sz w:val="18"/>
                <w:szCs w:val="16"/>
                <w:lang w:val="en-CA"/>
              </w:rPr>
            </w:pPr>
            <w:r>
              <w:rPr>
                <w:sz w:val="18"/>
                <w:szCs w:val="16"/>
                <w:lang w:val="en-CA"/>
              </w:rPr>
              <w:t>11</w:t>
            </w:r>
          </w:p>
        </w:tc>
        <w:tc>
          <w:tcPr>
            <w:tcW w:w="1477" w:type="dxa"/>
          </w:tcPr>
          <w:p w14:paraId="5185F7AB" w14:textId="57508F23" w:rsidR="00417532" w:rsidRPr="00E5337D" w:rsidRDefault="00417532" w:rsidP="00E5337D">
            <w:pPr>
              <w:jc w:val="center"/>
              <w:rPr>
                <w:sz w:val="18"/>
                <w:szCs w:val="16"/>
                <w:lang w:val="en-CA"/>
              </w:rPr>
            </w:pPr>
            <w:r>
              <w:rPr>
                <w:sz w:val="18"/>
                <w:szCs w:val="16"/>
                <w:lang w:val="en-CA"/>
              </w:rPr>
              <w:t>8</w:t>
            </w:r>
          </w:p>
        </w:tc>
      </w:tr>
      <w:tr w:rsidR="00417532" w:rsidRPr="00417532" w14:paraId="091158A0" w14:textId="77777777" w:rsidTr="00E5337D">
        <w:tc>
          <w:tcPr>
            <w:tcW w:w="1080" w:type="dxa"/>
          </w:tcPr>
          <w:p w14:paraId="5A756474" w14:textId="434FC84B" w:rsidR="00417532" w:rsidRPr="00E5337D" w:rsidRDefault="00417532" w:rsidP="00E5337D">
            <w:pPr>
              <w:jc w:val="center"/>
              <w:rPr>
                <w:sz w:val="18"/>
                <w:szCs w:val="16"/>
                <w:lang w:val="en-CA"/>
              </w:rPr>
            </w:pPr>
            <w:r w:rsidRPr="00E5337D">
              <w:rPr>
                <w:sz w:val="18"/>
                <w:szCs w:val="16"/>
                <w:lang w:val="en-CA"/>
              </w:rPr>
              <w:t>Explicit</w:t>
            </w:r>
            <w:r w:rsidRPr="00E5337D">
              <w:rPr>
                <w:sz w:val="18"/>
                <w:szCs w:val="16"/>
                <w:lang w:val="en-CA"/>
              </w:rPr>
              <w:br/>
              <w:t>constraint</w:t>
            </w:r>
          </w:p>
        </w:tc>
        <w:tc>
          <w:tcPr>
            <w:tcW w:w="1506" w:type="dxa"/>
          </w:tcPr>
          <w:p w14:paraId="649BA542" w14:textId="68E12829" w:rsidR="00417532" w:rsidRPr="00E5337D" w:rsidRDefault="00417532" w:rsidP="00E5337D">
            <w:pPr>
              <w:jc w:val="center"/>
              <w:rPr>
                <w:sz w:val="18"/>
                <w:szCs w:val="16"/>
                <w:lang w:val="en-CA"/>
              </w:rPr>
            </w:pPr>
            <w:r w:rsidRPr="00E5337D">
              <w:rPr>
                <w:sz w:val="18"/>
                <w:szCs w:val="16"/>
                <w:lang w:val="en-CA"/>
              </w:rPr>
              <w:t>5</w:t>
            </w:r>
            <w:r w:rsidRPr="00E5337D">
              <w:rPr>
                <w:sz w:val="18"/>
                <w:szCs w:val="16"/>
                <w:lang w:val="en-CA"/>
              </w:rPr>
              <w:br/>
              <w:t>(predIdDelta=3)</w:t>
            </w:r>
          </w:p>
        </w:tc>
        <w:tc>
          <w:tcPr>
            <w:tcW w:w="1506" w:type="dxa"/>
          </w:tcPr>
          <w:p w14:paraId="421FBD21" w14:textId="3DA9DB04" w:rsidR="00417532" w:rsidRPr="00E5337D" w:rsidRDefault="00417532" w:rsidP="00E5337D">
            <w:pPr>
              <w:jc w:val="center"/>
              <w:rPr>
                <w:sz w:val="18"/>
                <w:szCs w:val="16"/>
                <w:lang w:val="en-CA"/>
              </w:rPr>
            </w:pPr>
            <w:r w:rsidRPr="00E5337D">
              <w:rPr>
                <w:sz w:val="18"/>
                <w:szCs w:val="16"/>
                <w:lang w:val="en-CA"/>
              </w:rPr>
              <w:t>5</w:t>
            </w:r>
            <w:r w:rsidRPr="00E5337D">
              <w:rPr>
                <w:sz w:val="18"/>
                <w:szCs w:val="16"/>
                <w:lang w:val="en-CA"/>
              </w:rPr>
              <w:br/>
              <w:t>(predIdDelta=6)</w:t>
            </w:r>
          </w:p>
        </w:tc>
        <w:tc>
          <w:tcPr>
            <w:tcW w:w="1506" w:type="dxa"/>
          </w:tcPr>
          <w:p w14:paraId="56A760E5" w14:textId="46CD311A" w:rsidR="00417532" w:rsidRPr="00E5337D" w:rsidRDefault="00417532" w:rsidP="00E5337D">
            <w:pPr>
              <w:jc w:val="center"/>
              <w:rPr>
                <w:sz w:val="18"/>
                <w:szCs w:val="16"/>
                <w:lang w:val="en-CA"/>
              </w:rPr>
            </w:pPr>
            <w:r w:rsidRPr="00E5337D">
              <w:rPr>
                <w:sz w:val="18"/>
                <w:szCs w:val="16"/>
                <w:lang w:val="en-CA"/>
              </w:rPr>
              <w:t>7</w:t>
            </w:r>
            <w:r w:rsidRPr="00E5337D">
              <w:rPr>
                <w:sz w:val="18"/>
                <w:szCs w:val="16"/>
                <w:lang w:val="en-CA"/>
              </w:rPr>
              <w:br/>
              <w:t>(predIdDelta=9)</w:t>
            </w:r>
          </w:p>
        </w:tc>
        <w:tc>
          <w:tcPr>
            <w:tcW w:w="1555" w:type="dxa"/>
          </w:tcPr>
          <w:p w14:paraId="6E3D1D16" w14:textId="10D2528E" w:rsidR="00417532" w:rsidRPr="00E5337D" w:rsidRDefault="00417532" w:rsidP="00E5337D">
            <w:pPr>
              <w:jc w:val="center"/>
              <w:rPr>
                <w:sz w:val="18"/>
                <w:szCs w:val="16"/>
                <w:lang w:val="en-CA"/>
              </w:rPr>
            </w:pPr>
            <w:r w:rsidRPr="00E5337D">
              <w:rPr>
                <w:sz w:val="18"/>
                <w:szCs w:val="16"/>
                <w:lang w:val="en-CA"/>
              </w:rPr>
              <w:t>7</w:t>
            </w:r>
            <w:r w:rsidRPr="00E5337D">
              <w:rPr>
                <w:sz w:val="18"/>
                <w:szCs w:val="16"/>
                <w:lang w:val="en-CA"/>
              </w:rPr>
              <w:br/>
              <w:t>(predIdDelta=12)</w:t>
            </w:r>
          </w:p>
        </w:tc>
        <w:tc>
          <w:tcPr>
            <w:tcW w:w="1477" w:type="dxa"/>
          </w:tcPr>
          <w:p w14:paraId="3991C469" w14:textId="2D2D3347" w:rsidR="00417532" w:rsidRPr="00E5337D" w:rsidRDefault="00417532" w:rsidP="00E5337D">
            <w:pPr>
              <w:jc w:val="center"/>
              <w:rPr>
                <w:sz w:val="18"/>
                <w:szCs w:val="16"/>
                <w:lang w:val="en-CA"/>
              </w:rPr>
            </w:pPr>
            <w:r w:rsidRPr="00E5337D">
              <w:rPr>
                <w:sz w:val="18"/>
                <w:szCs w:val="16"/>
                <w:lang w:val="en-CA"/>
              </w:rPr>
              <w:t>9</w:t>
            </w:r>
            <w:r w:rsidRPr="00E5337D">
              <w:rPr>
                <w:sz w:val="18"/>
                <w:szCs w:val="16"/>
                <w:lang w:val="en-CA"/>
              </w:rPr>
              <w:br/>
              <w:t>(predIdDelta=15)</w:t>
            </w:r>
          </w:p>
        </w:tc>
      </w:tr>
      <w:tr w:rsidR="00417532" w:rsidRPr="00417532" w14:paraId="6D6498AE" w14:textId="77777777" w:rsidTr="00E5337D">
        <w:tc>
          <w:tcPr>
            <w:tcW w:w="1080" w:type="dxa"/>
          </w:tcPr>
          <w:p w14:paraId="7981A8E5" w14:textId="2366573A" w:rsidR="00417532" w:rsidRPr="00E5337D" w:rsidRDefault="00417532" w:rsidP="00E5337D">
            <w:pPr>
              <w:jc w:val="center"/>
              <w:rPr>
                <w:sz w:val="18"/>
                <w:szCs w:val="16"/>
                <w:lang w:val="en-CA"/>
              </w:rPr>
            </w:pPr>
            <w:r w:rsidRPr="00E5337D">
              <w:rPr>
                <w:sz w:val="18"/>
                <w:szCs w:val="16"/>
                <w:lang w:val="en-CA"/>
              </w:rPr>
              <w:t>Proposed method</w:t>
            </w:r>
          </w:p>
        </w:tc>
        <w:tc>
          <w:tcPr>
            <w:tcW w:w="1506" w:type="dxa"/>
          </w:tcPr>
          <w:p w14:paraId="7E3950EC" w14:textId="2216FEE6" w:rsidR="00417532" w:rsidRPr="00E5337D" w:rsidRDefault="00417532" w:rsidP="00E5337D">
            <w:pPr>
              <w:jc w:val="center"/>
              <w:rPr>
                <w:sz w:val="18"/>
                <w:szCs w:val="16"/>
                <w:lang w:val="en-CA"/>
              </w:rPr>
            </w:pPr>
            <w:r>
              <w:rPr>
                <w:sz w:val="18"/>
                <w:szCs w:val="16"/>
                <w:lang w:val="en-CA"/>
              </w:rPr>
              <w:t>3</w:t>
            </w:r>
            <w:r w:rsidRPr="00C2736F">
              <w:rPr>
                <w:sz w:val="18"/>
                <w:szCs w:val="16"/>
                <w:lang w:val="en-CA"/>
              </w:rPr>
              <w:br/>
              <w:t>(predIdDelta=</w:t>
            </w:r>
            <w:r>
              <w:rPr>
                <w:sz w:val="18"/>
                <w:szCs w:val="16"/>
                <w:lang w:val="en-CA"/>
              </w:rPr>
              <w:t>1</w:t>
            </w:r>
            <w:r w:rsidRPr="00C2736F">
              <w:rPr>
                <w:sz w:val="18"/>
                <w:szCs w:val="16"/>
                <w:lang w:val="en-CA"/>
              </w:rPr>
              <w:t>)</w:t>
            </w:r>
          </w:p>
        </w:tc>
        <w:tc>
          <w:tcPr>
            <w:tcW w:w="1506" w:type="dxa"/>
          </w:tcPr>
          <w:p w14:paraId="77E27820" w14:textId="3D1FFAD1" w:rsidR="00417532" w:rsidRPr="00E5337D" w:rsidRDefault="00417532" w:rsidP="00E5337D">
            <w:pPr>
              <w:jc w:val="center"/>
              <w:rPr>
                <w:sz w:val="18"/>
                <w:szCs w:val="16"/>
                <w:lang w:val="en-CA"/>
              </w:rPr>
            </w:pPr>
            <w:r>
              <w:rPr>
                <w:sz w:val="18"/>
                <w:szCs w:val="16"/>
                <w:lang w:val="en-CA"/>
              </w:rPr>
              <w:t>3</w:t>
            </w:r>
            <w:r w:rsidRPr="00C2736F">
              <w:rPr>
                <w:sz w:val="18"/>
                <w:szCs w:val="16"/>
                <w:lang w:val="en-CA"/>
              </w:rPr>
              <w:br/>
              <w:t>(predIdDelta=</w:t>
            </w:r>
            <w:r>
              <w:rPr>
                <w:sz w:val="18"/>
                <w:szCs w:val="16"/>
                <w:lang w:val="en-CA"/>
              </w:rPr>
              <w:t>2</w:t>
            </w:r>
            <w:r w:rsidRPr="00C2736F">
              <w:rPr>
                <w:sz w:val="18"/>
                <w:szCs w:val="16"/>
                <w:lang w:val="en-CA"/>
              </w:rPr>
              <w:t>)</w:t>
            </w:r>
          </w:p>
        </w:tc>
        <w:tc>
          <w:tcPr>
            <w:tcW w:w="1506" w:type="dxa"/>
          </w:tcPr>
          <w:p w14:paraId="46275059" w14:textId="28BDD472" w:rsidR="00417532" w:rsidRPr="00E5337D" w:rsidRDefault="00417532" w:rsidP="00E5337D">
            <w:pPr>
              <w:jc w:val="center"/>
              <w:rPr>
                <w:sz w:val="18"/>
                <w:szCs w:val="16"/>
                <w:lang w:val="en-CA"/>
              </w:rPr>
            </w:pPr>
            <w:r>
              <w:rPr>
                <w:sz w:val="18"/>
                <w:szCs w:val="16"/>
                <w:lang w:val="en-CA"/>
              </w:rPr>
              <w:t>5</w:t>
            </w:r>
            <w:r w:rsidRPr="00C2736F">
              <w:rPr>
                <w:sz w:val="18"/>
                <w:szCs w:val="16"/>
                <w:lang w:val="en-CA"/>
              </w:rPr>
              <w:br/>
              <w:t>(predIdDelta=</w:t>
            </w:r>
            <w:r>
              <w:rPr>
                <w:sz w:val="18"/>
                <w:szCs w:val="16"/>
                <w:lang w:val="en-CA"/>
              </w:rPr>
              <w:t>3</w:t>
            </w:r>
            <w:r w:rsidRPr="00C2736F">
              <w:rPr>
                <w:sz w:val="18"/>
                <w:szCs w:val="16"/>
                <w:lang w:val="en-CA"/>
              </w:rPr>
              <w:t>)</w:t>
            </w:r>
          </w:p>
        </w:tc>
        <w:tc>
          <w:tcPr>
            <w:tcW w:w="1555" w:type="dxa"/>
          </w:tcPr>
          <w:p w14:paraId="6D422F62" w14:textId="31FD78F2" w:rsidR="00417532" w:rsidRPr="00E5337D" w:rsidRDefault="00417532" w:rsidP="00E5337D">
            <w:pPr>
              <w:jc w:val="center"/>
              <w:rPr>
                <w:sz w:val="18"/>
                <w:szCs w:val="16"/>
                <w:lang w:val="en-CA"/>
              </w:rPr>
            </w:pPr>
            <w:r>
              <w:rPr>
                <w:sz w:val="18"/>
                <w:szCs w:val="16"/>
                <w:lang w:val="en-CA"/>
              </w:rPr>
              <w:t>5</w:t>
            </w:r>
            <w:r w:rsidRPr="00C2736F">
              <w:rPr>
                <w:sz w:val="18"/>
                <w:szCs w:val="16"/>
                <w:lang w:val="en-CA"/>
              </w:rPr>
              <w:br/>
              <w:t>(predIdDelta=</w:t>
            </w:r>
            <w:r>
              <w:rPr>
                <w:sz w:val="18"/>
                <w:szCs w:val="16"/>
                <w:lang w:val="en-CA"/>
              </w:rPr>
              <w:t>4</w:t>
            </w:r>
            <w:r w:rsidRPr="00C2736F">
              <w:rPr>
                <w:sz w:val="18"/>
                <w:szCs w:val="16"/>
                <w:lang w:val="en-CA"/>
              </w:rPr>
              <w:t>)</w:t>
            </w:r>
          </w:p>
        </w:tc>
        <w:tc>
          <w:tcPr>
            <w:tcW w:w="1477" w:type="dxa"/>
          </w:tcPr>
          <w:p w14:paraId="1F20C6A1" w14:textId="2EA2CD88" w:rsidR="00417532" w:rsidRPr="00E5337D" w:rsidRDefault="00417532" w:rsidP="00E5337D">
            <w:pPr>
              <w:jc w:val="center"/>
              <w:rPr>
                <w:sz w:val="18"/>
                <w:szCs w:val="16"/>
                <w:lang w:val="en-CA"/>
              </w:rPr>
            </w:pPr>
            <w:r>
              <w:rPr>
                <w:sz w:val="18"/>
                <w:szCs w:val="16"/>
                <w:lang w:val="en-CA"/>
              </w:rPr>
              <w:t>5</w:t>
            </w:r>
            <w:r w:rsidRPr="00C2736F">
              <w:rPr>
                <w:sz w:val="18"/>
                <w:szCs w:val="16"/>
                <w:lang w:val="en-CA"/>
              </w:rPr>
              <w:br/>
              <w:t>(predIdDelta=</w:t>
            </w:r>
            <w:r>
              <w:rPr>
                <w:sz w:val="18"/>
                <w:szCs w:val="16"/>
                <w:lang w:val="en-CA"/>
              </w:rPr>
              <w:t>6</w:t>
            </w:r>
            <w:r w:rsidRPr="00C2736F">
              <w:rPr>
                <w:sz w:val="18"/>
                <w:szCs w:val="16"/>
                <w:lang w:val="en-CA"/>
              </w:rPr>
              <w:t>)</w:t>
            </w:r>
          </w:p>
        </w:tc>
      </w:tr>
    </w:tbl>
    <w:p w14:paraId="12D5129E" w14:textId="63DF4BDF" w:rsidR="0054726A" w:rsidRPr="00C8645B" w:rsidRDefault="006C20DE" w:rsidP="00F9746B">
      <w:pPr>
        <w:ind w:left="720"/>
        <w:rPr>
          <w:lang w:val="en-CA"/>
        </w:rPr>
      </w:pPr>
      <w:r>
        <w:rPr>
          <w:lang w:val="en-CA"/>
        </w:rPr>
        <w:lastRenderedPageBreak/>
        <w:t>S</w:t>
      </w:r>
      <w:r w:rsidR="00417532">
        <w:rPr>
          <w:lang w:val="en-CA"/>
        </w:rPr>
        <w:t xml:space="preserve">imilar savings </w:t>
      </w:r>
      <w:r>
        <w:rPr>
          <w:lang w:val="en-CA"/>
        </w:rPr>
        <w:t xml:space="preserve">are </w:t>
      </w:r>
      <w:r w:rsidR="00417532">
        <w:rPr>
          <w:lang w:val="en-CA"/>
        </w:rPr>
        <w:t>realizable for each copied/predicted list</w:t>
      </w:r>
      <w:r>
        <w:rPr>
          <w:lang w:val="en-CA"/>
        </w:rPr>
        <w:t xml:space="preserve"> when their predIdDelta is not equal to 0</w:t>
      </w:r>
      <w:r w:rsidR="00417532">
        <w:rPr>
          <w:lang w:val="en-CA"/>
        </w:rPr>
        <w:t>.</w:t>
      </w:r>
    </w:p>
    <w:p w14:paraId="591D4F23" w14:textId="55B1C26D" w:rsidR="007744CC" w:rsidRDefault="00F9746B" w:rsidP="00F9746B">
      <w:pPr>
        <w:pStyle w:val="ListParagraph"/>
        <w:numPr>
          <w:ilvl w:val="0"/>
          <w:numId w:val="12"/>
        </w:numPr>
        <w:rPr>
          <w:lang w:val="en-CA"/>
        </w:rPr>
      </w:pPr>
      <w:r>
        <w:rPr>
          <w:lang w:val="en-CA"/>
        </w:rPr>
        <w:t>Semantic inference to default lists</w:t>
      </w:r>
    </w:p>
    <w:p w14:paraId="2F7DA8A1" w14:textId="5AF0677B" w:rsidR="004B5972" w:rsidRPr="00C8645B" w:rsidRDefault="007744CC" w:rsidP="004B5972">
      <w:pPr>
        <w:ind w:left="720"/>
        <w:rPr>
          <w:lang w:val="en-CA"/>
        </w:rPr>
      </w:pPr>
      <w:r>
        <w:rPr>
          <w:lang w:val="en-CA"/>
        </w:rPr>
        <w:t xml:space="preserve">Another approach would be to </w:t>
      </w:r>
      <w:r w:rsidR="00F9746B">
        <w:rPr>
          <w:lang w:val="en-CA"/>
        </w:rPr>
        <w:t>modify</w:t>
      </w:r>
      <w:r>
        <w:rPr>
          <w:lang w:val="en-CA"/>
        </w:rPr>
        <w:t xml:space="preserve"> the inference of some syntax elements in the APS scaling list </w:t>
      </w:r>
      <w:r w:rsidR="000C6004">
        <w:rPr>
          <w:lang w:val="en-CA"/>
        </w:rPr>
        <w:t>(e.g., infer the value of scaling_list_copy_mode_flag  when not present</w:t>
      </w:r>
      <w:r w:rsidR="003A430B">
        <w:rPr>
          <w:lang w:val="en-CA"/>
        </w:rPr>
        <w:t xml:space="preserve"> </w:t>
      </w:r>
      <w:r w:rsidR="008A776C">
        <w:rPr>
          <w:lang w:val="en-CA"/>
        </w:rPr>
        <w:t xml:space="preserve">or </w:t>
      </w:r>
      <w:r w:rsidR="003A430B">
        <w:rPr>
          <w:lang w:val="en-CA"/>
        </w:rPr>
        <w:t>other changes</w:t>
      </w:r>
      <w:r w:rsidR="000C6004">
        <w:rPr>
          <w:lang w:val="en-CA"/>
        </w:rPr>
        <w:t xml:space="preserve">) </w:t>
      </w:r>
      <w:r>
        <w:rPr>
          <w:lang w:val="en-CA"/>
        </w:rPr>
        <w:t>such that default chroma scaling lists are generated when scaling_list_chroma_present_flag is equal to 0</w:t>
      </w:r>
      <w:r w:rsidR="006D02A9">
        <w:rPr>
          <w:lang w:val="en-CA"/>
        </w:rPr>
        <w:t xml:space="preserve">. </w:t>
      </w:r>
      <w:r>
        <w:rPr>
          <w:lang w:val="en-CA"/>
        </w:rPr>
        <w:t>The downside of this approach is th</w:t>
      </w:r>
      <w:r w:rsidR="006D02A9">
        <w:rPr>
          <w:lang w:val="en-CA"/>
        </w:rPr>
        <w:t xml:space="preserve">at </w:t>
      </w:r>
      <w:r>
        <w:rPr>
          <w:lang w:val="en-CA"/>
        </w:rPr>
        <w:t xml:space="preserve">additional </w:t>
      </w:r>
      <w:r w:rsidR="006D02A9">
        <w:rPr>
          <w:lang w:val="en-CA"/>
        </w:rPr>
        <w:t xml:space="preserve">(default) </w:t>
      </w:r>
      <w:r>
        <w:rPr>
          <w:lang w:val="en-CA"/>
        </w:rPr>
        <w:t>lists</w:t>
      </w:r>
      <w:r w:rsidR="006D02A9">
        <w:rPr>
          <w:lang w:val="en-CA"/>
        </w:rPr>
        <w:t xml:space="preserve"> corresponding to chroma</w:t>
      </w:r>
      <w:r>
        <w:rPr>
          <w:lang w:val="en-CA"/>
        </w:rPr>
        <w:t>, or additional logic to support these lists,</w:t>
      </w:r>
      <w:r w:rsidR="006D02A9">
        <w:rPr>
          <w:lang w:val="en-CA"/>
        </w:rPr>
        <w:t xml:space="preserve"> may be needed</w:t>
      </w:r>
      <w:r>
        <w:rPr>
          <w:lang w:val="en-CA"/>
        </w:rPr>
        <w:t xml:space="preserve"> even though these chroma scaling lists</w:t>
      </w:r>
      <w:r w:rsidR="009616F3">
        <w:rPr>
          <w:lang w:val="en-CA"/>
        </w:rPr>
        <w:t xml:space="preserve"> are never signalled</w:t>
      </w:r>
      <w:r w:rsidR="008A776C">
        <w:rPr>
          <w:lang w:val="en-CA"/>
        </w:rPr>
        <w:t>/used</w:t>
      </w:r>
      <w:r>
        <w:rPr>
          <w:lang w:val="en-CA"/>
        </w:rPr>
        <w:t>.</w:t>
      </w:r>
      <w:r w:rsidR="006746D6">
        <w:rPr>
          <w:lang w:val="en-CA"/>
        </w:rPr>
        <w:t xml:space="preserve"> Moreover, </w:t>
      </w:r>
      <w:r w:rsidR="009616F3">
        <w:rPr>
          <w:lang w:val="en-CA"/>
        </w:rPr>
        <w:t xml:space="preserve">the current signalling already provides </w:t>
      </w:r>
      <w:r w:rsidR="006B2324">
        <w:rPr>
          <w:lang w:val="en-CA"/>
        </w:rPr>
        <w:t xml:space="preserve">a </w:t>
      </w:r>
      <w:r w:rsidR="009616F3">
        <w:rPr>
          <w:lang w:val="en-CA"/>
        </w:rPr>
        <w:t xml:space="preserve">mechanism to predict/copy from </w:t>
      </w:r>
      <w:r w:rsidR="006746D6">
        <w:rPr>
          <w:lang w:val="en-CA"/>
        </w:rPr>
        <w:t>default reference scaling list</w:t>
      </w:r>
      <w:r w:rsidR="0007467D">
        <w:rPr>
          <w:lang w:val="en-CA"/>
        </w:rPr>
        <w:t xml:space="preserve"> (</w:t>
      </w:r>
      <w:r w:rsidR="00A61C2F">
        <w:rPr>
          <w:lang w:val="en-CA"/>
        </w:rPr>
        <w:t xml:space="preserve">e.g., </w:t>
      </w:r>
      <w:r w:rsidR="0007467D">
        <w:rPr>
          <w:lang w:val="en-CA"/>
        </w:rPr>
        <w:t>all values equal to 16).</w:t>
      </w:r>
      <w:r w:rsidR="004B5972">
        <w:rPr>
          <w:lang w:val="en-CA"/>
        </w:rPr>
        <w:t xml:space="preserve"> Furthermore, like the explicit constraint, the signalling of scaling_list_pred_id_delta[ ] is slightly less efficient than the proposal, because </w:t>
      </w:r>
      <w:r w:rsidR="00A61C2F">
        <w:rPr>
          <w:lang w:val="en-CA"/>
        </w:rPr>
        <w:t xml:space="preserve">of the </w:t>
      </w:r>
      <w:r w:rsidR="004B5972">
        <w:rPr>
          <w:lang w:val="en-CA"/>
        </w:rPr>
        <w:t>unused codewords corresponding to the chroma scaling lists.</w:t>
      </w:r>
      <w:r w:rsidR="00417532">
        <w:rPr>
          <w:lang w:val="en-CA"/>
        </w:rPr>
        <w:t xml:space="preserve"> The bit analysis would be similar to the discussion for the explicit constraint.</w:t>
      </w:r>
    </w:p>
    <w:p w14:paraId="5471D60B" w14:textId="02BAF1B3" w:rsidR="007744CC" w:rsidRDefault="007744CC" w:rsidP="00F9746B">
      <w:pPr>
        <w:ind w:left="720"/>
        <w:rPr>
          <w:lang w:val="en-CA"/>
        </w:rPr>
      </w:pPr>
    </w:p>
    <w:p w14:paraId="2F5D0762" w14:textId="77777777" w:rsidR="00C8645B" w:rsidRPr="00C8645B" w:rsidRDefault="00C8645B" w:rsidP="00C8645B">
      <w:pPr>
        <w:rPr>
          <w:lang w:val="en-CA"/>
        </w:rPr>
      </w:pPr>
    </w:p>
    <w:p w14:paraId="34E5BF16" w14:textId="778A4B41" w:rsidR="00C8645B" w:rsidRDefault="00C8645B" w:rsidP="00E11923">
      <w:pPr>
        <w:pStyle w:val="Heading1"/>
        <w:rPr>
          <w:lang w:val="en-CA"/>
        </w:rPr>
      </w:pPr>
      <w:r>
        <w:rPr>
          <w:lang w:val="en-CA"/>
        </w:rPr>
        <w:t>Conclusion</w:t>
      </w:r>
    </w:p>
    <w:p w14:paraId="0F7603DD" w14:textId="49565C8E" w:rsidR="00C8645B" w:rsidRPr="00C8645B" w:rsidRDefault="00C8645B" w:rsidP="00C8645B">
      <w:pPr>
        <w:rPr>
          <w:lang w:val="en-CA"/>
        </w:rPr>
      </w:pPr>
      <w:r>
        <w:rPr>
          <w:lang w:val="en-CA"/>
        </w:rPr>
        <w:t xml:space="preserve">The proposal </w:t>
      </w:r>
      <w:r w:rsidR="0007467D">
        <w:rPr>
          <w:lang w:val="en-CA"/>
        </w:rPr>
        <w:t xml:space="preserve">fixes the issue of referring </w:t>
      </w:r>
      <w:r>
        <w:rPr>
          <w:lang w:val="en-CA"/>
        </w:rPr>
        <w:t xml:space="preserve">to the absent chroma scaling lists </w:t>
      </w:r>
      <w:r w:rsidR="0007467D">
        <w:rPr>
          <w:lang w:val="en-CA"/>
        </w:rPr>
        <w:t>by modifying the reference list ID derivation.</w:t>
      </w:r>
      <w:r w:rsidR="00941846">
        <w:rPr>
          <w:lang w:val="en-CA"/>
        </w:rPr>
        <w:t xml:space="preserve"> It is proposed to adopt this fix to the VVC specification.</w:t>
      </w:r>
    </w:p>
    <w:p w14:paraId="5F0CF8E4" w14:textId="6AB82163" w:rsidR="001F2594" w:rsidRPr="005B217D" w:rsidRDefault="001F2594" w:rsidP="00E11923">
      <w:pPr>
        <w:pStyle w:val="Heading1"/>
        <w:rPr>
          <w:lang w:val="en-CA"/>
        </w:rPr>
      </w:pPr>
      <w:r w:rsidRPr="005B217D">
        <w:rPr>
          <w:lang w:val="en-CA"/>
        </w:rPr>
        <w:t>Patent rights declaration</w:t>
      </w:r>
    </w:p>
    <w:p w14:paraId="7A9B4D21" w14:textId="6A000449" w:rsidR="00342FF4" w:rsidRPr="005B217D" w:rsidRDefault="00C8645B"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DEAF01" w14:textId="77777777" w:rsidR="00CF6A41" w:rsidRDefault="00CF6A41">
      <w:r>
        <w:separator/>
      </w:r>
    </w:p>
  </w:endnote>
  <w:endnote w:type="continuationSeparator" w:id="0">
    <w:p w14:paraId="53B24E39" w14:textId="77777777" w:rsidR="00CF6A41" w:rsidRDefault="00CF6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21002A87" w:usb1="00000000" w:usb2="00000000"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474F71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85B91">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90616F" w14:textId="77777777" w:rsidR="00CF6A41" w:rsidRDefault="00CF6A41">
      <w:r>
        <w:separator/>
      </w:r>
    </w:p>
  </w:footnote>
  <w:footnote w:type="continuationSeparator" w:id="0">
    <w:p w14:paraId="380B6165" w14:textId="77777777" w:rsidR="00CF6A41" w:rsidRDefault="00CF6A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35740EB"/>
    <w:multiLevelType w:val="hybridMultilevel"/>
    <w:tmpl w:val="62249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46EF5"/>
    <w:rsid w:val="00065039"/>
    <w:rsid w:val="00066FFA"/>
    <w:rsid w:val="0007467D"/>
    <w:rsid w:val="0007614F"/>
    <w:rsid w:val="00081398"/>
    <w:rsid w:val="00094479"/>
    <w:rsid w:val="000962AC"/>
    <w:rsid w:val="000B0C0F"/>
    <w:rsid w:val="000B1C6B"/>
    <w:rsid w:val="000B4FF9"/>
    <w:rsid w:val="000C09AC"/>
    <w:rsid w:val="000C2BAA"/>
    <w:rsid w:val="000C6004"/>
    <w:rsid w:val="000E00F3"/>
    <w:rsid w:val="000F158C"/>
    <w:rsid w:val="001003D2"/>
    <w:rsid w:val="00102F3D"/>
    <w:rsid w:val="00123343"/>
    <w:rsid w:val="00124E38"/>
    <w:rsid w:val="0012580B"/>
    <w:rsid w:val="00131F90"/>
    <w:rsid w:val="0013458C"/>
    <w:rsid w:val="0013526E"/>
    <w:rsid w:val="00146152"/>
    <w:rsid w:val="00155526"/>
    <w:rsid w:val="00171371"/>
    <w:rsid w:val="00175A24"/>
    <w:rsid w:val="00187E58"/>
    <w:rsid w:val="00195BBD"/>
    <w:rsid w:val="001A297E"/>
    <w:rsid w:val="001A368E"/>
    <w:rsid w:val="001A7329"/>
    <w:rsid w:val="001A792F"/>
    <w:rsid w:val="001B3E6D"/>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DF6"/>
    <w:rsid w:val="002B2E83"/>
    <w:rsid w:val="002D0AF6"/>
    <w:rsid w:val="002D7D71"/>
    <w:rsid w:val="002F164D"/>
    <w:rsid w:val="003021BC"/>
    <w:rsid w:val="00306206"/>
    <w:rsid w:val="00317D85"/>
    <w:rsid w:val="00327C56"/>
    <w:rsid w:val="003315A1"/>
    <w:rsid w:val="003373EC"/>
    <w:rsid w:val="00342FF4"/>
    <w:rsid w:val="00344E5A"/>
    <w:rsid w:val="00346148"/>
    <w:rsid w:val="00347374"/>
    <w:rsid w:val="003669EA"/>
    <w:rsid w:val="003706CC"/>
    <w:rsid w:val="00377710"/>
    <w:rsid w:val="003A2D8E"/>
    <w:rsid w:val="003A430B"/>
    <w:rsid w:val="003A7CE6"/>
    <w:rsid w:val="003B4023"/>
    <w:rsid w:val="003C20E4"/>
    <w:rsid w:val="003D6342"/>
    <w:rsid w:val="003E6F90"/>
    <w:rsid w:val="003E6FB7"/>
    <w:rsid w:val="003E73ED"/>
    <w:rsid w:val="003F5D0F"/>
    <w:rsid w:val="00414101"/>
    <w:rsid w:val="00417532"/>
    <w:rsid w:val="004219CF"/>
    <w:rsid w:val="004234F0"/>
    <w:rsid w:val="00433DDB"/>
    <w:rsid w:val="00435A29"/>
    <w:rsid w:val="00437619"/>
    <w:rsid w:val="00465A1E"/>
    <w:rsid w:val="0049445A"/>
    <w:rsid w:val="004A2A63"/>
    <w:rsid w:val="004B210C"/>
    <w:rsid w:val="004B5972"/>
    <w:rsid w:val="004B6170"/>
    <w:rsid w:val="004D405F"/>
    <w:rsid w:val="004E4F4F"/>
    <w:rsid w:val="004E6789"/>
    <w:rsid w:val="004F2300"/>
    <w:rsid w:val="004F61E3"/>
    <w:rsid w:val="00502E10"/>
    <w:rsid w:val="0050354E"/>
    <w:rsid w:val="0051015C"/>
    <w:rsid w:val="00516CF1"/>
    <w:rsid w:val="00531AE9"/>
    <w:rsid w:val="00536188"/>
    <w:rsid w:val="0054726A"/>
    <w:rsid w:val="00550A66"/>
    <w:rsid w:val="00560450"/>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746D6"/>
    <w:rsid w:val="00685B91"/>
    <w:rsid w:val="006B2324"/>
    <w:rsid w:val="006C20DE"/>
    <w:rsid w:val="006C5D39"/>
    <w:rsid w:val="006C6064"/>
    <w:rsid w:val="006C7FC2"/>
    <w:rsid w:val="006D02A9"/>
    <w:rsid w:val="006D5636"/>
    <w:rsid w:val="006D6D9B"/>
    <w:rsid w:val="006E2810"/>
    <w:rsid w:val="006E5417"/>
    <w:rsid w:val="006F0794"/>
    <w:rsid w:val="006F1F90"/>
    <w:rsid w:val="006F7528"/>
    <w:rsid w:val="007023DE"/>
    <w:rsid w:val="00712F60"/>
    <w:rsid w:val="00720E3B"/>
    <w:rsid w:val="0074393F"/>
    <w:rsid w:val="00745F6B"/>
    <w:rsid w:val="0075175B"/>
    <w:rsid w:val="00753529"/>
    <w:rsid w:val="0075585E"/>
    <w:rsid w:val="0076324C"/>
    <w:rsid w:val="00770571"/>
    <w:rsid w:val="007744CC"/>
    <w:rsid w:val="007768FF"/>
    <w:rsid w:val="007824D3"/>
    <w:rsid w:val="00796EE3"/>
    <w:rsid w:val="007A7D29"/>
    <w:rsid w:val="007B4AB8"/>
    <w:rsid w:val="007D1181"/>
    <w:rsid w:val="007E01A3"/>
    <w:rsid w:val="007E7B3F"/>
    <w:rsid w:val="007F1F8B"/>
    <w:rsid w:val="007F6205"/>
    <w:rsid w:val="007F67A1"/>
    <w:rsid w:val="00811C05"/>
    <w:rsid w:val="00816442"/>
    <w:rsid w:val="008206C8"/>
    <w:rsid w:val="0086387C"/>
    <w:rsid w:val="00874A6C"/>
    <w:rsid w:val="00876C65"/>
    <w:rsid w:val="00882F72"/>
    <w:rsid w:val="00893DC4"/>
    <w:rsid w:val="008A4B4C"/>
    <w:rsid w:val="008A776C"/>
    <w:rsid w:val="008C239F"/>
    <w:rsid w:val="008E480C"/>
    <w:rsid w:val="008F08A9"/>
    <w:rsid w:val="00907757"/>
    <w:rsid w:val="009212B0"/>
    <w:rsid w:val="00921FA1"/>
    <w:rsid w:val="009234A5"/>
    <w:rsid w:val="00927FEB"/>
    <w:rsid w:val="00933453"/>
    <w:rsid w:val="009336F7"/>
    <w:rsid w:val="0093636C"/>
    <w:rsid w:val="009374A7"/>
    <w:rsid w:val="00941846"/>
    <w:rsid w:val="0094432B"/>
    <w:rsid w:val="00955F6D"/>
    <w:rsid w:val="009616F3"/>
    <w:rsid w:val="00977C16"/>
    <w:rsid w:val="0098551D"/>
    <w:rsid w:val="00985DCB"/>
    <w:rsid w:val="00990C0F"/>
    <w:rsid w:val="0099518F"/>
    <w:rsid w:val="009A371E"/>
    <w:rsid w:val="009A4AFB"/>
    <w:rsid w:val="009A523D"/>
    <w:rsid w:val="009B02A1"/>
    <w:rsid w:val="009B3361"/>
    <w:rsid w:val="009B7F3F"/>
    <w:rsid w:val="009D62B1"/>
    <w:rsid w:val="009D7CE6"/>
    <w:rsid w:val="009D7FC9"/>
    <w:rsid w:val="009E448E"/>
    <w:rsid w:val="009F496B"/>
    <w:rsid w:val="00A01439"/>
    <w:rsid w:val="00A02E61"/>
    <w:rsid w:val="00A05CFF"/>
    <w:rsid w:val="00A077FE"/>
    <w:rsid w:val="00A11EAB"/>
    <w:rsid w:val="00A13048"/>
    <w:rsid w:val="00A46843"/>
    <w:rsid w:val="00A47C4F"/>
    <w:rsid w:val="00A56B97"/>
    <w:rsid w:val="00A6093D"/>
    <w:rsid w:val="00A61C2F"/>
    <w:rsid w:val="00A72017"/>
    <w:rsid w:val="00A767DC"/>
    <w:rsid w:val="00A76A6D"/>
    <w:rsid w:val="00A83253"/>
    <w:rsid w:val="00A92F64"/>
    <w:rsid w:val="00A93E23"/>
    <w:rsid w:val="00AA5433"/>
    <w:rsid w:val="00AA6E84"/>
    <w:rsid w:val="00AB1A1C"/>
    <w:rsid w:val="00AD05A8"/>
    <w:rsid w:val="00AD6C83"/>
    <w:rsid w:val="00AE341B"/>
    <w:rsid w:val="00AE4556"/>
    <w:rsid w:val="00AE7F63"/>
    <w:rsid w:val="00B01905"/>
    <w:rsid w:val="00B07CA7"/>
    <w:rsid w:val="00B1279A"/>
    <w:rsid w:val="00B25565"/>
    <w:rsid w:val="00B3640F"/>
    <w:rsid w:val="00B4194A"/>
    <w:rsid w:val="00B437E8"/>
    <w:rsid w:val="00B5222E"/>
    <w:rsid w:val="00B53179"/>
    <w:rsid w:val="00B57A23"/>
    <w:rsid w:val="00B600CD"/>
    <w:rsid w:val="00B61C96"/>
    <w:rsid w:val="00B73A2A"/>
    <w:rsid w:val="00B75A51"/>
    <w:rsid w:val="00B827C6"/>
    <w:rsid w:val="00B940E2"/>
    <w:rsid w:val="00B94B06"/>
    <w:rsid w:val="00B94C28"/>
    <w:rsid w:val="00BC10BA"/>
    <w:rsid w:val="00BC5AFD"/>
    <w:rsid w:val="00C00DDE"/>
    <w:rsid w:val="00C04F43"/>
    <w:rsid w:val="00C0609D"/>
    <w:rsid w:val="00C115AB"/>
    <w:rsid w:val="00C14FF0"/>
    <w:rsid w:val="00C26CCB"/>
    <w:rsid w:val="00C30249"/>
    <w:rsid w:val="00C3723B"/>
    <w:rsid w:val="00C42466"/>
    <w:rsid w:val="00C606C9"/>
    <w:rsid w:val="00C80288"/>
    <w:rsid w:val="00C836F0"/>
    <w:rsid w:val="00C836F8"/>
    <w:rsid w:val="00C84003"/>
    <w:rsid w:val="00C8645B"/>
    <w:rsid w:val="00C90650"/>
    <w:rsid w:val="00C97D78"/>
    <w:rsid w:val="00CC2AAE"/>
    <w:rsid w:val="00CC5A42"/>
    <w:rsid w:val="00CD0EAB"/>
    <w:rsid w:val="00CE5E02"/>
    <w:rsid w:val="00CF34DB"/>
    <w:rsid w:val="00CF3917"/>
    <w:rsid w:val="00CF558F"/>
    <w:rsid w:val="00CF6A41"/>
    <w:rsid w:val="00D010C0"/>
    <w:rsid w:val="00D073E2"/>
    <w:rsid w:val="00D1555A"/>
    <w:rsid w:val="00D446EC"/>
    <w:rsid w:val="00D51BF0"/>
    <w:rsid w:val="00D531DB"/>
    <w:rsid w:val="00D55942"/>
    <w:rsid w:val="00D668CA"/>
    <w:rsid w:val="00D804B9"/>
    <w:rsid w:val="00D807BF"/>
    <w:rsid w:val="00D82FCC"/>
    <w:rsid w:val="00DA17FC"/>
    <w:rsid w:val="00DA7887"/>
    <w:rsid w:val="00DB2C26"/>
    <w:rsid w:val="00DB61BE"/>
    <w:rsid w:val="00DC4A49"/>
    <w:rsid w:val="00DD02F4"/>
    <w:rsid w:val="00DD6622"/>
    <w:rsid w:val="00DE1C7C"/>
    <w:rsid w:val="00DE6B43"/>
    <w:rsid w:val="00E11923"/>
    <w:rsid w:val="00E262D4"/>
    <w:rsid w:val="00E36250"/>
    <w:rsid w:val="00E47F2D"/>
    <w:rsid w:val="00E5337D"/>
    <w:rsid w:val="00E54511"/>
    <w:rsid w:val="00E60EDC"/>
    <w:rsid w:val="00E61DAC"/>
    <w:rsid w:val="00E72B80"/>
    <w:rsid w:val="00E75FE3"/>
    <w:rsid w:val="00E86C4C"/>
    <w:rsid w:val="00E907A3"/>
    <w:rsid w:val="00EA5AE0"/>
    <w:rsid w:val="00EB56E1"/>
    <w:rsid w:val="00EB5724"/>
    <w:rsid w:val="00EB7AB1"/>
    <w:rsid w:val="00EC32BD"/>
    <w:rsid w:val="00EE7CD8"/>
    <w:rsid w:val="00EF37F6"/>
    <w:rsid w:val="00EF48CC"/>
    <w:rsid w:val="00F00801"/>
    <w:rsid w:val="00F11C2A"/>
    <w:rsid w:val="00F2488D"/>
    <w:rsid w:val="00F3661B"/>
    <w:rsid w:val="00F601A0"/>
    <w:rsid w:val="00F712E9"/>
    <w:rsid w:val="00F73032"/>
    <w:rsid w:val="00F8334D"/>
    <w:rsid w:val="00F848FC"/>
    <w:rsid w:val="00F906F6"/>
    <w:rsid w:val="00F9282A"/>
    <w:rsid w:val="00F96BAD"/>
    <w:rsid w:val="00F9746B"/>
    <w:rsid w:val="00FA139D"/>
    <w:rsid w:val="00FA60F5"/>
    <w:rsid w:val="00FB0E84"/>
    <w:rsid w:val="00FC2405"/>
    <w:rsid w:val="00FC4773"/>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9443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9746B"/>
    <w:pPr>
      <w:ind w:left="720"/>
      <w:contextualSpacing/>
    </w:pPr>
  </w:style>
  <w:style w:type="character" w:styleId="UnresolvedMention">
    <w:name w:val="Unresolved Mention"/>
    <w:basedOn w:val="DefaultParagraphFont"/>
    <w:uiPriority w:val="99"/>
    <w:semiHidden/>
    <w:unhideWhenUsed/>
    <w:rsid w:val="00941846"/>
    <w:rPr>
      <w:color w:val="605E5C"/>
      <w:shd w:val="clear" w:color="auto" w:fill="E1DFDD"/>
    </w:rPr>
  </w:style>
  <w:style w:type="paragraph" w:styleId="Caption">
    <w:name w:val="caption"/>
    <w:basedOn w:val="Normal"/>
    <w:next w:val="Normal"/>
    <w:unhideWhenUsed/>
    <w:qFormat/>
    <w:rsid w:val="00A93E23"/>
    <w:pPr>
      <w:spacing w:before="0" w:after="200"/>
    </w:pPr>
    <w:rPr>
      <w:i/>
      <w:iCs/>
      <w:color w:val="44546A" w:themeColor="text2"/>
      <w:sz w:val="18"/>
      <w:szCs w:val="18"/>
    </w:rPr>
  </w:style>
  <w:style w:type="character" w:styleId="CommentReference">
    <w:name w:val="annotation reference"/>
    <w:basedOn w:val="DefaultParagraphFont"/>
    <w:rsid w:val="00FC4773"/>
    <w:rPr>
      <w:sz w:val="16"/>
      <w:szCs w:val="16"/>
    </w:rPr>
  </w:style>
  <w:style w:type="paragraph" w:styleId="CommentText">
    <w:name w:val="annotation text"/>
    <w:basedOn w:val="Normal"/>
    <w:link w:val="CommentTextChar"/>
    <w:rsid w:val="00FC4773"/>
    <w:rPr>
      <w:sz w:val="20"/>
    </w:rPr>
  </w:style>
  <w:style w:type="character" w:customStyle="1" w:styleId="CommentTextChar">
    <w:name w:val="Comment Text Char"/>
    <w:basedOn w:val="DefaultParagraphFont"/>
    <w:link w:val="CommentText"/>
    <w:rsid w:val="00FC4773"/>
  </w:style>
  <w:style w:type="paragraph" w:styleId="CommentSubject">
    <w:name w:val="annotation subject"/>
    <w:basedOn w:val="CommentText"/>
    <w:next w:val="CommentText"/>
    <w:link w:val="CommentSubjectChar"/>
    <w:semiHidden/>
    <w:unhideWhenUsed/>
    <w:rsid w:val="00FC4773"/>
    <w:rPr>
      <w:b/>
      <w:bCs/>
    </w:rPr>
  </w:style>
  <w:style w:type="character" w:customStyle="1" w:styleId="CommentSubjectChar">
    <w:name w:val="Comment Subject Char"/>
    <w:basedOn w:val="CommentTextChar"/>
    <w:link w:val="CommentSubject"/>
    <w:semiHidden/>
    <w:rsid w:val="00FC4773"/>
    <w:rPr>
      <w:b/>
      <w:bCs/>
    </w:rPr>
  </w:style>
  <w:style w:type="paragraph" w:customStyle="1" w:styleId="Equation">
    <w:name w:val="Equation"/>
    <w:basedOn w:val="Normal"/>
    <w:qFormat/>
    <w:rsid w:val="00547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ramasub@qti.qualcomm.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08616351da482677bca1e0d01c14e8f">
  <xsd:schema xmlns:xsd="http://www.w3.org/2001/XMLSchema" xmlns:xs="http://www.w3.org/2001/XMLSchema" xmlns:p="http://schemas.microsoft.com/office/2006/metadata/properties" xmlns:ns3="cc9c437c-ae0c-4066-8d90-a0f7de786127" targetNamespace="http://schemas.microsoft.com/office/2006/metadata/properties" ma:root="true" ma:fieldsID="b2db79aa699095597778e18ddd3a33a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DEB45A-D6B3-47BC-9BBF-61613EF9BD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116AC2-C5D8-431B-B958-FC6FAD225109}">
  <ds:schemaRefs>
    <ds:schemaRef ds:uri="http://schemas.microsoft.com/sharepoint/v3/contenttype/forms"/>
  </ds:schemaRefs>
</ds:datastoreItem>
</file>

<file path=customXml/itemProps3.xml><?xml version="1.0" encoding="utf-8"?>
<ds:datastoreItem xmlns:ds="http://schemas.openxmlformats.org/officeDocument/2006/customXml" ds:itemID="{3C92CBFB-F31D-4177-9DCC-70626D8C8B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4</Pages>
  <Words>1227</Words>
  <Characters>6994</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8205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Adarsh Krishnan Ramasubramonian</cp:lastModifiedBy>
  <cp:revision>14</cp:revision>
  <cp:lastPrinted>1900-01-01T08:00:00Z</cp:lastPrinted>
  <dcterms:created xsi:type="dcterms:W3CDTF">2020-04-02T21:22:00Z</dcterms:created>
  <dcterms:modified xsi:type="dcterms:W3CDTF">2020-04-03T21:35:00Z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